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17B5" w14:textId="1C620436"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774847C8" w14:textId="2A16AB0F" w:rsidR="002758DF" w:rsidRDefault="002758DF" w:rsidP="002758DF">
      <w:pPr>
        <w:pStyle w:val="Titel"/>
      </w:pPr>
      <w:r>
        <w:t>Die Nutzung der interaktiven Tafel im Chemie-Unterricht</w:t>
      </w:r>
    </w:p>
    <w:p w14:paraId="42AD29E7" w14:textId="1C5DFB22" w:rsidR="002758DF" w:rsidRDefault="002758DF" w:rsidP="002758DF">
      <w:pPr>
        <w:pStyle w:val="Autor"/>
        <w:rPr>
          <w:rFonts w:cs="Arial"/>
        </w:rPr>
      </w:pPr>
      <w:r>
        <w:rPr>
          <w:rFonts w:cs="Arial"/>
        </w:rPr>
        <w:t>Schriftliche Hausarbeit gem. LPO I § 30 zur Zulassung für die erste Staatsprüfung für das Lehramt an Realschulen von Nadja Christine Klinger, Bayreuth 2011</w:t>
      </w:r>
    </w:p>
    <w:p w14:paraId="5C77F967" w14:textId="6B9380E3" w:rsidR="002758DF" w:rsidRDefault="002758DF" w:rsidP="002758DF">
      <w:r>
        <w:t>Seit mehr als 150 Jahren war die Kreide-Tafel in der Schule unangefochten das zentrale Kommunikationsmedium [</w:t>
      </w:r>
      <w:r>
        <w:fldChar w:fldCharType="begin"/>
      </w:r>
      <w:r>
        <w:instrText xml:space="preserve"> REF _Ref69121860 \r \h </w:instrText>
      </w:r>
      <w:r>
        <w:fldChar w:fldCharType="separate"/>
      </w:r>
      <w:r w:rsidR="00A82E02">
        <w:t>1</w:t>
      </w:r>
      <w:r>
        <w:fldChar w:fldCharType="end"/>
      </w:r>
      <w:r>
        <w:t>]. Diese „Kreidezeit“ soll durch die interaktive Tafel beendet werden, sofern man der Werbeaussage eines Anbieters Glauben schenken will [</w:t>
      </w:r>
      <w:r>
        <w:fldChar w:fldCharType="begin"/>
      </w:r>
      <w:r>
        <w:instrText xml:space="preserve"> REF _Ref69121865 \r \h </w:instrText>
      </w:r>
      <w:r>
        <w:fldChar w:fldCharType="separate"/>
      </w:r>
      <w:r w:rsidR="00A82E02">
        <w:t>2</w:t>
      </w:r>
      <w:r>
        <w:fldChar w:fldCharType="end"/>
      </w:r>
      <w:r>
        <w:t>]. Tatsächlich werden zurzeit in Deutschland viele herkömmliche Tafeln durch interaktive Tafeln ersetzt.</w:t>
      </w:r>
    </w:p>
    <w:p w14:paraId="5EF2EA42" w14:textId="329E1427" w:rsidR="002758DF" w:rsidRDefault="002758DF" w:rsidP="002758DF">
      <w:r>
        <w:t>Interaktive Tafeln sind jedoch nicht nur als Ersatz, sondern als Weiter-Entwicklung der Kreide-Tafel zu sehen. Im Folgenden werden fünf Themengebiete des Chemieunterrichts aufgegriffen und an ihnen beispielhaft die besonderen Nutzungsmöglichkeiten interaktiver Tafeln vorgestellt.</w:t>
      </w:r>
    </w:p>
    <w:p w14:paraId="7C6684B4" w14:textId="78DC88DD" w:rsidR="002758DF" w:rsidRDefault="002758DF" w:rsidP="002758DF">
      <w:r w:rsidRPr="002758DF">
        <w:rPr>
          <w:rStyle w:val="Fett"/>
        </w:rPr>
        <w:t>Gliederung</w:t>
      </w:r>
      <w:r>
        <w:t>:</w:t>
      </w:r>
    </w:p>
    <w:p w14:paraId="3F7B904E" w14:textId="14C47FBA" w:rsidR="002758DF" w:rsidRDefault="00A82E02" w:rsidP="002758DF">
      <w:pPr>
        <w:pStyle w:val="Liste2Einzug"/>
        <w:numPr>
          <w:ilvl w:val="1"/>
          <w:numId w:val="15"/>
        </w:numPr>
      </w:pPr>
      <w:hyperlink r:id="rId9" w:history="1">
        <w:r w:rsidR="002758DF" w:rsidRPr="00126AC5">
          <w:rPr>
            <w:rStyle w:val="Hyperlink"/>
          </w:rPr>
          <w:t>Wasser als Lösemittel</w:t>
        </w:r>
      </w:hyperlink>
      <w:r w:rsidR="002758DF">
        <w:t xml:space="preserve"> (mb30)</w:t>
      </w:r>
    </w:p>
    <w:p w14:paraId="6C97B98E" w14:textId="5164AE67" w:rsidR="002758DF" w:rsidRDefault="00A82E02" w:rsidP="002758DF">
      <w:pPr>
        <w:pStyle w:val="Liste2Einzug"/>
        <w:numPr>
          <w:ilvl w:val="1"/>
          <w:numId w:val="15"/>
        </w:numPr>
      </w:pPr>
      <w:hyperlink r:id="rId10" w:history="1">
        <w:r w:rsidR="002758DF" w:rsidRPr="00126AC5">
          <w:rPr>
            <w:rStyle w:val="Hyperlink"/>
          </w:rPr>
          <w:t>Skelett-Schreibweise von Alkanen</w:t>
        </w:r>
      </w:hyperlink>
      <w:r w:rsidR="002758DF">
        <w:t xml:space="preserve"> (mb31)</w:t>
      </w:r>
    </w:p>
    <w:p w14:paraId="672B7DDD" w14:textId="1E83893A" w:rsidR="002758DF" w:rsidRDefault="00A82E02" w:rsidP="002758DF">
      <w:pPr>
        <w:pStyle w:val="Liste2Einzug"/>
        <w:numPr>
          <w:ilvl w:val="1"/>
          <w:numId w:val="15"/>
        </w:numPr>
      </w:pPr>
      <w:hyperlink r:id="rId11" w:history="1">
        <w:r w:rsidR="002758DF" w:rsidRPr="00126AC5">
          <w:rPr>
            <w:rStyle w:val="Hyperlink"/>
          </w:rPr>
          <w:t>Untersuchung von Säuren und Laugen mit Rotkohl-Auszug</w:t>
        </w:r>
      </w:hyperlink>
      <w:r w:rsidR="002758DF">
        <w:t xml:space="preserve"> (mb32)</w:t>
      </w:r>
    </w:p>
    <w:p w14:paraId="342D4C11" w14:textId="37342773" w:rsidR="002758DF" w:rsidRDefault="00A82E02" w:rsidP="002758DF">
      <w:pPr>
        <w:pStyle w:val="Liste2Einzug"/>
        <w:numPr>
          <w:ilvl w:val="1"/>
          <w:numId w:val="15"/>
        </w:numPr>
      </w:pPr>
      <w:hyperlink r:id="rId12" w:history="1">
        <w:r w:rsidR="002758DF" w:rsidRPr="00ED63CF">
          <w:rPr>
            <w:rStyle w:val="Hyperlink"/>
          </w:rPr>
          <w:t>Stationen-Lernen zur Stoff-Erkennung mit den Sinnen</w:t>
        </w:r>
      </w:hyperlink>
      <w:r w:rsidR="002758DF">
        <w:t xml:space="preserve"> (mb33)</w:t>
      </w:r>
    </w:p>
    <w:p w14:paraId="76114B0E" w14:textId="0FB491C8" w:rsidR="002758DF" w:rsidRDefault="00A82E02" w:rsidP="002758DF">
      <w:pPr>
        <w:pStyle w:val="Liste2Einzug"/>
        <w:numPr>
          <w:ilvl w:val="1"/>
          <w:numId w:val="15"/>
        </w:numPr>
      </w:pPr>
      <w:hyperlink r:id="rId13" w:history="1">
        <w:r w:rsidR="002758DF" w:rsidRPr="00ED63CF">
          <w:rPr>
            <w:rStyle w:val="Hyperlink"/>
          </w:rPr>
          <w:t>Aufbau einer virtuellen Destillationsapparatur</w:t>
        </w:r>
      </w:hyperlink>
      <w:r w:rsidR="002758DF">
        <w:t xml:space="preserve"> (mb34)</w:t>
      </w:r>
    </w:p>
    <w:p w14:paraId="01FEF1B8" w14:textId="66DA3526" w:rsidR="002758DF" w:rsidRDefault="002758DF" w:rsidP="002758DF">
      <w:r>
        <w:t xml:space="preserve">Die erstellten Dateien und zugehörige „Information für Lehrende“ stehen jeweils am Ende jedes Kapitels zum Download zur Verfügung. Zum Öffnen der Dateien wird SMART Notebook benötigt. Sollte das Programm nicht zur Verfügung stehen, kann unter </w:t>
      </w:r>
      <w:hyperlink r:id="rId14" w:history="1">
        <w:r>
          <w:rPr>
            <w:rStyle w:val="Hyperlink"/>
            <w:rFonts w:cs="Arial"/>
          </w:rPr>
          <w:t>http://express.smarttech.com</w:t>
        </w:r>
      </w:hyperlink>
      <w:r>
        <w:t xml:space="preserve"> das kostenlose SMART Notebook Express heruntergeladen werden.</w:t>
      </w:r>
    </w:p>
    <w:p w14:paraId="3C89B90A" w14:textId="77777777" w:rsidR="002758DF" w:rsidRDefault="002758DF" w:rsidP="002758DF">
      <w:r w:rsidRPr="001052C8">
        <w:rPr>
          <w:rStyle w:val="Fett"/>
        </w:rPr>
        <w:t>Quellen</w:t>
      </w:r>
      <w:r>
        <w:t>:</w:t>
      </w:r>
    </w:p>
    <w:p w14:paraId="0A8C9AEA" w14:textId="77777777" w:rsidR="002758DF" w:rsidRDefault="002758DF" w:rsidP="002758DF">
      <w:pPr>
        <w:pStyle w:val="Quellen"/>
      </w:pPr>
      <w:bookmarkStart w:id="0" w:name="_Ref69121860"/>
      <w:r>
        <w:t>Prof. Dr. Stefan Aufenanger: Interaktive Whiteboards, www.myboard.de – Messenews / Infos und Tipps zum Thema interaktive Whiteboards, 2. Ausgabe, 2010, Köln, S.15</w:t>
      </w:r>
      <w:bookmarkEnd w:id="0"/>
      <w:r>
        <w:t xml:space="preserve"> </w:t>
      </w:r>
    </w:p>
    <w:bookmarkStart w:id="1" w:name="2"/>
    <w:bookmarkStart w:id="2" w:name="_Ref69121865"/>
    <w:bookmarkEnd w:id="1"/>
    <w:p w14:paraId="4F1FB429" w14:textId="2F3933FF" w:rsidR="002758DF" w:rsidRPr="005C2E98" w:rsidRDefault="002758DF" w:rsidP="002758DF">
      <w:pPr>
        <w:pStyle w:val="Quellen"/>
        <w:rPr>
          <w:lang w:val="en-US"/>
        </w:rPr>
      </w:pPr>
      <w:r>
        <w:fldChar w:fldCharType="begin"/>
      </w:r>
      <w:r w:rsidRPr="005C2E98">
        <w:rPr>
          <w:lang w:val="en-US"/>
        </w:rPr>
        <w:instrText xml:space="preserve"> HYPERLINK "http://www.legamaster.de" </w:instrText>
      </w:r>
      <w:r>
        <w:fldChar w:fldCharType="separate"/>
      </w:r>
      <w:r w:rsidRPr="005C2E98">
        <w:rPr>
          <w:rStyle w:val="Hyperlink"/>
          <w:rFonts w:ascii="Arial" w:hAnsi="Arial" w:cs="Arial"/>
          <w:lang w:val="en-US"/>
        </w:rPr>
        <w:t>http://www.legamaster.de</w:t>
      </w:r>
      <w:r>
        <w:fldChar w:fldCharType="end"/>
      </w:r>
      <w:r w:rsidRPr="005C2E98">
        <w:rPr>
          <w:lang w:val="en-US"/>
        </w:rPr>
        <w:t>, Stand 17.08.2010</w:t>
      </w:r>
      <w:bookmarkEnd w:id="2"/>
    </w:p>
    <w:p w14:paraId="0E4F68BB" w14:textId="77777777" w:rsidR="002758DF" w:rsidRDefault="002758DF" w:rsidP="002758DF">
      <w:pPr>
        <w:pStyle w:val="Quellen"/>
      </w:pPr>
      <w:bookmarkStart w:id="3" w:name="3"/>
      <w:bookmarkStart w:id="4" w:name="_Ref68773751"/>
      <w:bookmarkEnd w:id="3"/>
      <w:r>
        <w:t>SMART Notebook, Version 10.6.94.0, 2009, Screenshot</w:t>
      </w:r>
      <w:bookmarkEnd w:id="4"/>
      <w:r>
        <w:t xml:space="preserve"> </w:t>
      </w:r>
    </w:p>
    <w:p w14:paraId="17718DA0" w14:textId="77777777" w:rsidR="002758DF" w:rsidRDefault="002758DF" w:rsidP="002758DF">
      <w:pPr>
        <w:pStyle w:val="Quellen"/>
      </w:pPr>
      <w:bookmarkStart w:id="5" w:name="4"/>
      <w:bookmarkStart w:id="6" w:name="_Ref68774362"/>
      <w:bookmarkEnd w:id="5"/>
      <w:r>
        <w:t xml:space="preserve">Persönliche Mitteilung von Prof. Dr. </w:t>
      </w:r>
      <w:proofErr w:type="spellStart"/>
      <w:r>
        <w:t>Wrackmeyer</w:t>
      </w:r>
      <w:proofErr w:type="spellEnd"/>
      <w:r>
        <w:t>, Anorganische Chemie II, Universität Bayreuth, 05.10.2010</w:t>
      </w:r>
      <w:bookmarkEnd w:id="6"/>
      <w:r>
        <w:t xml:space="preserve"> </w:t>
      </w:r>
    </w:p>
    <w:p w14:paraId="7A52F5BC" w14:textId="77777777" w:rsidR="002758DF" w:rsidRDefault="002758DF" w:rsidP="002758DF">
      <w:pPr>
        <w:pStyle w:val="Quellen"/>
      </w:pPr>
      <w:bookmarkStart w:id="7" w:name="5"/>
      <w:bookmarkEnd w:id="7"/>
      <w:r>
        <w:t xml:space="preserve">J. Söllner: Experimentiermaterialien für den Chemieunterricht nach Maria Montessori II, Schriftliche Hausarbeit gem. LPO I §30 zur Zulassung für die Erste Staatsprüfung für das Lehramt an Realschulen, Abteilung für Didaktik der Chemie, </w:t>
      </w:r>
      <w:proofErr w:type="spellStart"/>
      <w:r>
        <w:t>AkadDir</w:t>
      </w:r>
      <w:proofErr w:type="spellEnd"/>
      <w:r>
        <w:t xml:space="preserve"> W. Wagner, Universität Bayreuth, 2010 </w:t>
      </w:r>
    </w:p>
    <w:p w14:paraId="5BAA197E" w14:textId="77777777" w:rsidR="002758DF" w:rsidRDefault="002758DF" w:rsidP="002758DF">
      <w:pPr>
        <w:pStyle w:val="Quellen"/>
      </w:pPr>
      <w:bookmarkStart w:id="8" w:name="6"/>
      <w:bookmarkEnd w:id="8"/>
      <w:r>
        <w:t xml:space="preserve">K. Häusler, A. </w:t>
      </w:r>
      <w:proofErr w:type="spellStart"/>
      <w:r>
        <w:t>Worofka</w:t>
      </w:r>
      <w:proofErr w:type="spellEnd"/>
      <w:r>
        <w:t xml:space="preserve">: Rotkohl-Blaukraut, ein idealer Universalindikator, Naturwissenschaften im Unterricht – Physik, Chemie, Heft 27, 1987, S.15 </w:t>
      </w:r>
    </w:p>
    <w:p w14:paraId="27A0DBB4" w14:textId="2123D298" w:rsidR="002758DF" w:rsidRDefault="002758DF" w:rsidP="002758DF">
      <w:pPr>
        <w:pStyle w:val="Quellen"/>
      </w:pPr>
      <w:bookmarkStart w:id="9" w:name="7"/>
      <w:bookmarkEnd w:id="9"/>
      <w:r w:rsidRPr="00D628A8">
        <w:rPr>
          <w:color w:val="FF00FF" w:themeColor="accent4"/>
        </w:rPr>
        <w:lastRenderedPageBreak/>
        <w:t xml:space="preserve">Versuchsskizzen.ppt, Peter </w:t>
      </w:r>
      <w:proofErr w:type="spellStart"/>
      <w:r w:rsidRPr="00D628A8">
        <w:rPr>
          <w:color w:val="FF00FF" w:themeColor="accent4"/>
        </w:rPr>
        <w:t>Maisenbacher</w:t>
      </w:r>
      <w:proofErr w:type="spellEnd"/>
      <w:r w:rsidRPr="00D628A8">
        <w:rPr>
          <w:color w:val="FF00FF" w:themeColor="accent4"/>
        </w:rPr>
        <w:t xml:space="preserve">, </w:t>
      </w:r>
      <w:hyperlink r:id="rId15" w:history="1">
        <w:r w:rsidRPr="00D628A8">
          <w:rPr>
            <w:rStyle w:val="Hyperlink"/>
            <w:rFonts w:ascii="Arial" w:hAnsi="Arial" w:cs="Arial"/>
            <w:color w:val="FF00FF" w:themeColor="accent4"/>
          </w:rPr>
          <w:t>http://rgh-hennstedt.lernnetz.de/download.htm</w:t>
        </w:r>
      </w:hyperlink>
      <w:r w:rsidRPr="00D628A8">
        <w:rPr>
          <w:color w:val="FF00FF" w:themeColor="accent4"/>
        </w:rPr>
        <w:t>, Stand 12.12.2010</w:t>
      </w:r>
      <w:r>
        <w:t xml:space="preserve"> </w:t>
      </w:r>
    </w:p>
    <w:bookmarkStart w:id="10" w:name="8"/>
    <w:bookmarkEnd w:id="10"/>
    <w:p w14:paraId="61195591" w14:textId="7652E00A" w:rsidR="002758DF" w:rsidRPr="005C2E98" w:rsidRDefault="002758DF" w:rsidP="002758DF">
      <w:pPr>
        <w:pStyle w:val="Quellen"/>
        <w:rPr>
          <w:lang w:val="en-US"/>
        </w:rPr>
      </w:pPr>
      <w:r>
        <w:fldChar w:fldCharType="begin"/>
      </w:r>
      <w:r w:rsidRPr="005C2E98">
        <w:rPr>
          <w:lang w:val="en-US"/>
        </w:rPr>
        <w:instrText xml:space="preserve"> HYPERLINK "http://www.seilnacht.com/Lexikon/VSBlaukr.htm" </w:instrText>
      </w:r>
      <w:r>
        <w:fldChar w:fldCharType="separate"/>
      </w:r>
      <w:r w:rsidRPr="005C2E98">
        <w:rPr>
          <w:rStyle w:val="Hyperlink"/>
          <w:rFonts w:ascii="Arial" w:hAnsi="Arial" w:cs="Arial"/>
          <w:lang w:val="en-US"/>
        </w:rPr>
        <w:t>http://www.seilnacht.com/Lexikon/VSBlaukr.htm</w:t>
      </w:r>
      <w:r>
        <w:fldChar w:fldCharType="end"/>
      </w:r>
      <w:r w:rsidRPr="005C2E98">
        <w:rPr>
          <w:lang w:val="en-US"/>
        </w:rPr>
        <w:t>, Stand 12.08.2010</w:t>
      </w:r>
    </w:p>
    <w:p w14:paraId="23F478F7" w14:textId="77777777" w:rsidR="002758DF" w:rsidRDefault="002758DF" w:rsidP="002758DF">
      <w:pPr>
        <w:pStyle w:val="Quellen"/>
      </w:pPr>
      <w:bookmarkStart w:id="11" w:name="9"/>
      <w:bookmarkEnd w:id="11"/>
      <w:r>
        <w:t xml:space="preserve">B. Theune, M. Stamme: Riechen, Schauen, Tasten,…, Naturwissenschaften im Unterricht – Chemie, Heft 58/59, 2000, S. 10-14 </w:t>
      </w:r>
    </w:p>
    <w:bookmarkStart w:id="12" w:name="10"/>
    <w:bookmarkEnd w:id="12"/>
    <w:p w14:paraId="74D154AC" w14:textId="6469E321" w:rsidR="002758DF" w:rsidRPr="005C2E98" w:rsidRDefault="002758DF" w:rsidP="002758DF">
      <w:pPr>
        <w:pStyle w:val="Quellen"/>
        <w:rPr>
          <w:lang w:val="en-US"/>
        </w:rPr>
      </w:pPr>
      <w:r w:rsidRPr="00D628A8">
        <w:rPr>
          <w:color w:val="FF00FF" w:themeColor="accent4"/>
        </w:rPr>
        <w:fldChar w:fldCharType="begin"/>
      </w:r>
      <w:r w:rsidRPr="00D628A8">
        <w:rPr>
          <w:color w:val="FF00FF" w:themeColor="accent4"/>
          <w:lang w:val="en-US"/>
        </w:rPr>
        <w:instrText xml:space="preserve"> HYPERLINK "http://www.chemie.uni-bremen.de/eilks/Material/MNU%20Lernzirkel%20Stoffeigenschaften.pdf" </w:instrText>
      </w:r>
      <w:r w:rsidR="00A82E02" w:rsidRPr="00D628A8">
        <w:rPr>
          <w:color w:val="FF00FF" w:themeColor="accent4"/>
        </w:rPr>
      </w:r>
      <w:r w:rsidRPr="00D628A8">
        <w:rPr>
          <w:color w:val="FF00FF" w:themeColor="accent4"/>
        </w:rPr>
        <w:fldChar w:fldCharType="separate"/>
      </w:r>
      <w:r w:rsidRPr="00D628A8">
        <w:rPr>
          <w:rStyle w:val="Hyperlink"/>
          <w:rFonts w:ascii="Arial" w:hAnsi="Arial" w:cs="Arial"/>
          <w:color w:val="FF00FF" w:themeColor="accent4"/>
          <w:lang w:val="en-US"/>
        </w:rPr>
        <w:t>http://www.chemie.uni-bremen.de/eilks/Material/MNU%20Lernzirkel%20Stoffeigenschaften.pdf</w:t>
      </w:r>
      <w:r w:rsidRPr="00D628A8">
        <w:rPr>
          <w:color w:val="FF00FF" w:themeColor="accent4"/>
        </w:rPr>
        <w:fldChar w:fldCharType="end"/>
      </w:r>
      <w:r w:rsidRPr="00D628A8">
        <w:rPr>
          <w:color w:val="FF00FF" w:themeColor="accent4"/>
          <w:lang w:val="en-US"/>
        </w:rPr>
        <w:t>, Stand 12.08.2010</w:t>
      </w:r>
      <w:r w:rsidRPr="005C2E98">
        <w:rPr>
          <w:lang w:val="en-US"/>
        </w:rPr>
        <w:t xml:space="preserve"> </w:t>
      </w:r>
    </w:p>
    <w:bookmarkStart w:id="13" w:name="11"/>
    <w:bookmarkEnd w:id="13"/>
    <w:p w14:paraId="1DAA4C7D" w14:textId="4D3B60CC" w:rsidR="002758DF" w:rsidRPr="005C2E98" w:rsidRDefault="002758DF" w:rsidP="002758DF">
      <w:pPr>
        <w:pStyle w:val="Quellen"/>
        <w:rPr>
          <w:lang w:val="en-US"/>
        </w:rPr>
      </w:pPr>
      <w:r>
        <w:fldChar w:fldCharType="begin"/>
      </w:r>
      <w:r w:rsidRPr="005C2E98">
        <w:rPr>
          <w:lang w:val="en-US"/>
        </w:rPr>
        <w:instrText xml:space="preserve"> HYPERLINK "http://www.seilnacht.com/Lernzirk.htm" </w:instrText>
      </w:r>
      <w:r>
        <w:fldChar w:fldCharType="separate"/>
      </w:r>
      <w:r w:rsidRPr="005C2E98">
        <w:rPr>
          <w:rStyle w:val="Hyperlink"/>
          <w:rFonts w:ascii="Arial" w:hAnsi="Arial" w:cs="Arial"/>
          <w:lang w:val="en-US"/>
        </w:rPr>
        <w:t>http://www.seilnacht.com/Lernzirk.htm</w:t>
      </w:r>
      <w:r>
        <w:fldChar w:fldCharType="end"/>
      </w:r>
      <w:r w:rsidRPr="005C2E98">
        <w:rPr>
          <w:lang w:val="en-US"/>
        </w:rPr>
        <w:t>, Stand 12.08.2010</w:t>
      </w:r>
    </w:p>
    <w:p w14:paraId="29451095" w14:textId="77777777" w:rsidR="002758DF" w:rsidRPr="00064FBF" w:rsidRDefault="002758DF" w:rsidP="002758DF">
      <w:pPr>
        <w:pStyle w:val="Quellen"/>
      </w:pPr>
      <w:bookmarkStart w:id="14" w:name="12"/>
      <w:bookmarkEnd w:id="14"/>
      <w:r>
        <w:t xml:space="preserve">N. Klinger: Die Nutzung der interaktiven Tafel im Chemieunterricht, Schriftliche Hausarbeit gem. LPO I §30 zur Zulassung für die Erste Staatsprüfung für das Lehramt an Realschulen, Abteilung für Didaktik der Chemie, </w:t>
      </w:r>
      <w:proofErr w:type="spellStart"/>
      <w:r>
        <w:t>AkadDir</w:t>
      </w:r>
      <w:proofErr w:type="spellEnd"/>
      <w:r>
        <w:t xml:space="preserve"> W. Wagner, Universität Bayreuth, 2011</w:t>
      </w:r>
    </w:p>
    <w:p w14:paraId="04D3ABC3" w14:textId="77777777" w:rsidR="002758DF" w:rsidRPr="002758DF" w:rsidRDefault="002758DF" w:rsidP="002758DF"/>
    <w:sectPr w:rsidR="002758DF" w:rsidRPr="002758DF" w:rsidSect="00173F20">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5A"/>
    <w:rsid w:val="00046543"/>
    <w:rsid w:val="0006646E"/>
    <w:rsid w:val="000C2636"/>
    <w:rsid w:val="000D7F90"/>
    <w:rsid w:val="000F3B98"/>
    <w:rsid w:val="0010575A"/>
    <w:rsid w:val="00126AC5"/>
    <w:rsid w:val="00160E12"/>
    <w:rsid w:val="00173F20"/>
    <w:rsid w:val="00191963"/>
    <w:rsid w:val="001C67FD"/>
    <w:rsid w:val="001E2364"/>
    <w:rsid w:val="002518FD"/>
    <w:rsid w:val="002758DF"/>
    <w:rsid w:val="0033663A"/>
    <w:rsid w:val="003467B8"/>
    <w:rsid w:val="00392459"/>
    <w:rsid w:val="003C12CD"/>
    <w:rsid w:val="00492201"/>
    <w:rsid w:val="00534D63"/>
    <w:rsid w:val="005C2E98"/>
    <w:rsid w:val="006A2788"/>
    <w:rsid w:val="006A50E3"/>
    <w:rsid w:val="006C5555"/>
    <w:rsid w:val="006D01F9"/>
    <w:rsid w:val="007673C8"/>
    <w:rsid w:val="007722D0"/>
    <w:rsid w:val="007A6BB9"/>
    <w:rsid w:val="007B4174"/>
    <w:rsid w:val="007C0165"/>
    <w:rsid w:val="007D36A9"/>
    <w:rsid w:val="007E374D"/>
    <w:rsid w:val="00942B80"/>
    <w:rsid w:val="009C6E00"/>
    <w:rsid w:val="00A15FEC"/>
    <w:rsid w:val="00A82E02"/>
    <w:rsid w:val="00A86358"/>
    <w:rsid w:val="00AE25F6"/>
    <w:rsid w:val="00AE53F0"/>
    <w:rsid w:val="00B3420E"/>
    <w:rsid w:val="00B406E1"/>
    <w:rsid w:val="00B96FC1"/>
    <w:rsid w:val="00BD2B14"/>
    <w:rsid w:val="00C377C5"/>
    <w:rsid w:val="00CF10C9"/>
    <w:rsid w:val="00CF46BB"/>
    <w:rsid w:val="00D10928"/>
    <w:rsid w:val="00D6160E"/>
    <w:rsid w:val="00D628A8"/>
    <w:rsid w:val="00D84440"/>
    <w:rsid w:val="00E74109"/>
    <w:rsid w:val="00E74EEA"/>
    <w:rsid w:val="00E91A48"/>
    <w:rsid w:val="00ED63CF"/>
    <w:rsid w:val="00F20164"/>
    <w:rsid w:val="00F72066"/>
    <w:rsid w:val="00F902F1"/>
    <w:rsid w:val="00FF4B32"/>
    <w:rsid w:val="00FF65E9"/>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 w:type="character" w:customStyle="1" w:styleId="NichtaufgelsteErwhnung2">
    <w:name w:val="Nicht aufgelöste Erwähnung2"/>
    <w:basedOn w:val="Absatz-Standardschriftart"/>
    <w:uiPriority w:val="99"/>
    <w:semiHidden/>
    <w:unhideWhenUsed/>
    <w:rsid w:val="00126AC5"/>
    <w:rPr>
      <w:color w:val="605E5C"/>
      <w:shd w:val="clear" w:color="auto" w:fill="E1DFDD"/>
    </w:rPr>
  </w:style>
  <w:style w:type="character" w:styleId="BesuchterLink">
    <w:name w:val="FollowedHyperlink"/>
    <w:basedOn w:val="Absatz-Standardschriftart"/>
    <w:uiPriority w:val="99"/>
    <w:semiHidden/>
    <w:unhideWhenUsed/>
    <w:rsid w:val="00D628A8"/>
    <w:rPr>
      <w:color w:val="00C8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34_Destillation_Aufbau/mb34_destillationsapparatu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ethoden/methodenbausteine/33_Stoffe_Eigenschaften/mb33_stationenlern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ethoden/methodenbausteine/32_Indikator_Rotkohl/mb32_rotkohl.pdf" TargetMode="External"/><Relationship Id="rId5" Type="http://schemas.openxmlformats.org/officeDocument/2006/relationships/webSettings" Target="webSettings.xml"/><Relationship Id="rId15" Type="http://schemas.openxmlformats.org/officeDocument/2006/relationships/hyperlink" Target="http://rgh-hennstedt.lernnetz.de/download.htm" TargetMode="External"/><Relationship Id="rId10" Type="http://schemas.openxmlformats.org/officeDocument/2006/relationships/hyperlink" Target="http://daten.didaktikchemie.uni-bayreuth.de/umethoden/methodenbausteine/31_Formelschreibweise_Skelett/mb31_skelett.pdf" TargetMode="External"/><Relationship Id="rId4" Type="http://schemas.openxmlformats.org/officeDocument/2006/relationships/settings" Target="settings.xml"/><Relationship Id="rId9" Type="http://schemas.openxmlformats.org/officeDocument/2006/relationships/hyperlink" Target="http://daten.didaktikchemie.uni-bayreuth.de/umethoden/methodenbausteine/30_Wasser_Loesemittel/mb30_wasser.pdf" TargetMode="External"/><Relationship Id="rId14" Type="http://schemas.openxmlformats.org/officeDocument/2006/relationships/hyperlink" Target="http://express.smarttech.com" TargetMode="Externa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E88B5C33-3116-4953-A477-AC15909D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Schönberner, Regina Maria</cp:lastModifiedBy>
  <cp:revision>7</cp:revision>
  <cp:lastPrinted>2021-07-21T10:17:00Z</cp:lastPrinted>
  <dcterms:created xsi:type="dcterms:W3CDTF">2021-04-12T10:15:00Z</dcterms:created>
  <dcterms:modified xsi:type="dcterms:W3CDTF">2021-07-21T10:17:00Z</dcterms:modified>
</cp:coreProperties>
</file>