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BCA" w:rsidRDefault="000E6BCA"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E6BCA" w:rsidRDefault="000E6BCA"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4D6282" w:rsidRDefault="00E8473B" w:rsidP="004D6282">
      <w:pPr>
        <w:pStyle w:val="Seminar"/>
      </w:pPr>
      <w:r w:rsidRPr="004D6282">
        <w:t>Seminar</w:t>
      </w:r>
      <w:r w:rsidR="00FD7888" w:rsidRPr="004D6282">
        <w:t xml:space="preserve"> „Übungen im Vortragen –OC“</w:t>
      </w:r>
    </w:p>
    <w:p w:rsidR="00E8473B" w:rsidRDefault="004D6282" w:rsidP="005633FE">
      <w:pPr>
        <w:pStyle w:val="Titel"/>
      </w:pPr>
      <w:r>
        <w:t>Pasteur und die Weinsäure</w:t>
      </w:r>
    </w:p>
    <w:p w:rsidR="00E8473B" w:rsidRDefault="004D6282" w:rsidP="00E8473B">
      <w:pPr>
        <w:pStyle w:val="Autor"/>
      </w:pPr>
      <w:r>
        <w:t>Thomas Zach,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E9486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E94863" w:rsidRPr="00CA2BFE">
            <w:rPr>
              <w:rStyle w:val="Hyperlink"/>
              <w:noProof/>
            </w:rPr>
            <w:fldChar w:fldCharType="begin"/>
          </w:r>
          <w:r w:rsidR="00E94863" w:rsidRPr="00CA2BFE">
            <w:rPr>
              <w:rStyle w:val="Hyperlink"/>
              <w:noProof/>
            </w:rPr>
            <w:instrText xml:space="preserve"> </w:instrText>
          </w:r>
          <w:r w:rsidR="00E94863">
            <w:rPr>
              <w:noProof/>
            </w:rPr>
            <w:instrText>HYPERLINK \l "_Toc44502172"</w:instrText>
          </w:r>
          <w:r w:rsidR="00E94863" w:rsidRPr="00CA2BFE">
            <w:rPr>
              <w:rStyle w:val="Hyperlink"/>
              <w:noProof/>
            </w:rPr>
            <w:instrText xml:space="preserve"> </w:instrText>
          </w:r>
          <w:r w:rsidR="00E94863" w:rsidRPr="00CA2BFE">
            <w:rPr>
              <w:rStyle w:val="Hyperlink"/>
              <w:noProof/>
            </w:rPr>
          </w:r>
          <w:r w:rsidR="00E94863" w:rsidRPr="00CA2BFE">
            <w:rPr>
              <w:rStyle w:val="Hyperlink"/>
              <w:noProof/>
            </w:rPr>
            <w:fldChar w:fldCharType="separate"/>
          </w:r>
          <w:r w:rsidR="00E94863" w:rsidRPr="00CA2BFE">
            <w:rPr>
              <w:rStyle w:val="Hyperlink"/>
              <w:noProof/>
            </w:rPr>
            <w:t>1</w:t>
          </w:r>
          <w:r w:rsidR="00E94863">
            <w:rPr>
              <w:rFonts w:asciiTheme="minorHAnsi" w:eastAsiaTheme="minorEastAsia" w:hAnsiTheme="minorHAnsi"/>
              <w:noProof/>
              <w:sz w:val="22"/>
              <w:lang w:eastAsia="de-DE"/>
            </w:rPr>
            <w:tab/>
          </w:r>
          <w:r w:rsidR="00E94863" w:rsidRPr="00CA2BFE">
            <w:rPr>
              <w:rStyle w:val="Hyperlink"/>
              <w:noProof/>
            </w:rPr>
            <w:t>Louis Pasteur</w:t>
          </w:r>
          <w:r w:rsidR="00E94863">
            <w:rPr>
              <w:noProof/>
              <w:webHidden/>
            </w:rPr>
            <w:tab/>
          </w:r>
          <w:r w:rsidR="00E94863">
            <w:rPr>
              <w:noProof/>
              <w:webHidden/>
            </w:rPr>
            <w:fldChar w:fldCharType="begin"/>
          </w:r>
          <w:r w:rsidR="00E94863">
            <w:rPr>
              <w:noProof/>
              <w:webHidden/>
            </w:rPr>
            <w:instrText xml:space="preserve"> PAGEREF _Toc44502172 \h </w:instrText>
          </w:r>
          <w:r w:rsidR="00E94863">
            <w:rPr>
              <w:noProof/>
              <w:webHidden/>
            </w:rPr>
          </w:r>
          <w:r w:rsidR="00E94863">
            <w:rPr>
              <w:noProof/>
              <w:webHidden/>
            </w:rPr>
            <w:fldChar w:fldCharType="separate"/>
          </w:r>
          <w:r w:rsidR="00E94863">
            <w:rPr>
              <w:noProof/>
              <w:webHidden/>
            </w:rPr>
            <w:t>1</w:t>
          </w:r>
          <w:r w:rsidR="00E94863">
            <w:rPr>
              <w:noProof/>
              <w:webHidden/>
            </w:rPr>
            <w:fldChar w:fldCharType="end"/>
          </w:r>
          <w:r w:rsidR="00E94863" w:rsidRPr="00CA2BFE">
            <w:rPr>
              <w:rStyle w:val="Hyperlink"/>
              <w:noProof/>
            </w:rPr>
            <w:fldChar w:fldCharType="end"/>
          </w:r>
        </w:p>
        <w:p w:rsidR="00E94863" w:rsidRDefault="00E94863">
          <w:pPr>
            <w:pStyle w:val="Verzeichnis1"/>
            <w:tabs>
              <w:tab w:val="left" w:pos="480"/>
              <w:tab w:val="right" w:leader="dot" w:pos="9344"/>
            </w:tabs>
            <w:rPr>
              <w:rFonts w:asciiTheme="minorHAnsi" w:eastAsiaTheme="minorEastAsia" w:hAnsiTheme="minorHAnsi"/>
              <w:noProof/>
              <w:sz w:val="22"/>
              <w:lang w:eastAsia="de-DE"/>
            </w:rPr>
          </w:pPr>
          <w:hyperlink w:anchor="_Toc44502173" w:history="1">
            <w:r w:rsidRPr="00CA2BFE">
              <w:rPr>
                <w:rStyle w:val="Hyperlink"/>
                <w:noProof/>
              </w:rPr>
              <w:t>2</w:t>
            </w:r>
            <w:r>
              <w:rPr>
                <w:rFonts w:asciiTheme="minorHAnsi" w:eastAsiaTheme="minorEastAsia" w:hAnsiTheme="minorHAnsi"/>
                <w:noProof/>
                <w:sz w:val="22"/>
                <w:lang w:eastAsia="de-DE"/>
              </w:rPr>
              <w:tab/>
            </w:r>
            <w:r w:rsidRPr="00CA2BFE">
              <w:rPr>
                <w:rStyle w:val="Hyperlink"/>
                <w:noProof/>
              </w:rPr>
              <w:t>Chemie in der Mitte des 19. Jahrhunderts</w:t>
            </w:r>
            <w:r>
              <w:rPr>
                <w:noProof/>
                <w:webHidden/>
              </w:rPr>
              <w:tab/>
            </w:r>
            <w:r>
              <w:rPr>
                <w:noProof/>
                <w:webHidden/>
              </w:rPr>
              <w:fldChar w:fldCharType="begin"/>
            </w:r>
            <w:r>
              <w:rPr>
                <w:noProof/>
                <w:webHidden/>
              </w:rPr>
              <w:instrText xml:space="preserve"> PAGEREF _Toc44502173 \h </w:instrText>
            </w:r>
            <w:r>
              <w:rPr>
                <w:noProof/>
                <w:webHidden/>
              </w:rPr>
            </w:r>
            <w:r>
              <w:rPr>
                <w:noProof/>
                <w:webHidden/>
              </w:rPr>
              <w:fldChar w:fldCharType="separate"/>
            </w:r>
            <w:r>
              <w:rPr>
                <w:noProof/>
                <w:webHidden/>
              </w:rPr>
              <w:t>2</w:t>
            </w:r>
            <w:r>
              <w:rPr>
                <w:noProof/>
                <w:webHidden/>
              </w:rPr>
              <w:fldChar w:fldCharType="end"/>
            </w:r>
          </w:hyperlink>
        </w:p>
        <w:p w:rsidR="00E94863" w:rsidRDefault="00E94863">
          <w:pPr>
            <w:pStyle w:val="Verzeichnis1"/>
            <w:tabs>
              <w:tab w:val="left" w:pos="480"/>
              <w:tab w:val="right" w:leader="dot" w:pos="9344"/>
            </w:tabs>
            <w:rPr>
              <w:rFonts w:asciiTheme="minorHAnsi" w:eastAsiaTheme="minorEastAsia" w:hAnsiTheme="minorHAnsi"/>
              <w:noProof/>
              <w:sz w:val="22"/>
              <w:lang w:eastAsia="de-DE"/>
            </w:rPr>
          </w:pPr>
          <w:hyperlink w:anchor="_Toc44502174" w:history="1">
            <w:r w:rsidRPr="00CA2BFE">
              <w:rPr>
                <w:rStyle w:val="Hyperlink"/>
                <w:noProof/>
              </w:rPr>
              <w:t>3</w:t>
            </w:r>
            <w:r>
              <w:rPr>
                <w:rFonts w:asciiTheme="minorHAnsi" w:eastAsiaTheme="minorEastAsia" w:hAnsiTheme="minorHAnsi"/>
                <w:noProof/>
                <w:sz w:val="22"/>
                <w:lang w:eastAsia="de-DE"/>
              </w:rPr>
              <w:tab/>
            </w:r>
            <w:r w:rsidRPr="00CA2BFE">
              <w:rPr>
                <w:rStyle w:val="Hyperlink"/>
                <w:noProof/>
              </w:rPr>
              <w:t>Die Leistungen Pasteurs in der organischen Chemie</w:t>
            </w:r>
            <w:r>
              <w:rPr>
                <w:noProof/>
                <w:webHidden/>
              </w:rPr>
              <w:tab/>
            </w:r>
            <w:r>
              <w:rPr>
                <w:noProof/>
                <w:webHidden/>
              </w:rPr>
              <w:fldChar w:fldCharType="begin"/>
            </w:r>
            <w:r>
              <w:rPr>
                <w:noProof/>
                <w:webHidden/>
              </w:rPr>
              <w:instrText xml:space="preserve"> PAGEREF _Toc44502174 \h </w:instrText>
            </w:r>
            <w:r>
              <w:rPr>
                <w:noProof/>
                <w:webHidden/>
              </w:rPr>
            </w:r>
            <w:r>
              <w:rPr>
                <w:noProof/>
                <w:webHidden/>
              </w:rPr>
              <w:fldChar w:fldCharType="separate"/>
            </w:r>
            <w:r>
              <w:rPr>
                <w:noProof/>
                <w:webHidden/>
              </w:rPr>
              <w:t>2</w:t>
            </w:r>
            <w:r>
              <w:rPr>
                <w:noProof/>
                <w:webHidden/>
              </w:rPr>
              <w:fldChar w:fldCharType="end"/>
            </w:r>
          </w:hyperlink>
        </w:p>
        <w:p w:rsidR="00E94863" w:rsidRDefault="00E94863">
          <w:pPr>
            <w:pStyle w:val="Verzeichnis1"/>
            <w:tabs>
              <w:tab w:val="left" w:pos="480"/>
              <w:tab w:val="right" w:leader="dot" w:pos="9344"/>
            </w:tabs>
            <w:rPr>
              <w:rFonts w:asciiTheme="minorHAnsi" w:eastAsiaTheme="minorEastAsia" w:hAnsiTheme="minorHAnsi"/>
              <w:noProof/>
              <w:sz w:val="22"/>
              <w:lang w:eastAsia="de-DE"/>
            </w:rPr>
          </w:pPr>
          <w:hyperlink w:anchor="_Toc44502175" w:history="1">
            <w:r w:rsidRPr="00CA2BFE">
              <w:rPr>
                <w:rStyle w:val="Hyperlink"/>
                <w:noProof/>
              </w:rPr>
              <w:t>4</w:t>
            </w:r>
            <w:r>
              <w:rPr>
                <w:rFonts w:asciiTheme="minorHAnsi" w:eastAsiaTheme="minorEastAsia" w:hAnsiTheme="minorHAnsi"/>
                <w:noProof/>
                <w:sz w:val="22"/>
                <w:lang w:eastAsia="de-DE"/>
              </w:rPr>
              <w:tab/>
            </w:r>
            <w:r w:rsidRPr="00CA2BFE">
              <w:rPr>
                <w:rStyle w:val="Hyperlink"/>
                <w:noProof/>
              </w:rPr>
              <w:t>Die Stereo-Isomerie der Weinsäure</w:t>
            </w:r>
            <w:r>
              <w:rPr>
                <w:noProof/>
                <w:webHidden/>
              </w:rPr>
              <w:tab/>
            </w:r>
            <w:r>
              <w:rPr>
                <w:noProof/>
                <w:webHidden/>
              </w:rPr>
              <w:fldChar w:fldCharType="begin"/>
            </w:r>
            <w:r>
              <w:rPr>
                <w:noProof/>
                <w:webHidden/>
              </w:rPr>
              <w:instrText xml:space="preserve"> PAGEREF _Toc44502175 \h </w:instrText>
            </w:r>
            <w:r>
              <w:rPr>
                <w:noProof/>
                <w:webHidden/>
              </w:rPr>
            </w:r>
            <w:r>
              <w:rPr>
                <w:noProof/>
                <w:webHidden/>
              </w:rPr>
              <w:fldChar w:fldCharType="separate"/>
            </w:r>
            <w:r>
              <w:rPr>
                <w:noProof/>
                <w:webHidden/>
              </w:rPr>
              <w:t>2</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4D6282">
        <w:t>Die erste erfolgreiche Racemat-Trennung des 25-jährigen Louis Pasteur ist ein Meilenstein in der organischen Chemie, aber war es der Genie-Streich eines begnadeten Wissenschaftlers, oder hatte der jung Pasteur einfach nur eine gehörige Portion Glück? [</w:t>
      </w:r>
      <w:r w:rsidR="004D6282">
        <w:fldChar w:fldCharType="begin"/>
      </w:r>
      <w:r w:rsidR="004D6282">
        <w:instrText xml:space="preserve"> REF _Ref44048605 \r \h </w:instrText>
      </w:r>
      <w:r w:rsidR="004D6282">
        <w:fldChar w:fldCharType="separate"/>
      </w:r>
      <w:r w:rsidR="00E94863">
        <w:t>4</w:t>
      </w:r>
      <w:r w:rsidR="004D6282">
        <w:fldChar w:fldCharType="end"/>
      </w:r>
      <w:r w:rsidR="004D6282">
        <w:t>]</w:t>
      </w:r>
    </w:p>
    <w:p w:rsidR="00E8473B" w:rsidRDefault="004D6282" w:rsidP="008A524D">
      <w:pPr>
        <w:pStyle w:val="berschrift1"/>
      </w:pPr>
      <w:bookmarkStart w:id="2" w:name="_Toc44502172"/>
      <w:r>
        <w:t>Louis Pasteur</w:t>
      </w:r>
      <w:bookmarkEnd w:id="2"/>
    </w:p>
    <w:p w:rsidR="004D6282" w:rsidRDefault="004D6282" w:rsidP="004D6282">
      <w:pPr>
        <w:pStyle w:val="Bilder"/>
      </w:pPr>
      <w:r>
        <w:rPr>
          <w:lang w:eastAsia="de-DE"/>
        </w:rPr>
        <w:drawing>
          <wp:inline distT="0" distB="0" distL="0" distR="0">
            <wp:extent cx="1830667"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667" cy="2880000"/>
                    </a:xfrm>
                    <a:prstGeom prst="rect">
                      <a:avLst/>
                    </a:prstGeom>
                    <a:noFill/>
                    <a:ln>
                      <a:noFill/>
                    </a:ln>
                  </pic:spPr>
                </pic:pic>
              </a:graphicData>
            </a:graphic>
          </wp:inline>
        </w:drawing>
      </w:r>
    </w:p>
    <w:p w:rsidR="004D6282" w:rsidRDefault="004D6282" w:rsidP="004D6282">
      <w:pPr>
        <w:pStyle w:val="Beschriftung"/>
      </w:pPr>
      <w:r>
        <w:t xml:space="preserve">Abb. </w:t>
      </w:r>
      <w:fldSimple w:instr=" SEQ Abb. \* ARABIC ">
        <w:r w:rsidR="00E94863">
          <w:rPr>
            <w:noProof/>
          </w:rPr>
          <w:t>1</w:t>
        </w:r>
      </w:fldSimple>
      <w:r>
        <w:t>: Louis Pasteur [</w:t>
      </w:r>
      <w:r>
        <w:fldChar w:fldCharType="begin"/>
      </w:r>
      <w:r>
        <w:instrText xml:space="preserve"> REF _Ref44048806 \r \h </w:instrText>
      </w:r>
      <w:r>
        <w:fldChar w:fldCharType="separate"/>
      </w:r>
      <w:r w:rsidR="00E94863">
        <w:t>1</w:t>
      </w:r>
      <w:r>
        <w:fldChar w:fldCharType="end"/>
      </w:r>
      <w:r>
        <w:t>]</w:t>
      </w:r>
    </w:p>
    <w:p w:rsidR="004D6282" w:rsidRDefault="00E94863" w:rsidP="004D6282">
      <w:pPr>
        <w:pStyle w:val="Liste1Aufzhlung"/>
      </w:pPr>
      <w:r>
        <w:t>F</w:t>
      </w:r>
      <w:r w:rsidR="004D6282">
        <w:t>ranzösischer Wissenschaftler (1822 – 1895) und Pionier auf dem Gebiet der Mikro-Biologie</w:t>
      </w:r>
      <w:r>
        <w:t>,</w:t>
      </w:r>
    </w:p>
    <w:p w:rsidR="004D6282" w:rsidRDefault="004D6282" w:rsidP="004D6282">
      <w:pPr>
        <w:pStyle w:val="Liste1Aufzhlung"/>
      </w:pPr>
      <w:r>
        <w:t>er entwickelte unter anderem Impfstoffe gegen Geflügel-Cholera, Milzbrand und Tollwut</w:t>
      </w:r>
      <w:r w:rsidR="00E94863">
        <w:t>,</w:t>
      </w:r>
    </w:p>
    <w:p w:rsidR="004D6282" w:rsidRDefault="004D6282" w:rsidP="004D6282">
      <w:pPr>
        <w:pStyle w:val="Liste1Aufzhlung"/>
      </w:pPr>
      <w:r>
        <w:t>war eher weniger bekannt für seine chemischen Leistungen: er entdeckte die Chiralität sowie neue Form der Isomerie und Racemat-Trennung</w:t>
      </w:r>
      <w:r w:rsidR="00E94863">
        <w:t>.</w:t>
      </w:r>
    </w:p>
    <w:p w:rsidR="004D6282" w:rsidRDefault="006E09BF" w:rsidP="006E09BF">
      <w:pPr>
        <w:pStyle w:val="berschrift1"/>
      </w:pPr>
      <w:bookmarkStart w:id="3" w:name="_Toc44502173"/>
      <w:r>
        <w:lastRenderedPageBreak/>
        <w:t>Chemie in der Mitte des 19. Jahrhunderts</w:t>
      </w:r>
      <w:bookmarkEnd w:id="3"/>
    </w:p>
    <w:p w:rsidR="006E09BF" w:rsidRDefault="006E09BF" w:rsidP="006E09BF">
      <w:r>
        <w:t>Zu Beginn des 19. Jahrhunderts hatten die Wissenschaftler noch keine Vorstellung über die räumliche Anordnung miteinander verknüpfter Atome in Molekülen. Bekannt war – bezüglich der Wiensäure – nur die Traubensäure, die als „racemische“ Weinsäure bezeichnet wurde. Weiterhin wurde um das Jahr 1848 gezeigt, dass natürliche Weinsäure rechts-drehend (L-Weinsäure) ist. [</w:t>
      </w:r>
      <w:r>
        <w:fldChar w:fldCharType="begin"/>
      </w:r>
      <w:r>
        <w:instrText xml:space="preserve"> REF _Ref44048605 \r \h </w:instrText>
      </w:r>
      <w:r>
        <w:fldChar w:fldCharType="separate"/>
      </w:r>
      <w:r w:rsidR="00E94863">
        <w:t>4</w:t>
      </w:r>
      <w:r>
        <w:fldChar w:fldCharType="end"/>
      </w:r>
      <w:r>
        <w:t>]</w:t>
      </w:r>
    </w:p>
    <w:p w:rsidR="006E09BF" w:rsidRDefault="006E09BF" w:rsidP="006E09BF">
      <w:pPr>
        <w:pStyle w:val="berschrift1"/>
      </w:pPr>
      <w:bookmarkStart w:id="4" w:name="_Toc44502174"/>
      <w:r>
        <w:t>Die Leistungen Pasteurs in der organischen Chemie</w:t>
      </w:r>
      <w:bookmarkEnd w:id="4"/>
    </w:p>
    <w:p w:rsidR="006E09BF" w:rsidRDefault="006E09BF" w:rsidP="006E09BF">
      <w:r>
        <w:t>Louis Pasteur beschäftigte sich zur Mitte des 19. Jahrhunderts intensiv mit Natrium-Ammonium-Kristallen (er erhielt eine Probe des gemischten Natrium-Ammonium-Salzes der Traubensäure). Er entdeckte dabei die Chiralität und eine neue Art der Isomerie, d. h. er war der erste, der in seinen Studien feststellet, dass die Traubensäure kein Reinstoff, sondern ein gleich-geteiltes Gemisch auf rechts- und links-drehender Weinsäure, also ein Racemat, war. [</w:t>
      </w:r>
      <w:r>
        <w:fldChar w:fldCharType="begin"/>
      </w:r>
      <w:r>
        <w:instrText xml:space="preserve"> REF _Ref44048605 \r \h </w:instrText>
      </w:r>
      <w:r>
        <w:fldChar w:fldCharType="separate"/>
      </w:r>
      <w:r w:rsidR="00E94863">
        <w:t>4</w:t>
      </w:r>
      <w:r>
        <w:fldChar w:fldCharType="end"/>
      </w:r>
      <w:r>
        <w:t>]</w:t>
      </w:r>
    </w:p>
    <w:p w:rsidR="006E09BF" w:rsidRDefault="006E09BF" w:rsidP="006E09BF">
      <w:pPr>
        <w:pStyle w:val="berschrift1"/>
      </w:pPr>
      <w:bookmarkStart w:id="5" w:name="_Toc44502175"/>
      <w:r>
        <w:t>Die Stereo-Isomerie der Weinsäure</w:t>
      </w:r>
      <w:bookmarkEnd w:id="5"/>
    </w:p>
    <w:p w:rsidR="006E09BF" w:rsidRDefault="006E09BF" w:rsidP="006E09BF">
      <w:r>
        <w:t>Linke Schuhe passen nicht an rechte Füße und linke Handschuhe nicht an rechte Hände; diese Objekte heißen deshalb „händig“ oder „chiral“.</w:t>
      </w:r>
    </w:p>
    <w:p w:rsidR="006E09BF" w:rsidRDefault="006E09BF" w:rsidP="006E09BF">
      <w:r>
        <w:t>Zwei Moleküle können als chiral bezeichnet werden, wenn sie sich wie Bild und Spiegel-Bild verhalten.</w:t>
      </w:r>
    </w:p>
    <w:p w:rsidR="006E09BF" w:rsidRPr="006E09BF" w:rsidRDefault="006E09BF" w:rsidP="006E09BF">
      <w:pPr>
        <w:rPr>
          <w:rStyle w:val="Fett"/>
        </w:rPr>
      </w:pPr>
      <w:r w:rsidRPr="006E09BF">
        <w:rPr>
          <w:rStyle w:val="Fett"/>
        </w:rPr>
        <w:t>Ursachen für Zentro</w:t>
      </w:r>
      <w:r w:rsidR="00675B14">
        <w:rPr>
          <w:rStyle w:val="Fett"/>
        </w:rPr>
        <w:t>c</w:t>
      </w:r>
      <w:r w:rsidRPr="006E09BF">
        <w:rPr>
          <w:rStyle w:val="Fett"/>
        </w:rPr>
        <w:t>hiralität</w:t>
      </w:r>
    </w:p>
    <w:p w:rsidR="006E09BF" w:rsidRDefault="006E09BF" w:rsidP="006E09BF">
      <w:pPr>
        <w:pStyle w:val="Liste1Aufzhlung"/>
      </w:pPr>
      <w:r>
        <w:t>Ein asy</w:t>
      </w:r>
      <w:r w:rsidR="00675B14">
        <w:t>m</w:t>
      </w:r>
      <w:r>
        <w:t>metrisches, substituiertes sp</w:t>
      </w:r>
      <w:r>
        <w:rPr>
          <w:vertAlign w:val="superscript"/>
        </w:rPr>
        <w:t>3</w:t>
      </w:r>
      <w:r>
        <w:t>-Kohlenstoff-Atom trägt vier verschiedene Reste/Gruppen/Atome. Solche Kohlenstoff-Atome heißen auch Stereo- oder Chiralitätszentren.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tblGrid>
      <w:tr w:rsidR="00B822A3" w:rsidTr="00E94863">
        <w:trPr>
          <w:jc w:val="center"/>
        </w:trPr>
        <w:tc>
          <w:tcPr>
            <w:tcW w:w="3175" w:type="dxa"/>
          </w:tcPr>
          <w:p w:rsidR="00B822A3" w:rsidRDefault="00B822A3" w:rsidP="00B822A3">
            <w:pPr>
              <w:pStyle w:val="Bilder"/>
            </w:pPr>
            <w:r>
              <w:rPr>
                <w:lang w:eastAsia="de-DE"/>
              </w:rPr>
              <w:drawing>
                <wp:inline distT="0" distB="0" distL="0" distR="0" wp14:anchorId="7F6E49DD" wp14:editId="45149D32">
                  <wp:extent cx="1056005" cy="161226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005" cy="1612265"/>
                          </a:xfrm>
                          <a:prstGeom prst="rect">
                            <a:avLst/>
                          </a:prstGeom>
                          <a:noFill/>
                          <a:ln>
                            <a:noFill/>
                          </a:ln>
                        </pic:spPr>
                      </pic:pic>
                    </a:graphicData>
                  </a:graphic>
                </wp:inline>
              </w:drawing>
            </w:r>
          </w:p>
          <w:p w:rsidR="00B822A3" w:rsidRDefault="00B822A3" w:rsidP="00B822A3">
            <w:pPr>
              <w:pStyle w:val="Beschriftung"/>
            </w:pPr>
            <w:r>
              <w:t xml:space="preserve">Abb. </w:t>
            </w:r>
            <w:fldSimple w:instr=" SEQ Abb. \* ARABIC ">
              <w:r w:rsidR="00E94863">
                <w:rPr>
                  <w:noProof/>
                </w:rPr>
                <w:t>2</w:t>
              </w:r>
            </w:fldSimple>
            <w:r>
              <w:t>: D-(-)-Weinsäure [</w:t>
            </w:r>
            <w:r>
              <w:fldChar w:fldCharType="begin"/>
            </w:r>
            <w:r>
              <w:instrText xml:space="preserve"> REF _Ref44049741 \r \h  \* MERGEFORMAT </w:instrText>
            </w:r>
            <w:r>
              <w:fldChar w:fldCharType="separate"/>
            </w:r>
            <w:r w:rsidR="00E94863">
              <w:t>2</w:t>
            </w:r>
            <w:r>
              <w:fldChar w:fldCharType="end"/>
            </w:r>
            <w:r>
              <w:t>]</w:t>
            </w:r>
            <w:r>
              <w:br/>
            </w:r>
            <w:proofErr w:type="spellStart"/>
            <w:r>
              <w:t>Smp</w:t>
            </w:r>
            <w:proofErr w:type="spellEnd"/>
            <w:r>
              <w:t>.: 168 – 170°C</w:t>
            </w:r>
            <w:r>
              <w:br/>
              <w:t>d= 1,7598 g/mL</w:t>
            </w:r>
            <w:r>
              <w:br/>
              <w:t>spezifische. Drehung: -12°</w:t>
            </w:r>
          </w:p>
        </w:tc>
        <w:tc>
          <w:tcPr>
            <w:tcW w:w="3175" w:type="dxa"/>
          </w:tcPr>
          <w:p w:rsidR="00B822A3" w:rsidRDefault="00B822A3" w:rsidP="00B822A3">
            <w:pPr>
              <w:pStyle w:val="Bilder"/>
            </w:pPr>
            <w:r>
              <w:rPr>
                <w:lang w:eastAsia="de-DE"/>
              </w:rPr>
              <w:drawing>
                <wp:inline distT="0" distB="0" distL="0" distR="0" wp14:anchorId="6D2EAACF" wp14:editId="325BC2FB">
                  <wp:extent cx="1056005" cy="161226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005" cy="1612265"/>
                          </a:xfrm>
                          <a:prstGeom prst="rect">
                            <a:avLst/>
                          </a:prstGeom>
                          <a:noFill/>
                          <a:ln>
                            <a:noFill/>
                          </a:ln>
                        </pic:spPr>
                      </pic:pic>
                    </a:graphicData>
                  </a:graphic>
                </wp:inline>
              </w:drawing>
            </w:r>
          </w:p>
          <w:p w:rsidR="00B822A3" w:rsidRDefault="00B822A3" w:rsidP="00B822A3">
            <w:pPr>
              <w:pStyle w:val="Beschriftung"/>
            </w:pPr>
            <w:r>
              <w:t xml:space="preserve">Abb. </w:t>
            </w:r>
            <w:fldSimple w:instr=" SEQ Abb. \* ARABIC ">
              <w:r w:rsidR="00E94863">
                <w:rPr>
                  <w:noProof/>
                </w:rPr>
                <w:t>3</w:t>
              </w:r>
            </w:fldSimple>
            <w:r>
              <w:t>: L-(+)-Weinsäure [</w:t>
            </w:r>
            <w:r>
              <w:fldChar w:fldCharType="begin"/>
            </w:r>
            <w:r>
              <w:instrText xml:space="preserve"> REF _Ref44049826 \r \h </w:instrText>
            </w:r>
            <w:r>
              <w:fldChar w:fldCharType="separate"/>
            </w:r>
            <w:r w:rsidR="00E94863">
              <w:t>3</w:t>
            </w:r>
            <w:r>
              <w:fldChar w:fldCharType="end"/>
            </w:r>
            <w:r>
              <w:t>]</w:t>
            </w:r>
            <w:r>
              <w:br/>
            </w:r>
            <w:proofErr w:type="spellStart"/>
            <w:r>
              <w:t>Smp</w:t>
            </w:r>
            <w:proofErr w:type="spellEnd"/>
            <w:r>
              <w:t>.: 168 – 170°C</w:t>
            </w:r>
            <w:r>
              <w:br/>
              <w:t>d= 1,7598 g/mL</w:t>
            </w:r>
            <w:r>
              <w:br/>
              <w:t>spezifische Drehung: +12°</w:t>
            </w:r>
          </w:p>
        </w:tc>
      </w:tr>
    </w:tbl>
    <w:p w:rsidR="00B822A3" w:rsidRDefault="00B822A3" w:rsidP="00B822A3">
      <w:r>
        <w:t xml:space="preserve">Wird in der oben aufgeführten Tabelle die mittlere senkrechte zwischen den beiden Formel-Darstellungen (hier: Spalten-Abgrenzung) als Spiegle-Achse betrachtet, so stellt man fest, dass sich die D-(-)-Weinsäure und die L-(+)-Weinsäure wie Bild und Spiegel-Bild verhalten. Zwei Stereo-Isomere, die sich wie Bild und Spiegel-Bild verhalten, heißen </w:t>
      </w:r>
      <w:r w:rsidRPr="00B822A3">
        <w:rPr>
          <w:rStyle w:val="Fett"/>
        </w:rPr>
        <w:t>Enantiomere</w:t>
      </w:r>
      <w:r>
        <w:t>. Es muss allerdings beachtet werden, dass zwischen dem Drehsinn (Vorzeichen des Drehsinns „+“ oder „-„) und der absoluten Konfiguration kein direkter Zusammenhang besteht.</w:t>
      </w:r>
    </w:p>
    <w:p w:rsidR="00675B14" w:rsidRDefault="00675B14">
      <w:pPr>
        <w:spacing w:before="0"/>
        <w:jc w:val="left"/>
        <w:rPr>
          <w:rStyle w:val="Fett"/>
        </w:rPr>
      </w:pPr>
      <w:r>
        <w:rPr>
          <w:rStyle w:val="Fett"/>
        </w:rPr>
        <w:br w:type="page"/>
      </w:r>
    </w:p>
    <w:p w:rsidR="00B822A3" w:rsidRPr="00B822A3" w:rsidRDefault="00B822A3" w:rsidP="00B822A3">
      <w:pPr>
        <w:rPr>
          <w:rStyle w:val="Fett"/>
        </w:rPr>
      </w:pPr>
      <w:r w:rsidRPr="00B822A3">
        <w:rPr>
          <w:rStyle w:val="Fett"/>
        </w:rPr>
        <w:lastRenderedPageBreak/>
        <w:t>Relative Betrachtung: D- und L-Konfiguration</w:t>
      </w:r>
    </w:p>
    <w:p w:rsidR="00B822A3" w:rsidRDefault="00B822A3" w:rsidP="00B822A3">
      <w:r>
        <w:t>Die Bezeich</w:t>
      </w:r>
      <w:r w:rsidR="000E6BCA">
        <w:t>n</w:t>
      </w:r>
      <w:r>
        <w:t>ungen „D“ und „L“ leiten sich ursprünglich von den lateinischen Worten „dexter“ für rechts bzw. „laevus“ für links ab.</w:t>
      </w:r>
    </w:p>
    <w:p w:rsidR="00B822A3" w:rsidRDefault="00B822A3" w:rsidP="00B822A3">
      <w:r>
        <w:t xml:space="preserve">Zur Ermittlung der relativen Konfiguration wird in der Fischer-Projektion die Hydroxy-Gruppe am untersten asymmetrischen Kohlenstoff-Atom herangezogen, d. h. steht die Hydroxy-Gruppe rechts davon wird das entsprechende Molekül mit dem </w:t>
      </w:r>
      <w:r w:rsidR="000E6BCA">
        <w:t>B</w:t>
      </w:r>
      <w:r>
        <w:t>uchstaben „D“ bezeichnet und umgekehrt. In der Fischer-Projektion schreibt man das höchst-ox</w:t>
      </w:r>
      <w:r w:rsidR="000E6BCA">
        <w:t>i</w:t>
      </w:r>
      <w:r>
        <w:t>dierte C-Atom oben hin.</w:t>
      </w:r>
    </w:p>
    <w:p w:rsidR="000E6BCA" w:rsidRDefault="000E6BCA" w:rsidP="00B822A3"/>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tblGrid>
      <w:tr w:rsidR="000E6BCA" w:rsidTr="00E94863">
        <w:trPr>
          <w:jc w:val="center"/>
        </w:trPr>
        <w:tc>
          <w:tcPr>
            <w:tcW w:w="3175" w:type="dxa"/>
          </w:tcPr>
          <w:p w:rsidR="000E6BCA" w:rsidRDefault="000E6BCA" w:rsidP="000E6BCA">
            <w:pPr>
              <w:pStyle w:val="Bilder"/>
            </w:pPr>
            <w:r>
              <w:rPr>
                <w:lang w:eastAsia="de-DE"/>
              </w:rPr>
              <w:drawing>
                <wp:inline distT="0" distB="0" distL="0" distR="0">
                  <wp:extent cx="1008380" cy="1612265"/>
                  <wp:effectExtent l="0" t="0" r="127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380" cy="1612265"/>
                          </a:xfrm>
                          <a:prstGeom prst="rect">
                            <a:avLst/>
                          </a:prstGeom>
                          <a:noFill/>
                          <a:ln>
                            <a:noFill/>
                          </a:ln>
                        </pic:spPr>
                      </pic:pic>
                    </a:graphicData>
                  </a:graphic>
                </wp:inline>
              </w:drawing>
            </w:r>
          </w:p>
          <w:p w:rsidR="000E6BCA" w:rsidRDefault="000E6BCA" w:rsidP="000E6BCA">
            <w:pPr>
              <w:pStyle w:val="Beschriftung"/>
            </w:pPr>
            <w:r>
              <w:t xml:space="preserve">Abb. </w:t>
            </w:r>
            <w:fldSimple w:instr=" SEQ Abb. \* ARABIC ">
              <w:r w:rsidR="00E94863">
                <w:rPr>
                  <w:noProof/>
                </w:rPr>
                <w:t>4</w:t>
              </w:r>
            </w:fldSimple>
            <w:r>
              <w:t>: D-Weinsäure</w:t>
            </w:r>
          </w:p>
        </w:tc>
        <w:tc>
          <w:tcPr>
            <w:tcW w:w="3175" w:type="dxa"/>
          </w:tcPr>
          <w:p w:rsidR="000E6BCA" w:rsidRDefault="000E6BCA" w:rsidP="000E6BCA">
            <w:pPr>
              <w:pStyle w:val="Bilder"/>
            </w:pPr>
            <w:r>
              <w:rPr>
                <w:lang w:eastAsia="de-DE"/>
              </w:rPr>
              <w:drawing>
                <wp:inline distT="0" distB="0" distL="0" distR="0">
                  <wp:extent cx="1008380" cy="1612265"/>
                  <wp:effectExtent l="0" t="0" r="127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380" cy="1612265"/>
                          </a:xfrm>
                          <a:prstGeom prst="rect">
                            <a:avLst/>
                          </a:prstGeom>
                          <a:noFill/>
                          <a:ln>
                            <a:noFill/>
                          </a:ln>
                        </pic:spPr>
                      </pic:pic>
                    </a:graphicData>
                  </a:graphic>
                </wp:inline>
              </w:drawing>
            </w:r>
          </w:p>
          <w:p w:rsidR="000E6BCA" w:rsidRDefault="000E6BCA" w:rsidP="000E6BCA">
            <w:pPr>
              <w:pStyle w:val="Beschriftung"/>
            </w:pPr>
            <w:r>
              <w:t xml:space="preserve">Abb. </w:t>
            </w:r>
            <w:fldSimple w:instr=" SEQ Abb. \* ARABIC ">
              <w:r w:rsidR="00E94863">
                <w:rPr>
                  <w:noProof/>
                </w:rPr>
                <w:t>5</w:t>
              </w:r>
            </w:fldSimple>
            <w:r>
              <w:t>: L-Weinsäure</w:t>
            </w:r>
          </w:p>
        </w:tc>
      </w:tr>
      <w:tr w:rsidR="000E6BCA" w:rsidTr="00E94863">
        <w:trPr>
          <w:jc w:val="center"/>
        </w:trPr>
        <w:tc>
          <w:tcPr>
            <w:tcW w:w="6350" w:type="dxa"/>
            <w:gridSpan w:val="2"/>
            <w:vAlign w:val="center"/>
          </w:tcPr>
          <w:p w:rsidR="000E6BCA" w:rsidRDefault="000E6BCA" w:rsidP="000E6BCA">
            <w:pPr>
              <w:jc w:val="center"/>
            </w:pPr>
            <w:proofErr w:type="spellStart"/>
            <w:r>
              <w:t>Enantiomere</w:t>
            </w:r>
            <w:proofErr w:type="spellEnd"/>
            <w:r>
              <w:t>?</w:t>
            </w:r>
            <w:r w:rsidR="00E94863">
              <w:t xml:space="preserve"> </w:t>
            </w:r>
            <w:r>
              <w:t>Nein</w:t>
            </w:r>
            <w:r w:rsidR="00E94863">
              <w:t>, i</w:t>
            </w:r>
            <w:r>
              <w:t>dentisch!</w:t>
            </w:r>
          </w:p>
          <w:p w:rsidR="000E6BCA" w:rsidRPr="000E6BCA" w:rsidRDefault="000E6BCA" w:rsidP="000E6BCA">
            <w:pPr>
              <w:jc w:val="center"/>
              <w:rPr>
                <w:rStyle w:val="Fett"/>
              </w:rPr>
            </w:pPr>
            <w:r w:rsidRPr="000E6BCA">
              <w:rPr>
                <w:rStyle w:val="Fett"/>
              </w:rPr>
              <w:t>meso-Weinsäure</w:t>
            </w:r>
          </w:p>
        </w:tc>
      </w:tr>
    </w:tbl>
    <w:p w:rsidR="000E6BCA" w:rsidRDefault="000E6BCA" w:rsidP="000E6BCA">
      <w:r>
        <w:t xml:space="preserve">Aus den Abbildungen 2 und 3 lässt sich klar erkennen, dass es sich bei den Stereo-Isomeren mit S,S- und R,R-Konfiguration um ein Enantiomeren-Paar handelt. Betrachtet man die Stereo-Isomere in den Abbildungen 4 und 5 genauer, so sieht man, das sich Bild (R,S) und Spiegel-Bild (S, R) durch eine Drehung der Fischer-Projektion und 180° zur Deckung bringen lassen. Beide Moleküle sind daher identisch. Eine Verbindung, die zwei Chiralitätszentren besitzt, aber deckungsgleich mit ihrem Spiegel-Bild ist, bezeichnet man als </w:t>
      </w:r>
      <w:r w:rsidRPr="00675B14">
        <w:rPr>
          <w:rStyle w:val="Fett"/>
        </w:rPr>
        <w:t>meso-Verbindung</w:t>
      </w:r>
      <w:r>
        <w:t>.</w:t>
      </w:r>
    </w:p>
    <w:p w:rsidR="000E6BCA" w:rsidRDefault="000E6BCA" w:rsidP="000E6BCA">
      <w:r>
        <w:t xml:space="preserve">Zwei Stereo-Isomere, die sich nicht wie Bild und Spiegel-Bild verhalten, heißen </w:t>
      </w:r>
      <w:r w:rsidRPr="00675B14">
        <w:rPr>
          <w:rStyle w:val="Fett"/>
        </w:rPr>
        <w:t>Diastereomere</w:t>
      </w:r>
      <w:r>
        <w:t xml:space="preserve"> (Bsp.: meso-Weinsäure und D-(-)-Weinsäure).</w:t>
      </w:r>
    </w:p>
    <w:p w:rsidR="000E6BCA" w:rsidRDefault="00675B14" w:rsidP="00675B14">
      <w:pPr>
        <w:pStyle w:val="Zusammenfassung"/>
      </w:pPr>
      <w:r w:rsidRPr="00675B14">
        <w:rPr>
          <w:rStyle w:val="Fett"/>
        </w:rPr>
        <w:t>Zusammenfassung</w:t>
      </w:r>
      <w:r>
        <w:t>:</w:t>
      </w:r>
    </w:p>
    <w:p w:rsidR="00675B14" w:rsidRDefault="00675B14" w:rsidP="00675B14">
      <w:pPr>
        <w:pStyle w:val="Zusammenfassung"/>
        <w:numPr>
          <w:ilvl w:val="2"/>
          <w:numId w:val="15"/>
        </w:numPr>
      </w:pPr>
      <w:r>
        <w:t>Louis Pasteur lieferte die ersten Erkenntnisse zu stereo-chemischen Gegebenheiten in Molekülen.</w:t>
      </w:r>
    </w:p>
    <w:p w:rsidR="00675B14" w:rsidRDefault="00675B14" w:rsidP="00675B14">
      <w:pPr>
        <w:pStyle w:val="Zusammenfassung"/>
        <w:numPr>
          <w:ilvl w:val="2"/>
          <w:numId w:val="15"/>
        </w:numPr>
      </w:pPr>
      <w:r>
        <w:t>Ein Molekül ist z. B. dann chiral, wenn es mit seinem Spiegel-Bild nicht zur Deckung gebracht werden kann.</w:t>
      </w:r>
    </w:p>
    <w:p w:rsidR="00675B14" w:rsidRDefault="00675B14" w:rsidP="00675B14">
      <w:pPr>
        <w:pStyle w:val="Zusammenfassung"/>
        <w:numPr>
          <w:ilvl w:val="2"/>
          <w:numId w:val="15"/>
        </w:numPr>
      </w:pPr>
      <w:r>
        <w:t>Bei einem Stereo-Zentrum handelt es sich um ein asymmetrisch- d. h. mit vier Resten/Atomen/Gruppen tetraedrisch – substituierten sp</w:t>
      </w:r>
      <w:r>
        <w:rPr>
          <w:vertAlign w:val="superscript"/>
        </w:rPr>
        <w:t>3</w:t>
      </w:r>
      <w:r>
        <w:t>-Kohlenstoff.</w:t>
      </w:r>
    </w:p>
    <w:p w:rsidR="00675B14" w:rsidRDefault="00675B14" w:rsidP="00675B14">
      <w:pPr>
        <w:pStyle w:val="Zusammenfassung"/>
        <w:numPr>
          <w:ilvl w:val="2"/>
          <w:numId w:val="15"/>
        </w:numPr>
      </w:pPr>
      <w:r>
        <w:t>Weinsäure – 3 Stereo-Isomere: meso-Weinsäure, D-(-)-Weinsäure, L-(+)-Weinsäure.</w:t>
      </w:r>
    </w:p>
    <w:p w:rsidR="00675B14" w:rsidRPr="000E6BCA" w:rsidRDefault="00675B14" w:rsidP="00675B14">
      <w:pPr>
        <w:pStyle w:val="Zusammenfassung"/>
        <w:numPr>
          <w:ilvl w:val="2"/>
          <w:numId w:val="15"/>
        </w:numPr>
      </w:pPr>
      <w:r>
        <w:t>Die Traubensäure ist ein Racemat, also ein gleich-geteiltes Gemisch aus D-(-)-Weinsäure und L-(+)-Weinsäure.</w:t>
      </w:r>
    </w:p>
    <w:p w:rsidR="00675B14" w:rsidRDefault="00675B14">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931B30" w:rsidRDefault="004D6282" w:rsidP="00AA5678">
      <w:pPr>
        <w:pStyle w:val="AufzhlungStandard"/>
        <w:numPr>
          <w:ilvl w:val="0"/>
          <w:numId w:val="17"/>
        </w:numPr>
      </w:pPr>
      <w:bookmarkStart w:id="6" w:name="_Ref44048806"/>
      <w:r>
        <w:rPr>
          <w:rFonts w:cs="Arial"/>
        </w:rPr>
        <w:t xml:space="preserve">Louis Pasteur: </w:t>
      </w:r>
      <w:hyperlink r:id="rId14" w:history="1">
        <w:r w:rsidRPr="004C5E9E">
          <w:rPr>
            <w:rStyle w:val="Hyperlink"/>
            <w:rFonts w:cs="Arial"/>
          </w:rPr>
          <w:t>https://commons.wikimedia.org/wiki/File:Pasteur-lebayle-1845.jpg?uselang=de</w:t>
        </w:r>
      </w:hyperlink>
      <w:r>
        <w:rPr>
          <w:rFonts w:cs="Arial"/>
        </w:rPr>
        <w:t>; Urheber: Charles Lebayle, Lizenz: gemeinfrei; 26.06.2020</w:t>
      </w:r>
      <w:bookmarkEnd w:id="6"/>
    </w:p>
    <w:p w:rsidR="004D6282" w:rsidRPr="004D6282" w:rsidRDefault="004D6282" w:rsidP="00AA5678">
      <w:pPr>
        <w:pStyle w:val="AufzhlungStandard"/>
        <w:numPr>
          <w:ilvl w:val="0"/>
          <w:numId w:val="17"/>
        </w:numPr>
      </w:pPr>
      <w:bookmarkStart w:id="7" w:name="_Ref44049741"/>
      <w:r>
        <w:rPr>
          <w:rFonts w:cs="Arial"/>
        </w:rPr>
        <w:t>K. Peter, C. Vollhardt, Neil E. Shore, Organische Chemie, WILEY-VCH-Verlag, New York, 2007</w:t>
      </w:r>
      <w:bookmarkEnd w:id="7"/>
    </w:p>
    <w:p w:rsidR="004D6282" w:rsidRPr="004D6282" w:rsidRDefault="004D6282" w:rsidP="00AA5678">
      <w:pPr>
        <w:pStyle w:val="AufzhlungStandard"/>
        <w:numPr>
          <w:ilvl w:val="0"/>
          <w:numId w:val="17"/>
        </w:numPr>
      </w:pPr>
      <w:bookmarkStart w:id="8" w:name="_Ref44049826"/>
      <w:r>
        <w:rPr>
          <w:rFonts w:cs="Arial"/>
        </w:rPr>
        <w:t>K. Peter, C. Vollhardt, Neil E. Shore, Organische Chemie, WILEY-VCH-Verlag, New York, 2007</w:t>
      </w:r>
      <w:bookmarkEnd w:id="8"/>
    </w:p>
    <w:p w:rsidR="004D6282" w:rsidRPr="004D6282" w:rsidRDefault="004D6282" w:rsidP="00AA5678">
      <w:pPr>
        <w:pStyle w:val="AufzhlungStandard"/>
        <w:numPr>
          <w:ilvl w:val="0"/>
          <w:numId w:val="17"/>
        </w:numPr>
      </w:pPr>
      <w:bookmarkStart w:id="9" w:name="_Ref44048605"/>
      <w:r>
        <w:rPr>
          <w:rFonts w:cs="Arial"/>
        </w:rPr>
        <w:t>Jaenicke, Chemie in unserer Zeit, 1995, S.338-344</w:t>
      </w:r>
      <w:bookmarkEnd w:id="9"/>
    </w:p>
    <w:p w:rsidR="004D6282" w:rsidRPr="004D6282" w:rsidRDefault="00E94863" w:rsidP="00AA5678">
      <w:pPr>
        <w:pStyle w:val="AufzhlungStandard"/>
        <w:numPr>
          <w:ilvl w:val="0"/>
          <w:numId w:val="17"/>
        </w:numPr>
      </w:pPr>
      <w:hyperlink r:id="rId15" w:history="1">
        <w:r w:rsidR="004D6282">
          <w:rPr>
            <w:rStyle w:val="Hyperlink"/>
            <w:rFonts w:cs="Arial"/>
          </w:rPr>
          <w:t>http://de.wikipedia.org/wiki/Louis_Pasteur</w:t>
        </w:r>
      </w:hyperlink>
      <w:r w:rsidR="004D6282">
        <w:rPr>
          <w:rFonts w:cs="Arial"/>
        </w:rPr>
        <w:t>; 08.05.2009</w:t>
      </w:r>
    </w:p>
    <w:p w:rsidR="004D6282" w:rsidRPr="004D6282" w:rsidRDefault="00E94863" w:rsidP="00AA5678">
      <w:pPr>
        <w:pStyle w:val="AufzhlungStandard"/>
        <w:numPr>
          <w:ilvl w:val="0"/>
          <w:numId w:val="17"/>
        </w:numPr>
      </w:pPr>
      <w:hyperlink r:id="rId16" w:history="1">
        <w:r w:rsidR="004D6282">
          <w:rPr>
            <w:rStyle w:val="Hyperlink"/>
            <w:rFonts w:cs="Arial"/>
          </w:rPr>
          <w:t>http://de.wikipedia.org/wiki/Weins%C3%A4ure</w:t>
        </w:r>
      </w:hyperlink>
      <w:r w:rsidR="004D6282">
        <w:rPr>
          <w:rFonts w:cs="Arial"/>
        </w:rPr>
        <w:t>; 08.05.2009</w:t>
      </w:r>
    </w:p>
    <w:p w:rsidR="004D6282" w:rsidRDefault="00E94863" w:rsidP="00AA5678">
      <w:pPr>
        <w:pStyle w:val="AufzhlungStandard"/>
        <w:numPr>
          <w:ilvl w:val="0"/>
          <w:numId w:val="17"/>
        </w:numPr>
      </w:pPr>
      <w:hyperlink r:id="rId17" w:history="1">
        <w:r w:rsidR="004D6282">
          <w:rPr>
            <w:rStyle w:val="Hyperlink"/>
            <w:rFonts w:cs="Arial"/>
          </w:rPr>
          <w:t>http://www.uni-kiel.de/anorg/lagaly/group/klausSchiver/pasteur.pdf</w:t>
        </w:r>
      </w:hyperlink>
      <w:r w:rsidR="004D6282">
        <w:rPr>
          <w:rFonts w:cs="Arial"/>
        </w:rPr>
        <w:t>; 10.05.2009</w:t>
      </w:r>
    </w:p>
    <w:sectPr w:rsidR="004D6282" w:rsidSect="00931B30">
      <w:footerReference w:type="default" r:id="rId18"/>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CA" w:rsidRDefault="000E6BCA" w:rsidP="005A7DCE">
      <w:pPr>
        <w:spacing w:before="0"/>
      </w:pPr>
      <w:r>
        <w:separator/>
      </w:r>
    </w:p>
  </w:endnote>
  <w:endnote w:type="continuationSeparator" w:id="0">
    <w:p w:rsidR="000E6BCA" w:rsidRDefault="000E6BC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0E6BCA" w:rsidRDefault="000E6BCA">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0E6BCA" w:rsidRDefault="000E6BCA">
        <w:pPr>
          <w:pStyle w:val="Fuzeile"/>
          <w:jc w:val="center"/>
        </w:pPr>
        <w:r>
          <w:fldChar w:fldCharType="begin"/>
        </w:r>
        <w:r>
          <w:instrText>PAGE    \* MERGEFORMAT</w:instrText>
        </w:r>
        <w:r>
          <w:fldChar w:fldCharType="separate"/>
        </w:r>
        <w:r w:rsidR="00E94863">
          <w:rPr>
            <w:noProof/>
          </w:rPr>
          <w:t>4</w:t>
        </w:r>
        <w:r>
          <w:fldChar w:fldCharType="end"/>
        </w:r>
      </w:p>
    </w:sdtContent>
  </w:sdt>
  <w:p w:rsidR="000E6BCA" w:rsidRDefault="000E6B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CA" w:rsidRDefault="000E6BCA" w:rsidP="005A7DCE">
      <w:pPr>
        <w:spacing w:before="0"/>
      </w:pPr>
      <w:r>
        <w:separator/>
      </w:r>
    </w:p>
  </w:footnote>
  <w:footnote w:type="continuationSeparator" w:id="0">
    <w:p w:rsidR="000E6BCA" w:rsidRDefault="000E6BC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0E6BCA"/>
    <w:rsid w:val="0015543D"/>
    <w:rsid w:val="001D6942"/>
    <w:rsid w:val="002005EF"/>
    <w:rsid w:val="00291133"/>
    <w:rsid w:val="0033663A"/>
    <w:rsid w:val="0036111E"/>
    <w:rsid w:val="004D0FAE"/>
    <w:rsid w:val="004D6282"/>
    <w:rsid w:val="005633FE"/>
    <w:rsid w:val="0058690D"/>
    <w:rsid w:val="005A7DCE"/>
    <w:rsid w:val="00675B14"/>
    <w:rsid w:val="006C46BC"/>
    <w:rsid w:val="006E09BF"/>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822A3"/>
    <w:rsid w:val="00C47CC6"/>
    <w:rsid w:val="00C6611D"/>
    <w:rsid w:val="00D97908"/>
    <w:rsid w:val="00DB7964"/>
    <w:rsid w:val="00E14DE1"/>
    <w:rsid w:val="00E20AF3"/>
    <w:rsid w:val="00E54A99"/>
    <w:rsid w:val="00E8473B"/>
    <w:rsid w:val="00E94863"/>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495A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4D6282"/>
    <w:rPr>
      <w:color w:val="605E5C"/>
      <w:shd w:val="clear" w:color="auto" w:fill="E1DFDD"/>
    </w:rPr>
  </w:style>
  <w:style w:type="table" w:styleId="Tabellenraster">
    <w:name w:val="Table Grid"/>
    <w:basedOn w:val="NormaleTabelle"/>
    <w:uiPriority w:val="39"/>
    <w:rsid w:val="00B8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75B14"/>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uni-kiel.de/anorg/lagaly/group/klausSchiver/pasteur.pdf" TargetMode="External"/><Relationship Id="rId2" Type="http://schemas.openxmlformats.org/officeDocument/2006/relationships/numbering" Target="numbering.xml"/><Relationship Id="rId16" Type="http://schemas.openxmlformats.org/officeDocument/2006/relationships/hyperlink" Target="http://de.wikipedia.org/wiki/Weins&#228;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de.wikipedia.org/wiki/Louis_Pasteur"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mmons.wikimedia.org/wiki/File:Pasteur-lebayle-1845.jp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6945-B37A-4AD0-84D4-109680D7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3CFB09BF.dotm</Template>
  <TotalTime>0</TotalTime>
  <Pages>4</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2020-07-01T11:22:00Z</cp:lastPrinted>
  <dcterms:created xsi:type="dcterms:W3CDTF">2020-06-26T05:16:00Z</dcterms:created>
  <dcterms:modified xsi:type="dcterms:W3CDTF">2020-07-01T11:22:00Z</dcterms:modified>
</cp:coreProperties>
</file>