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F87" w:rsidRDefault="00990F87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990F87" w:rsidRDefault="00990F87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503B51" w:rsidRDefault="00E8473B" w:rsidP="00503B51">
      <w:pPr>
        <w:pStyle w:val="Seminar"/>
      </w:pPr>
      <w:r w:rsidRPr="00503B51">
        <w:t>Seminar</w:t>
      </w:r>
      <w:r w:rsidR="00FD7888" w:rsidRPr="00503B51">
        <w:t xml:space="preserve"> „Übungen im Vortragen –</w:t>
      </w:r>
      <w:r w:rsidR="00503B51" w:rsidRPr="00503B51">
        <w:t xml:space="preserve"> </w:t>
      </w:r>
      <w:r w:rsidR="00FD7888" w:rsidRPr="00503B51">
        <w:t>PC“</w:t>
      </w:r>
    </w:p>
    <w:p w:rsidR="00E8473B" w:rsidRDefault="00503B51" w:rsidP="005633FE">
      <w:pPr>
        <w:pStyle w:val="Titel"/>
      </w:pPr>
      <w:r>
        <w:t>Redox-Titration</w:t>
      </w:r>
    </w:p>
    <w:p w:rsidR="00E8473B" w:rsidRDefault="00503B51" w:rsidP="00E8473B">
      <w:pPr>
        <w:pStyle w:val="Autor"/>
      </w:pPr>
      <w:r>
        <w:t>Stefanie Springer, SS 06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3857AE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3857AE" w:rsidRPr="00BD7151">
            <w:rPr>
              <w:rStyle w:val="Hyperlink"/>
              <w:noProof/>
            </w:rPr>
            <w:fldChar w:fldCharType="begin"/>
          </w:r>
          <w:r w:rsidR="003857AE" w:rsidRPr="00BD7151">
            <w:rPr>
              <w:rStyle w:val="Hyperlink"/>
              <w:noProof/>
            </w:rPr>
            <w:instrText xml:space="preserve"> </w:instrText>
          </w:r>
          <w:r w:rsidR="003857AE">
            <w:rPr>
              <w:noProof/>
            </w:rPr>
            <w:instrText>HYPERLINK \l "_Toc45706112"</w:instrText>
          </w:r>
          <w:r w:rsidR="003857AE" w:rsidRPr="00BD7151">
            <w:rPr>
              <w:rStyle w:val="Hyperlink"/>
              <w:noProof/>
            </w:rPr>
            <w:instrText xml:space="preserve"> </w:instrText>
          </w:r>
          <w:r w:rsidR="003857AE" w:rsidRPr="00BD7151">
            <w:rPr>
              <w:rStyle w:val="Hyperlink"/>
              <w:noProof/>
            </w:rPr>
          </w:r>
          <w:r w:rsidR="003857AE" w:rsidRPr="00BD7151">
            <w:rPr>
              <w:rStyle w:val="Hyperlink"/>
              <w:noProof/>
            </w:rPr>
            <w:fldChar w:fldCharType="separate"/>
          </w:r>
          <w:r w:rsidR="003857AE" w:rsidRPr="00BD7151">
            <w:rPr>
              <w:rStyle w:val="Hyperlink"/>
              <w:noProof/>
            </w:rPr>
            <w:t>1</w:t>
          </w:r>
          <w:r w:rsidR="003857AE">
            <w:rPr>
              <w:rFonts w:asciiTheme="minorHAnsi" w:eastAsiaTheme="minorEastAsia" w:hAnsiTheme="minorHAnsi"/>
              <w:noProof/>
              <w:sz w:val="22"/>
              <w:lang w:eastAsia="de-DE"/>
            </w:rPr>
            <w:tab/>
          </w:r>
          <w:r w:rsidR="003857AE" w:rsidRPr="00BD7151">
            <w:rPr>
              <w:rStyle w:val="Hyperlink"/>
              <w:noProof/>
            </w:rPr>
            <w:t>Anwendungsbereiche</w:t>
          </w:r>
          <w:r w:rsidR="003857AE">
            <w:rPr>
              <w:noProof/>
              <w:webHidden/>
            </w:rPr>
            <w:tab/>
          </w:r>
          <w:r w:rsidR="003857AE">
            <w:rPr>
              <w:noProof/>
              <w:webHidden/>
            </w:rPr>
            <w:fldChar w:fldCharType="begin"/>
          </w:r>
          <w:r w:rsidR="003857AE">
            <w:rPr>
              <w:noProof/>
              <w:webHidden/>
            </w:rPr>
            <w:instrText xml:space="preserve"> PAGEREF _Toc45706112 \h </w:instrText>
          </w:r>
          <w:r w:rsidR="003857AE">
            <w:rPr>
              <w:noProof/>
              <w:webHidden/>
            </w:rPr>
          </w:r>
          <w:r w:rsidR="003857AE">
            <w:rPr>
              <w:noProof/>
              <w:webHidden/>
            </w:rPr>
            <w:fldChar w:fldCharType="separate"/>
          </w:r>
          <w:r w:rsidR="003857AE">
            <w:rPr>
              <w:noProof/>
              <w:webHidden/>
            </w:rPr>
            <w:t>1</w:t>
          </w:r>
          <w:r w:rsidR="003857AE">
            <w:rPr>
              <w:noProof/>
              <w:webHidden/>
            </w:rPr>
            <w:fldChar w:fldCharType="end"/>
          </w:r>
          <w:r w:rsidR="003857AE" w:rsidRPr="00BD7151">
            <w:rPr>
              <w:rStyle w:val="Hyperlink"/>
              <w:noProof/>
            </w:rPr>
            <w:fldChar w:fldCharType="end"/>
          </w:r>
        </w:p>
        <w:p w:rsidR="003857AE" w:rsidRDefault="003857A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706113" w:history="1">
            <w:r w:rsidRPr="00BD7151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BD7151">
              <w:rPr>
                <w:rStyle w:val="Hyperlink"/>
                <w:noProof/>
              </w:rPr>
              <w:t>Verfahren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7AE" w:rsidRDefault="003857AE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706114" w:history="1">
            <w:r w:rsidRPr="00BD7151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BD7151">
              <w:rPr>
                <w:rStyle w:val="Hyperlink"/>
                <w:noProof/>
              </w:rPr>
              <w:t>Redox-Titrationskurve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7AE" w:rsidRDefault="003857AE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706115" w:history="1">
            <w:r w:rsidRPr="00BD7151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BD7151">
              <w:rPr>
                <w:rStyle w:val="Hyperlink"/>
                <w:noProof/>
              </w:rPr>
              <w:t>Redox-Indikatoren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7AE" w:rsidRDefault="003857A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706116" w:history="1">
            <w:r w:rsidRPr="00BD7151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BD7151">
              <w:rPr>
                <w:rStyle w:val="Hyperlink"/>
                <w:noProof/>
              </w:rPr>
              <w:t>Das Redox-Potential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FD7888" w:rsidRDefault="00FD7888" w:rsidP="00FD7888">
      <w:pPr>
        <w:pStyle w:val="EinstiegAbschluss"/>
      </w:pPr>
      <w:bookmarkStart w:id="1" w:name="_Überschrift_1"/>
      <w:bookmarkEnd w:id="1"/>
      <w:r w:rsidRPr="00C47CC6">
        <w:rPr>
          <w:rStyle w:val="Fett"/>
        </w:rPr>
        <w:t>Einstieg</w:t>
      </w:r>
      <w:r>
        <w:t>:</w:t>
      </w:r>
      <w:r w:rsidR="00C47CC6">
        <w:t xml:space="preserve"> </w:t>
      </w:r>
      <w:r w:rsidR="003857AE">
        <w:t>fehlt</w:t>
      </w:r>
    </w:p>
    <w:p w:rsidR="00E8473B" w:rsidRDefault="00503B51" w:rsidP="008A524D">
      <w:pPr>
        <w:pStyle w:val="berschrift1"/>
      </w:pPr>
      <w:bookmarkStart w:id="2" w:name="_Toc45706112"/>
      <w:r>
        <w:t>Anwendungsbereiche</w:t>
      </w:r>
      <w:bookmarkEnd w:id="2"/>
    </w:p>
    <w:p w:rsidR="00503B51" w:rsidRDefault="00503B51" w:rsidP="00503B51">
      <w:pPr>
        <w:rPr>
          <w:rFonts w:cs="Arial"/>
        </w:rPr>
      </w:pPr>
      <w:r>
        <w:rPr>
          <w:rFonts w:cs="Arial"/>
        </w:rPr>
        <w:t>Die Redox-Titration wird vor allem in der Hydrologie zur Konzentrationsbestimmung verwendet. Mit dieser Analyse-Methode werden z. B. Eisen-, Wasserhärte- oder Verunreinigungsbestimmungen vorgenommen.</w:t>
      </w:r>
    </w:p>
    <w:p w:rsidR="00503B51" w:rsidRDefault="003857AE" w:rsidP="00503B51">
      <w:pPr>
        <w:pStyle w:val="berschrift1"/>
      </w:pPr>
      <w:bookmarkStart w:id="3" w:name="_Toc45706113"/>
      <w:r>
        <w:t>Verfahren</w:t>
      </w:r>
      <w:bookmarkEnd w:id="3"/>
    </w:p>
    <w:p w:rsidR="00503B51" w:rsidRDefault="00503B51" w:rsidP="00503B51">
      <w:pPr>
        <w:pStyle w:val="berschrift2"/>
      </w:pPr>
      <w:bookmarkStart w:id="4" w:name="_Toc45706114"/>
      <w:r>
        <w:t>Redox-Titrationskurve</w:t>
      </w:r>
      <w:bookmarkEnd w:id="4"/>
    </w:p>
    <w:p w:rsidR="00503B51" w:rsidRPr="00503B51" w:rsidRDefault="00503B51" w:rsidP="00503B51">
      <w:r w:rsidRPr="00503B51">
        <w:t>Um eine Redox</w:t>
      </w:r>
      <w:r>
        <w:t>-T</w:t>
      </w:r>
      <w:r w:rsidRPr="00503B51">
        <w:t>itrationskurve zu erhalten wird folgender Versuch durchgeführt:</w:t>
      </w:r>
    </w:p>
    <w:p w:rsidR="00503B51" w:rsidRPr="00503B51" w:rsidRDefault="00503B51" w:rsidP="00503B51">
      <w:r w:rsidRPr="00503B51">
        <w:rPr>
          <w:rStyle w:val="Fett"/>
        </w:rPr>
        <w:t>Versuch</w:t>
      </w:r>
      <w:r w:rsidRPr="00503B51">
        <w:t xml:space="preserve">: Wasserhärtebestimmung </w:t>
      </w:r>
    </w:p>
    <w:p w:rsidR="00503B51" w:rsidRPr="00503B51" w:rsidRDefault="00503B51" w:rsidP="00503B51">
      <w:r w:rsidRPr="00503B51">
        <w:rPr>
          <w:rStyle w:val="Fett"/>
        </w:rPr>
        <w:t>Versuchsbeschreibung</w:t>
      </w:r>
      <w:r w:rsidRPr="00503B51">
        <w:t>: Calcium</w:t>
      </w:r>
      <w:r>
        <w:t>-I</w:t>
      </w:r>
      <w:r w:rsidRPr="00503B51">
        <w:t>onen lassen sich aus schwach ammoniakalischer, NH</w:t>
      </w:r>
      <w:r w:rsidRPr="00503B51">
        <w:rPr>
          <w:vertAlign w:val="subscript"/>
        </w:rPr>
        <w:t>4</w:t>
      </w:r>
      <w:r w:rsidRPr="00503B51">
        <w:t>Cl enthaltender Lösung in der Siedehitze mit Ammoniumoxalat</w:t>
      </w:r>
      <w:r>
        <w:t>-L</w:t>
      </w:r>
      <w:r w:rsidRPr="00503B51">
        <w:t>ösung quantitativ ausfällen (= CaC</w:t>
      </w:r>
      <w:r w:rsidRPr="00503B51">
        <w:rPr>
          <w:vertAlign w:val="subscript"/>
        </w:rPr>
        <w:t>2</w:t>
      </w:r>
      <w:r w:rsidRPr="00503B51">
        <w:t>O</w:t>
      </w:r>
      <w:r w:rsidRPr="00503B51">
        <w:rPr>
          <w:vertAlign w:val="subscript"/>
        </w:rPr>
        <w:t>4</w:t>
      </w:r>
      <w:r w:rsidRPr="00503B51">
        <w:t>). Diese Ausfällung löst man z.</w:t>
      </w:r>
      <w:r>
        <w:t> </w:t>
      </w:r>
      <w:r w:rsidRPr="00503B51">
        <w:t xml:space="preserve">B. in Schwefelsäure und titriert nun die freiwerdende Oxalsäure mit Kaliumpermanganat-Lösung </w:t>
      </w:r>
    </w:p>
    <w:p w:rsidR="00503B51" w:rsidRPr="00503B51" w:rsidRDefault="00503B51" w:rsidP="00503B51">
      <w:r w:rsidRPr="00503B51">
        <w:rPr>
          <w:rStyle w:val="Fett"/>
        </w:rPr>
        <w:t>Versuchsaufbau</w:t>
      </w:r>
      <w:r w:rsidRPr="00503B51">
        <w:t>:</w:t>
      </w:r>
    </w:p>
    <w:p w:rsidR="00503B51" w:rsidRDefault="00503B51" w:rsidP="00503B51">
      <w:pPr>
        <w:pStyle w:val="Bilder"/>
      </w:pPr>
      <w:r>
        <w:rPr>
          <w:lang w:eastAsia="de-DE"/>
        </w:rPr>
        <w:drawing>
          <wp:inline distT="0" distB="0" distL="0" distR="0" wp14:anchorId="36CC4365">
            <wp:extent cx="1043102" cy="194400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02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B51" w:rsidRDefault="00503B51" w:rsidP="00503B51">
      <w:pPr>
        <w:pStyle w:val="Beschriftung"/>
      </w:pPr>
      <w:r>
        <w:t xml:space="preserve">Abb. </w:t>
      </w:r>
      <w:r w:rsidR="003857AE">
        <w:fldChar w:fldCharType="begin"/>
      </w:r>
      <w:r w:rsidR="003857AE">
        <w:instrText xml:space="preserve"> SEQ Abb. \* ARABIC </w:instrText>
      </w:r>
      <w:r w:rsidR="003857AE">
        <w:fldChar w:fldCharType="separate"/>
      </w:r>
      <w:r w:rsidR="003857AE">
        <w:rPr>
          <w:noProof/>
        </w:rPr>
        <w:t>1</w:t>
      </w:r>
      <w:r w:rsidR="003857AE">
        <w:rPr>
          <w:noProof/>
        </w:rPr>
        <w:fldChar w:fldCharType="end"/>
      </w:r>
      <w:r>
        <w:t xml:space="preserve">: Die Mess-Apparatur mit </w:t>
      </w:r>
      <w:proofErr w:type="spellStart"/>
      <w:r>
        <w:t>Redox</w:t>
      </w:r>
      <w:proofErr w:type="spellEnd"/>
      <w:r>
        <w:t>-Sonde</w:t>
      </w:r>
      <w:r w:rsidR="003857AE">
        <w:t>.</w:t>
      </w:r>
    </w:p>
    <w:p w:rsidR="00503B51" w:rsidRDefault="00503B51" w:rsidP="00503B51">
      <w:r>
        <w:lastRenderedPageBreak/>
        <w:t>Die Redox-Sonde wird an den Eingang (pH/Spannung) und der Tropfen-Zähler an den Ereignis-Eingang der CHEMBOX angeschlossen.</w:t>
      </w:r>
    </w:p>
    <w:p w:rsidR="00503B51" w:rsidRDefault="00503B51" w:rsidP="00503B51">
      <w:r w:rsidRPr="00503B51">
        <w:rPr>
          <w:rStyle w:val="Fett"/>
        </w:rPr>
        <w:t>Ergebnis</w:t>
      </w:r>
      <w:r>
        <w:t>:</w:t>
      </w:r>
    </w:p>
    <w:p w:rsidR="00503B51" w:rsidRDefault="00503B51" w:rsidP="00503B51">
      <w:pPr>
        <w:pStyle w:val="Bilder"/>
      </w:pPr>
      <w:r>
        <w:rPr>
          <w:lang w:eastAsia="de-DE"/>
        </w:rPr>
        <w:drawing>
          <wp:inline distT="0" distB="0" distL="0" distR="0">
            <wp:extent cx="3144455" cy="2664000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55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51" w:rsidRDefault="00503B51" w:rsidP="00503B51">
      <w:pPr>
        <w:pStyle w:val="Beschriftung"/>
      </w:pPr>
      <w:r>
        <w:t xml:space="preserve">Abb. </w:t>
      </w:r>
      <w:r w:rsidR="003857AE">
        <w:fldChar w:fldCharType="begin"/>
      </w:r>
      <w:r w:rsidR="003857AE">
        <w:instrText xml:space="preserve"> SEQ Abb. \* ARABIC </w:instrText>
      </w:r>
      <w:r w:rsidR="003857AE">
        <w:fldChar w:fldCharType="separate"/>
      </w:r>
      <w:r w:rsidR="003857AE">
        <w:rPr>
          <w:noProof/>
        </w:rPr>
        <w:t>2</w:t>
      </w:r>
      <w:r w:rsidR="003857AE">
        <w:rPr>
          <w:noProof/>
        </w:rPr>
        <w:fldChar w:fldCharType="end"/>
      </w:r>
      <w:r>
        <w:t xml:space="preserve">: </w:t>
      </w:r>
      <w:proofErr w:type="spellStart"/>
      <w:r>
        <w:t>Redox</w:t>
      </w:r>
      <w:proofErr w:type="spellEnd"/>
      <w:r>
        <w:t>-Titrationskurve mit Tangenten [</w:t>
      </w:r>
      <w:r>
        <w:fldChar w:fldCharType="begin"/>
      </w:r>
      <w:r>
        <w:instrText xml:space="preserve"> REF _Ref45533689 \r \h </w:instrText>
      </w:r>
      <w:r>
        <w:fldChar w:fldCharType="separate"/>
      </w:r>
      <w:r w:rsidR="003857AE">
        <w:t>1</w:t>
      </w:r>
      <w:r>
        <w:fldChar w:fldCharType="end"/>
      </w:r>
      <w:r>
        <w:t>]</w:t>
      </w:r>
      <w:r w:rsidR="003857AE">
        <w:t>.</w:t>
      </w:r>
    </w:p>
    <w:p w:rsidR="00503B51" w:rsidRPr="00503B51" w:rsidRDefault="00503B51" w:rsidP="00503B51">
      <w:r w:rsidRPr="00503B51">
        <w:t xml:space="preserve">Bei einer Oxidation verläuft die Titrationskurve vom niedrigeren zum höheren Potential, bei einer Reduktion umgekehrt. Bestimmung der Konzentration : </w:t>
      </w:r>
    </w:p>
    <w:p w:rsidR="00503B51" w:rsidRPr="00503B51" w:rsidRDefault="00503B51" w:rsidP="00503B51">
      <w:pPr>
        <w:pStyle w:val="Liste1Aufzhlung"/>
      </w:pPr>
      <w:r w:rsidRPr="00503B51">
        <w:t>graphisch durch Tangenten</w:t>
      </w:r>
      <w:r>
        <w:t>-M</w:t>
      </w:r>
      <w:r w:rsidRPr="00503B51">
        <w:t xml:space="preserve">ethode Konstruieren von drei geeigneten Tangenten (auch durch </w:t>
      </w:r>
      <w:proofErr w:type="spellStart"/>
      <w:r w:rsidRPr="00503B51">
        <w:t>Chembox</w:t>
      </w:r>
      <w:proofErr w:type="spellEnd"/>
      <w:r w:rsidRPr="00503B51">
        <w:t>-Programm möglich), Ablesen der Spannung an den beiden Schnittpunkten der Tangenten, Subtraktion der beiden Werte, die Hälfte dieses Wertes entspricht dem Potential des Äquivalenz</w:t>
      </w:r>
      <w:r>
        <w:t>-P</w:t>
      </w:r>
      <w:r w:rsidRPr="00503B51">
        <w:t>unktes.</w:t>
      </w:r>
    </w:p>
    <w:p w:rsidR="00503B51" w:rsidRPr="00503B51" w:rsidRDefault="00503B51" w:rsidP="00503B51">
      <w:pPr>
        <w:pStyle w:val="Liste1Aufzhlung"/>
      </w:pPr>
      <w:r w:rsidRPr="00503B51">
        <w:t>mathematisch (hier nicht durchgeführt).</w:t>
      </w:r>
    </w:p>
    <w:p w:rsidR="00503B51" w:rsidRDefault="00503B51" w:rsidP="00503B51">
      <w:pPr>
        <w:pStyle w:val="berschrift2"/>
      </w:pPr>
      <w:bookmarkStart w:id="5" w:name="_Toc45706115"/>
      <w:r>
        <w:t>Redox-Indikatoren</w:t>
      </w:r>
      <w:bookmarkEnd w:id="5"/>
    </w:p>
    <w:p w:rsidR="00B75E9E" w:rsidRPr="00B75E9E" w:rsidRDefault="00B75E9E" w:rsidP="00B75E9E">
      <w:r w:rsidRPr="00B75E9E">
        <w:t>Eine Zugabe ist nicht nötig, wenn ein Redox</w:t>
      </w:r>
      <w:r>
        <w:t>-P</w:t>
      </w:r>
      <w:r w:rsidRPr="00B75E9E">
        <w:t>artner farbig ist, z.</w:t>
      </w:r>
      <w:r>
        <w:t> </w:t>
      </w:r>
      <w:r w:rsidRPr="00B75E9E">
        <w:t>B. bei Kaliumpermanganat KMnO</w:t>
      </w:r>
      <w:r w:rsidRPr="00B75E9E">
        <w:rPr>
          <w:vertAlign w:val="subscript"/>
        </w:rPr>
        <w:t>4</w:t>
      </w:r>
      <w:r w:rsidRPr="00B75E9E">
        <w:t xml:space="preserve">: </w:t>
      </w:r>
      <w:proofErr w:type="spellStart"/>
      <w:r w:rsidRPr="00B75E9E">
        <w:t>Mn</w:t>
      </w:r>
      <w:proofErr w:type="spellEnd"/>
      <w:r w:rsidRPr="00B75E9E">
        <w:t xml:space="preserve"> (+VII) ist rot, </w:t>
      </w:r>
      <w:proofErr w:type="spellStart"/>
      <w:r w:rsidRPr="00B75E9E">
        <w:t>Mn</w:t>
      </w:r>
      <w:proofErr w:type="spellEnd"/>
      <w:r w:rsidRPr="00B75E9E">
        <w:t xml:space="preserve"> (+II) dagegen farblos.</w:t>
      </w:r>
    </w:p>
    <w:p w:rsidR="00B75E9E" w:rsidRPr="00B75E9E" w:rsidRDefault="00B75E9E" w:rsidP="00B75E9E">
      <w:r w:rsidRPr="00B75E9E">
        <w:t>Im Folgenden soll eine Redox</w:t>
      </w:r>
      <w:r>
        <w:t>-G</w:t>
      </w:r>
      <w:r w:rsidRPr="00B75E9E">
        <w:t>leichung bezüglich dieses Beispiels aufgestellt werden.</w:t>
      </w:r>
    </w:p>
    <w:p w:rsidR="00B75E9E" w:rsidRPr="00B75E9E" w:rsidRDefault="00B75E9E" w:rsidP="00B75E9E">
      <w:r w:rsidRPr="00D51FA5">
        <w:rPr>
          <w:rStyle w:val="Fett"/>
        </w:rPr>
        <w:t>Oxidation</w:t>
      </w:r>
      <w:r w:rsidRPr="00B75E9E">
        <w:t>:</w:t>
      </w:r>
    </w:p>
    <w:p w:rsidR="00503B51" w:rsidRDefault="00B75E9E" w:rsidP="00B75E9E">
      <w:pPr>
        <w:ind w:left="567"/>
        <w:rPr>
          <w:rFonts w:eastAsiaTheme="minorEastAsia"/>
        </w:rPr>
      </w:pPr>
      <w:r>
        <w:t xml:space="preserve">Voraussetzung: </w:t>
      </w:r>
      <w:r>
        <w:tab/>
      </w:r>
      <w: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w:proofErr w:type="spellStart"/>
            <m:r>
              <m:rPr>
                <m:nor/>
              </m:rPr>
              <w:rPr>
                <w:rFonts w:asciiTheme="minorHAnsi" w:hAnsiTheme="minorHAnsi" w:cstheme="minorHAnsi"/>
              </w:rPr>
              <m:t>Fe</m:t>
            </m:r>
            <w:proofErr w:type="spellEnd"/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2+</m:t>
            </m:r>
          </m:sup>
        </m:sSup>
        <m:r>
          <m:rPr>
            <m:nor/>
          </m:rPr>
          <w:rPr>
            <w:rFonts w:ascii="Cambria Math" w:hAnsi="Cambria Math" w:cs="Cambria Math"/>
          </w:rPr>
          <m:t>⟶</m:t>
        </m:r>
        <m:r>
          <m:rPr>
            <m:nor/>
          </m:rPr>
          <w:rPr>
            <w:rFonts w:asciiTheme="minorHAnsi" w:hAnsiTheme="minorHAnsi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w:proofErr w:type="spellStart"/>
            <m:r>
              <m:rPr>
                <m:nor/>
              </m:rPr>
              <w:rPr>
                <w:rFonts w:asciiTheme="minorHAnsi" w:hAnsiTheme="minorHAnsi" w:cstheme="minorHAnsi"/>
              </w:rPr>
              <m:t>Fe</m:t>
            </m:r>
            <w:proofErr w:type="spellEnd"/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3+</m:t>
            </m:r>
          </m:sup>
        </m:sSup>
      </m:oMath>
    </w:p>
    <w:p w:rsidR="00B75E9E" w:rsidRPr="003857AE" w:rsidRDefault="00B75E9E" w:rsidP="00B75E9E">
      <w:pPr>
        <w:ind w:left="567"/>
        <w:rPr>
          <w:rFonts w:asciiTheme="minorHAnsi" w:eastAsiaTheme="minorEastAsia" w:hAnsiTheme="minorHAnsi" w:cstheme="minorHAnsi"/>
        </w:rPr>
      </w:pPr>
      <w:r>
        <w:rPr>
          <w:rFonts w:eastAsiaTheme="minorEastAsia"/>
        </w:rPr>
        <w:t>Elektronen-Ausgleich: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Theme="minorHAnsi" w:eastAsiaTheme="minorEastAsia" w:hAnsiTheme="minorHAnsi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Fe</m:t>
            </m:r>
          </m:e>
          <m:sup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2+</m:t>
            </m:r>
          </m:sup>
        </m:sSup>
        <m:r>
          <m:rPr>
            <m:nor/>
          </m:rPr>
          <w:rPr>
            <w:rFonts w:asciiTheme="minorHAnsi" w:eastAsiaTheme="minorEastAsia" w:hAnsiTheme="minorHAnsi" w:cstheme="minorHAnsi"/>
          </w:rPr>
          <m:t xml:space="preserve"> →</m:t>
        </m:r>
        <m:r>
          <w:rPr>
            <w:rFonts w:asciiTheme="minorHAnsi" w:eastAsiaTheme="minorEastAsia" w:hAnsiTheme="minorHAnsi" w:cstheme="minorHAnsi"/>
          </w:rPr>
          <m:t xml:space="preserve"> </m:t>
        </m:r>
        <m:sSup>
          <m:sSupPr>
            <m:ctrlPr>
              <w:rPr>
                <w:rFonts w:asciiTheme="minorHAnsi" w:eastAsiaTheme="minorEastAsia" w:hAnsiTheme="minorHAnsi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Fe</m:t>
            </m:r>
          </m:e>
          <m:sup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3+</m:t>
            </m:r>
          </m:sup>
        </m:sSup>
        <m:r>
          <m:rPr>
            <m:nor/>
          </m:rPr>
          <w:rPr>
            <w:rFonts w:asciiTheme="minorHAnsi" w:eastAsiaTheme="minorEastAsia" w:hAnsiTheme="minorHAnsi" w:cstheme="minorHAnsi"/>
          </w:rPr>
          <m:t>+1</m:t>
        </m:r>
        <m:sSup>
          <m:sSupPr>
            <m:ctrlPr>
              <w:rPr>
                <w:rFonts w:asciiTheme="minorHAnsi" w:eastAsiaTheme="minorEastAsia" w:hAnsiTheme="minorHAnsi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e</m:t>
            </m:r>
          </m:e>
          <m:sup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-</m:t>
            </m:r>
          </m:sup>
        </m:sSup>
        <m:r>
          <m:rPr>
            <m:nor/>
          </m:rPr>
          <w:rPr>
            <w:rFonts w:asciiTheme="minorHAnsi" w:eastAsiaTheme="minorEastAsia" w:hAnsiTheme="minorHAnsi" w:cstheme="minorHAnsi"/>
          </w:rPr>
          <m:t xml:space="preserve"> </m:t>
        </m:r>
      </m:oMath>
      <w:r w:rsidRPr="003857AE">
        <w:rPr>
          <w:rFonts w:asciiTheme="minorHAnsi" w:eastAsiaTheme="minorEastAsia" w:hAnsiTheme="minorHAnsi" w:cstheme="minorHAnsi"/>
        </w:rPr>
        <w:t>/*5</w:t>
      </w:r>
    </w:p>
    <w:p w:rsidR="00B75E9E" w:rsidRDefault="00B75E9E" w:rsidP="00B75E9E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Ladungsausgleich: </w:t>
      </w:r>
      <w:r>
        <w:rPr>
          <w:rFonts w:eastAsiaTheme="minorEastAsia"/>
        </w:rPr>
        <w:tab/>
      </w:r>
      <w:r>
        <w:rPr>
          <w:rFonts w:eastAsiaTheme="minorEastAsia"/>
        </w:rPr>
        <w:tab/>
        <w:t>-/-</w:t>
      </w:r>
    </w:p>
    <w:p w:rsidR="00B75E9E" w:rsidRDefault="00B75E9E" w:rsidP="00B75E9E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Stoff-Ausgleich: </w:t>
      </w:r>
      <w:r>
        <w:rPr>
          <w:rFonts w:eastAsiaTheme="minorEastAsia"/>
        </w:rPr>
        <w:tab/>
      </w:r>
      <w:r>
        <w:rPr>
          <w:rFonts w:eastAsiaTheme="minorEastAsia"/>
        </w:rPr>
        <w:tab/>
        <w:t>-/-</w:t>
      </w:r>
    </w:p>
    <w:p w:rsidR="00B75E9E" w:rsidRDefault="00B75E9E" w:rsidP="00B75E9E">
      <w:pPr>
        <w:rPr>
          <w:rFonts w:eastAsiaTheme="minorEastAsia"/>
        </w:rPr>
      </w:pPr>
      <w:r w:rsidRPr="00D51FA5">
        <w:rPr>
          <w:rStyle w:val="Fett"/>
        </w:rPr>
        <w:t>Reduktion</w:t>
      </w:r>
      <w:r>
        <w:rPr>
          <w:rFonts w:eastAsiaTheme="minorEastAsia"/>
        </w:rPr>
        <w:t>:</w:t>
      </w:r>
    </w:p>
    <w:p w:rsidR="00B75E9E" w:rsidRDefault="00B75E9E" w:rsidP="00B75E9E">
      <w:pPr>
        <w:ind w:left="567"/>
        <w:rPr>
          <w:rFonts w:eastAsiaTheme="minorEastAsia"/>
        </w:rPr>
      </w:pPr>
      <w:r>
        <w:t xml:space="preserve">Voraussetzung: </w:t>
      </w:r>
      <w:r>
        <w:tab/>
      </w:r>
      <w:r>
        <w:tab/>
      </w:r>
      <m:oMath>
        <m:sSup>
          <m:sSupPr>
            <m:ctrlPr>
              <w:rPr>
                <w:rFonts w:asciiTheme="minorHAnsi" w:hAnsiTheme="minorHAnsi" w:cstheme="minorHAnsi"/>
                <w:i/>
              </w:rPr>
            </m:ctrlPr>
          </m:sSupPr>
          <m:e>
            <m:sSub>
              <m:sSubPr>
                <m:ctrlPr>
                  <w:rPr>
                    <w:rFonts w:asciiTheme="minorHAnsi" w:hAnsiTheme="minorHAnsi" w:cstheme="minorHAnsi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MnO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4</m:t>
                </m:r>
              </m:sub>
            </m:sSub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-</m:t>
            </m:r>
          </m:sup>
        </m:sSup>
        <m:r>
          <m:rPr>
            <m:nor/>
          </m:rPr>
          <w:rPr>
            <w:rFonts w:asciiTheme="minorHAnsi" w:hAnsiTheme="minorHAnsi" w:cstheme="minorHAnsi"/>
          </w:rPr>
          <w:sym w:font="Wingdings 3" w:char="F092"/>
        </m:r>
        <m:r>
          <m:rPr>
            <m:nor/>
          </m:rPr>
          <w:rPr>
            <w:rFonts w:asciiTheme="minorHAnsi" w:hAnsiTheme="minorHAnsi" w:cstheme="minorHAnsi"/>
          </w:rPr>
          <m:t xml:space="preserve"> </m:t>
        </m:r>
        <m:sSup>
          <m:sSupPr>
            <m:ctrlPr>
              <w:rPr>
                <w:rFonts w:asciiTheme="minorHAnsi" w:hAnsiTheme="minorHAnsi" w:cstheme="minorHAnsi"/>
                <w:i/>
              </w:rPr>
            </m:ctrlPr>
          </m:sSupPr>
          <m:e>
            <w:proofErr w:type="spellStart"/>
            <m:r>
              <m:rPr>
                <m:nor/>
              </m:rPr>
              <w:rPr>
                <w:rFonts w:asciiTheme="minorHAnsi" w:hAnsiTheme="minorHAnsi" w:cstheme="minorHAnsi"/>
              </w:rPr>
              <m:t>Mn</m:t>
            </m:r>
            <w:proofErr w:type="spellEnd"/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2+</m:t>
            </m:r>
          </m:sup>
        </m:sSup>
      </m:oMath>
    </w:p>
    <w:p w:rsidR="00B75E9E" w:rsidRDefault="00B75E9E" w:rsidP="00B75E9E">
      <w:pPr>
        <w:ind w:left="567"/>
        <w:rPr>
          <w:rFonts w:eastAsiaTheme="minorEastAsia"/>
        </w:rPr>
      </w:pPr>
      <w:r>
        <w:rPr>
          <w:rFonts w:eastAsiaTheme="minorEastAsia"/>
        </w:rPr>
        <w:t>Elektronen-Ausgleich:</w:t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MnO</m:t>
            </m:r>
          </m:e>
          <m:sub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4</m:t>
            </m:r>
          </m:sub>
          <m:sup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-</m:t>
            </m:r>
          </m:sup>
        </m:sSubSup>
        <m:r>
          <m:rPr>
            <m:nor/>
          </m:rPr>
          <w:rPr>
            <w:rFonts w:asciiTheme="minorHAnsi" w:eastAsiaTheme="minorEastAsia" w:hAnsiTheme="minorHAnsi" w:cstheme="minorHAnsi"/>
          </w:rPr>
          <m:t>+5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e</m:t>
            </m:r>
          </m:e>
          <m:sup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-</m:t>
            </m:r>
          </m:sup>
        </m:sSup>
        <m:r>
          <m:rPr>
            <m:nor/>
          </m:rPr>
          <w:rPr>
            <w:rFonts w:asciiTheme="minorHAnsi" w:eastAsiaTheme="minorEastAsia" w:hAnsiTheme="minorHAnsi" w:cstheme="minorHAnsi"/>
          </w:rPr>
          <m:t xml:space="preserve"> →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Mn</m:t>
            </m:r>
          </m:e>
          <m:sup>
            <m:r>
              <m:rPr>
                <m:nor/>
              </m:rPr>
              <w:rPr>
                <w:rFonts w:asciiTheme="minorHAnsi" w:eastAsiaTheme="minorEastAsia" w:hAnsiTheme="minorHAnsi" w:cstheme="minorHAnsi"/>
              </w:rPr>
              <m:t>2+</m:t>
            </m:r>
          </m:sup>
        </m:sSup>
      </m:oMath>
    </w:p>
    <w:p w:rsidR="00B75E9E" w:rsidRDefault="00B75E9E" w:rsidP="00B75E9E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Ladungsausgleich: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 w:cstheme="minorHAnsi"/>
              </w:rPr>
            </m:ctrlPr>
          </m:sSubSupPr>
          <m:e>
            <m:r>
              <m:rPr>
                <m:nor/>
              </m:rPr>
              <w:rPr>
                <w:rFonts w:asciiTheme="minorHAnsi" w:hAnsiTheme="minorHAnsi" w:cstheme="minorHAnsi"/>
              </w:rPr>
              <m:t>MnO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</w:rPr>
              <m:t>4</m:t>
            </m:r>
          </m:sub>
          <m:sup>
            <m:r>
              <m:rPr>
                <m:nor/>
              </m:rPr>
              <w:rPr>
                <w:rFonts w:asciiTheme="minorHAnsi" w:hAnsiTheme="minorHAnsi" w:cstheme="minorHAnsi"/>
              </w:rPr>
              <m:t>-</m:t>
            </m:r>
          </m:sup>
        </m:sSubSup>
        <m:r>
          <m:rPr>
            <m:nor/>
          </m:rPr>
          <w:rPr>
            <w:rFonts w:asciiTheme="minorHAnsi" w:hAnsiTheme="minorHAnsi" w:cstheme="minorHAnsi"/>
          </w:rPr>
          <m:t>+5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e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-</m:t>
            </m:r>
          </m:sup>
        </m:sSup>
        <m:r>
          <m:rPr>
            <m:nor/>
          </m:rPr>
          <w:rPr>
            <w:rFonts w:asciiTheme="minorHAnsi" w:hAnsiTheme="minorHAnsi" w:cstheme="minorHAnsi"/>
          </w:rPr>
          <m:t xml:space="preserve"> + 8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H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+</m:t>
            </m:r>
          </m:sup>
        </m:sSup>
        <m:r>
          <m:rPr>
            <m:nor/>
          </m:rPr>
          <w:rPr>
            <w:rFonts w:asciiTheme="minorHAnsi" w:hAnsiTheme="minorHAnsi" w:cstheme="minorHAnsi"/>
          </w:rPr>
          <m:t xml:space="preserve"> → 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Mn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2+</m:t>
            </m:r>
          </m:sup>
        </m:sSup>
      </m:oMath>
    </w:p>
    <w:p w:rsidR="00B75E9E" w:rsidRDefault="00B75E9E" w:rsidP="00B75E9E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Stoff-Ausgleich: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 w:cstheme="minorHAnsi"/>
              </w:rPr>
            </m:ctrlPr>
          </m:sSubSupPr>
          <m:e>
            <m:r>
              <m:rPr>
                <m:nor/>
              </m:rPr>
              <w:rPr>
                <w:rFonts w:asciiTheme="minorHAnsi" w:hAnsiTheme="minorHAnsi" w:cstheme="minorHAnsi"/>
              </w:rPr>
              <m:t>MnO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</w:rPr>
              <m:t>4</m:t>
            </m:r>
          </m:sub>
          <m:sup>
            <m:r>
              <m:rPr>
                <m:nor/>
              </m:rPr>
              <w:rPr>
                <w:rFonts w:asciiTheme="minorHAnsi" w:hAnsiTheme="minorHAnsi" w:cstheme="minorHAnsi"/>
              </w:rPr>
              <m:t>-</m:t>
            </m:r>
          </m:sup>
        </m:sSubSup>
        <m:r>
          <m:rPr>
            <m:nor/>
          </m:rPr>
          <w:rPr>
            <w:rFonts w:asciiTheme="minorHAnsi" w:hAnsiTheme="minorHAnsi" w:cstheme="minorHAnsi"/>
          </w:rPr>
          <m:t>+5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e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-</m:t>
            </m:r>
          </m:sup>
        </m:sSup>
        <m:r>
          <m:rPr>
            <m:nor/>
          </m:rPr>
          <w:rPr>
            <w:rFonts w:asciiTheme="minorHAnsi" w:hAnsiTheme="minorHAnsi" w:cstheme="minorHAnsi"/>
          </w:rPr>
          <m:t xml:space="preserve"> + 8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H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+</m:t>
            </m:r>
          </m:sup>
        </m:sSup>
        <m:r>
          <m:rPr>
            <m:nor/>
          </m:rPr>
          <w:rPr>
            <w:rFonts w:asciiTheme="minorHAnsi" w:hAnsiTheme="minorHAnsi" w:cstheme="minorHAnsi"/>
          </w:rPr>
          <m:t xml:space="preserve"> →</m:t>
        </m:r>
        <m:r>
          <m:rPr>
            <m:nor/>
          </m:rPr>
          <w:rPr>
            <w:rFonts w:asciiTheme="minorHAnsi" w:hAnsiTheme="minorHAnsi" w:cstheme="minorHAnsi"/>
            <w:i/>
          </w:rPr>
          <m:t xml:space="preserve"> 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Mn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2+</m:t>
            </m:r>
          </m:sup>
        </m:sSup>
        <m:r>
          <m:rPr>
            <m:nor/>
          </m:rPr>
          <w:rPr>
            <w:rFonts w:asciiTheme="minorHAnsi" w:hAnsiTheme="minorHAnsi" w:cstheme="minorHAnsi"/>
          </w:rPr>
          <m:t>+4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nor/>
              </m:rPr>
              <w:rPr>
                <w:rFonts w:asciiTheme="minorHAnsi" w:hAnsiTheme="minorHAnsi" w:cstheme="minorHAnsi"/>
              </w:rPr>
              <m:t>H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</w:rPr>
              <m:t>2</m:t>
            </m:r>
          </m:sub>
        </m:sSub>
        <m:r>
          <m:rPr>
            <m:nor/>
          </m:rPr>
          <w:rPr>
            <w:rFonts w:asciiTheme="minorHAnsi" w:hAnsiTheme="minorHAnsi" w:cstheme="minorHAnsi"/>
          </w:rPr>
          <m:t>O</m:t>
        </m:r>
      </m:oMath>
      <w:r>
        <w:rPr>
          <w:rFonts w:eastAsiaTheme="minorEastAsia"/>
        </w:rPr>
        <w:t xml:space="preserve"> /*1</w:t>
      </w:r>
    </w:p>
    <w:p w:rsidR="00B75E9E" w:rsidRDefault="00B75E9E" w:rsidP="00B75E9E">
      <w:r w:rsidRPr="00D51FA5">
        <w:rPr>
          <w:rStyle w:val="Fett"/>
        </w:rPr>
        <w:t>Gesamt-Gleichung</w:t>
      </w:r>
      <w:r>
        <w:t>:</w:t>
      </w:r>
    </w:p>
    <w:p w:rsidR="00B75E9E" w:rsidRPr="00B75E9E" w:rsidRDefault="003857AE" w:rsidP="00B75E9E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KMnO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8HCl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5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FeCl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5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FeCl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MnCl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4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:rsidR="00B75E9E" w:rsidRDefault="003857AE" w:rsidP="00B75E9E">
      <w:pPr>
        <w:pStyle w:val="berschrift1"/>
      </w:pPr>
      <w:bookmarkStart w:id="6" w:name="_Toc45706116"/>
      <w:r>
        <w:t>Das</w:t>
      </w:r>
      <w:r w:rsidR="00B75E9E">
        <w:t xml:space="preserve"> </w:t>
      </w:r>
      <w:proofErr w:type="spellStart"/>
      <w:r w:rsidR="00B75E9E">
        <w:t>Redox</w:t>
      </w:r>
      <w:proofErr w:type="spellEnd"/>
      <w:r w:rsidR="00B75E9E">
        <w:t>-Potential</w:t>
      </w:r>
      <w:bookmarkEnd w:id="6"/>
    </w:p>
    <w:p w:rsidR="00B75E9E" w:rsidRDefault="00B75E9E" w:rsidP="00B75E9E">
      <w:r>
        <w:t>Die Fähigkeit eines Teilchens oxidierend oder reduzierend zu wirken (Spannungsreihe). Es wird wie folgt berechnet:</w:t>
      </w:r>
    </w:p>
    <w:p w:rsidR="00B75E9E" w:rsidRPr="00A901A4" w:rsidRDefault="003857AE" w:rsidP="00A901A4">
      <w:pPr>
        <w:pStyle w:val="Formeln"/>
        <w:numPr>
          <w:ilvl w:val="0"/>
          <w:numId w:val="22"/>
        </w:numPr>
        <w:ind w:left="0" w:firstLine="0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μ</m:t>
            </m:r>
          </m:e>
          <m:sub>
            <m:r>
              <m:rPr>
                <m:nor/>
              </m:rPr>
              <m:t>i</m:t>
            </m:r>
          </m:sub>
          <m:sup>
            <m:r>
              <m:rPr>
                <m:nor/>
              </m:rPr>
              <m:t>*</m:t>
            </m:r>
          </m:sup>
        </m:sSubSup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=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μ</m:t>
            </m:r>
          </m:e>
          <m:sub>
            <m:r>
              <m:rPr>
                <m:nor/>
              </m:rPr>
              <m:t>1</m:t>
            </m:r>
          </m:sub>
        </m:sSub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+</m:t>
        </m:r>
        <m:r>
          <m:rPr>
            <m:nor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z</m:t>
            </m:r>
          </m:e>
          <m:sub>
            <m:r>
              <m:rPr>
                <m:nor/>
              </m:rPr>
              <m:t>1</m:t>
            </m:r>
          </m:sub>
        </m:sSub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*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F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*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φ</m:t>
        </m:r>
      </m:oMath>
    </w:p>
    <w:p w:rsidR="00A901A4" w:rsidRDefault="00A901A4" w:rsidP="00D51FA5">
      <w:pPr>
        <w:pStyle w:val="Beschriftung"/>
        <w:rPr>
          <w:rFonts w:cs="Arial"/>
        </w:rPr>
      </w:pPr>
      <w:r>
        <w:t xml:space="preserve">Elektrochemisches Potential </w:t>
      </w:r>
      <w:proofErr w:type="spellStart"/>
      <w:r>
        <w:t>m</w:t>
      </w:r>
      <w:r>
        <w:rPr>
          <w:rFonts w:cs="Arial"/>
        </w:rPr>
        <w:t>μ</w:t>
      </w:r>
      <w:proofErr w:type="spellEnd"/>
      <w:r w:rsidRPr="00A901A4">
        <w:rPr>
          <w:vertAlign w:val="superscript"/>
        </w:rPr>
        <w:t>*</w:t>
      </w:r>
      <w:r w:rsidRPr="00A901A4">
        <w:rPr>
          <w:vertAlign w:val="subscript"/>
        </w:rPr>
        <w:t>i</w:t>
      </w:r>
      <w:r>
        <w:t xml:space="preserve"> = chemisches Potential </w:t>
      </w:r>
      <w:proofErr w:type="spellStart"/>
      <w:r>
        <w:t>m</w:t>
      </w:r>
      <w:r>
        <w:rPr>
          <w:rFonts w:cs="Arial"/>
        </w:rPr>
        <w:t>μ</w:t>
      </w:r>
      <w:r w:rsidRPr="00A901A4">
        <w:rPr>
          <w:rFonts w:cs="Arial"/>
          <w:vertAlign w:val="subscript"/>
        </w:rPr>
        <w:t>i</w:t>
      </w:r>
      <w:proofErr w:type="spellEnd"/>
      <w:r>
        <w:rPr>
          <w:rFonts w:cs="Arial"/>
        </w:rPr>
        <w:t xml:space="preserve"> eines Ions in einem elektrischen Potential φ</w:t>
      </w:r>
    </w:p>
    <w:p w:rsidR="00A901A4" w:rsidRPr="003857AE" w:rsidRDefault="003857AE" w:rsidP="00A901A4">
      <w:pPr>
        <w:pStyle w:val="Formeln"/>
        <w:numPr>
          <w:ilvl w:val="0"/>
          <w:numId w:val="22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Pr>
          <m:e>
            <m:r>
              <m:rPr>
                <m:nor/>
              </m:rPr>
              <m:t>μ</m:t>
            </m:r>
          </m:e>
          <m:sub>
            <w:proofErr w:type="spellStart"/>
            <m:r>
              <m:rPr>
                <m:nor/>
              </m:rPr>
              <w:rPr>
                <w:lang w:val="en-US"/>
              </w:rPr>
              <m:t>i</m:t>
            </m:r>
            <w:proofErr w:type="spellEnd"/>
          </m:sub>
        </m:sSub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pPr>
          <m:e>
            <m:r>
              <m:rPr>
                <m:nor/>
              </m:rPr>
              <m:t>μ</m:t>
            </m:r>
          </m:e>
          <m:sup>
            <m:r>
              <m:rPr>
                <m:nor/>
              </m:rPr>
              <w:rPr>
                <w:lang w:val="en-US"/>
              </w:rPr>
              <m:t>0</m:t>
            </m:r>
          </m:sup>
        </m:sSup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>+</m:t>
        </m:r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>R</m:t>
        </m:r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>*</m:t>
        </m:r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>T</m:t>
        </m:r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>*</m:t>
        </m:r>
        <m:func>
          <m:funcPr>
            <m:ctrlPr>
              <w:rPr>
                <w:rFonts w:ascii="Cambria Math" w:hAnsi="Cambria Math"/>
                <w:sz w:val="24"/>
                <w:szCs w:val="22"/>
              </w:rPr>
            </m:ctrlPr>
          </m:funcPr>
          <m:fName>
            <m:r>
              <m:rPr>
                <m:nor/>
              </m:rPr>
              <w:rPr>
                <w:lang w:val="en-US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a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lang w:val="en-US"/>
                      </w:rPr>
                      <m:t>i</m:t>
                    </m:r>
                    <w:proofErr w:type="spellEnd"/>
                  </m:sub>
                </m:sSub>
              </m:e>
            </m:d>
          </m:e>
        </m:func>
      </m:oMath>
    </w:p>
    <w:p w:rsidR="00A901A4" w:rsidRDefault="00A901A4" w:rsidP="00D51FA5">
      <w:pPr>
        <w:pStyle w:val="Beschriftung"/>
      </w:pPr>
      <w:proofErr w:type="spellStart"/>
      <w:r>
        <w:t>z</w:t>
      </w:r>
      <w:r w:rsidRPr="00A901A4">
        <w:rPr>
          <w:vertAlign w:val="subscript"/>
        </w:rPr>
        <w:t>i</w:t>
      </w:r>
      <w:proofErr w:type="spellEnd"/>
      <w:r>
        <w:t xml:space="preserve"> = Ladungszahl des Ions; F= Faraday-Konstante (F= 96485,33 C/mol)</w:t>
      </w:r>
    </w:p>
    <w:p w:rsidR="00A901A4" w:rsidRDefault="00A901A4" w:rsidP="00A901A4">
      <w:r>
        <w:t>Aus (I) mit (II) folgt:</w:t>
      </w:r>
    </w:p>
    <w:p w:rsidR="00A901A4" w:rsidRPr="003857AE" w:rsidRDefault="003857AE" w:rsidP="00A901A4">
      <w:pPr>
        <w:pStyle w:val="Formeln"/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μ</m:t>
              </m:r>
            </m:e>
            <m:sub>
              <w:proofErr w:type="spellStart"/>
              <m:r>
                <m:rPr>
                  <m:nor/>
                </m:rPr>
                <w:rPr>
                  <w:lang w:val="en-US"/>
                </w:rPr>
                <m:t>i</m:t>
              </m:r>
              <w:proofErr w:type="spellEnd"/>
            </m:sub>
            <m:sup>
              <m:r>
                <m:rPr>
                  <m:nor/>
                </m:rPr>
                <w:rPr>
                  <w:lang w:val="en-US"/>
                </w:rPr>
                <m:t>*</m:t>
              </m:r>
            </m:sup>
          </m:sSubSup>
          <m:r>
            <m:rPr>
              <m:nor/>
            </m:rPr>
            <w:rPr>
              <w:lang w:val="en-US"/>
            </w:rPr>
            <m:t xml:space="preserve"> = 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μ</m:t>
              </m:r>
            </m:e>
            <m:sub>
              <w:proofErr w:type="spellStart"/>
              <m:r>
                <m:rPr>
                  <m:nor/>
                </m:rPr>
                <w:rPr>
                  <w:lang w:val="en-US"/>
                </w:rPr>
                <m:t>i</m:t>
              </m:r>
              <w:proofErr w:type="spellEnd"/>
            </m:sub>
            <m:sup>
              <m:r>
                <m:rPr>
                  <m:nor/>
                </m:rPr>
                <w:rPr>
                  <w:lang w:val="en-US"/>
                </w:rPr>
                <m:t>0</m:t>
              </m:r>
            </m:sup>
          </m:sSubSup>
          <m:r>
            <m:rPr>
              <m:nor/>
            </m:rPr>
            <w:rPr>
              <w:lang w:val="en-US"/>
            </w:rPr>
            <m:t xml:space="preserve"> + R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*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T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w:rPr>
                  <w:lang w:val="en-US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a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lang w:val="en-US"/>
                        </w:rPr>
                        <m:t>i</m:t>
                      </m:r>
                      <w:proofErr w:type="spellEnd"/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</m:e>
          </m:func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lang w:val="en-US"/>
                </w:rPr>
                <m:t>1</m:t>
              </m:r>
            </m:sub>
          </m:sSub>
          <m:r>
            <m:rPr>
              <m:nor/>
            </m:rPr>
            <w:rPr>
              <w:lang w:val="en-US"/>
            </w:rPr>
            <m:t xml:space="preserve"> * F * </m:t>
          </m:r>
          <m:r>
            <m:rPr>
              <m:nor/>
            </m:rPr>
            <m:t>φ</m:t>
          </m:r>
        </m:oMath>
      </m:oMathPara>
    </w:p>
    <w:p w:rsidR="00A901A4" w:rsidRDefault="00A901A4" w:rsidP="00A901A4">
      <w:r>
        <w:t>Elektroden-Potential:</w:t>
      </w:r>
    </w:p>
    <w:p w:rsidR="00A901A4" w:rsidRPr="00A901A4" w:rsidRDefault="00A901A4" w:rsidP="00A901A4">
      <w:pPr>
        <w:pStyle w:val="Formeln"/>
        <w:rPr>
          <w:rFonts w:eastAsiaTheme="minorEastAsia"/>
          <w:sz w:val="24"/>
          <w:szCs w:val="22"/>
        </w:rPr>
      </w:pPr>
      <m:oMathPara>
        <m:oMath>
          <m:r>
            <m:rPr>
              <m:nor/>
            </m:rPr>
            <m:t xml:space="preserve">E= </m:t>
          </m:r>
          <w:proofErr w:type="spellStart"/>
          <m:r>
            <m:rPr>
              <m:nor/>
            </m:rPr>
            <m:t>Δφ</m:t>
          </m:r>
          <w:proofErr w:type="spellEnd"/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φ</m:t>
              </m:r>
            </m:e>
            <m:sub>
              <m:r>
                <m:rPr>
                  <m:nor/>
                </m:rPr>
                <m:t>M</m:t>
              </m:r>
            </m:sub>
          </m:sSub>
          <m:r>
            <w:rPr>
              <w:rFonts w:ascii="Cambria Math" w:hAnsi="Cambria Math"/>
              <w:sz w:val="24"/>
              <w:szCs w:val="22"/>
            </w:rPr>
            <m:t xml:space="preserve"> </m:t>
          </m:r>
          <m:r>
            <m:rPr>
              <m:nor/>
            </m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φ</m:t>
              </m:r>
            </m:e>
            <m:sub>
              <m:r>
                <m:rPr>
                  <m:nor/>
                </m:rPr>
                <m:t>K</m:t>
              </m:r>
            </m:sub>
          </m:sSub>
        </m:oMath>
      </m:oMathPara>
    </w:p>
    <w:p w:rsidR="00A901A4" w:rsidRDefault="00A901A4" w:rsidP="00A901A4">
      <w:pPr>
        <w:pStyle w:val="Beschriftung"/>
      </w:pPr>
      <w:r>
        <w:t>M= Metall, K= Lösung des Kations</w:t>
      </w:r>
    </w:p>
    <w:p w:rsidR="00A901A4" w:rsidRPr="00BD6D38" w:rsidRDefault="00BD6D38" w:rsidP="00BD6D38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E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r>
                <m:rPr>
                  <m:nor/>
                </m:rPr>
                <m:t>z</m:t>
              </m:r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*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F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m:t>μ</m:t>
                  </m:r>
                </m:e>
                <m:sub>
                  <m:r>
                    <m:rPr>
                      <m:nor/>
                    </m:rPr>
                    <m:t>iM</m:t>
                  </m:r>
                </m:sub>
                <m:sup>
                  <m:r>
                    <m:rPr>
                      <m:nor/>
                    </m:rPr>
                    <m:t>0</m:t>
                  </m:r>
                </m:sup>
              </m:sSubSup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*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m:t>μ</m:t>
                  </m:r>
                </m:e>
                <m:sub>
                  <m:r>
                    <m:rPr>
                      <m:nor/>
                    </m:rPr>
                    <m:t>iK</m:t>
                  </m:r>
                </m:sub>
                <m:sup>
                  <m:r>
                    <m:rPr>
                      <m:nor/>
                    </m:rPr>
                    <m:t>0</m:t>
                  </m:r>
                </m:sup>
              </m:sSubSup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+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R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*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T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a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iK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a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iM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e>
          </m:d>
        </m:oMath>
      </m:oMathPara>
    </w:p>
    <w:p w:rsidR="00BD6D38" w:rsidRDefault="00BD6D38" w:rsidP="00BD6D38">
      <w:proofErr w:type="spellStart"/>
      <w:r>
        <w:t>Nernstsche</w:t>
      </w:r>
      <w:proofErr w:type="spellEnd"/>
      <w:r>
        <w:t xml:space="preserve"> Gleichung: sie beschreibt die Konzentrationsabhängigkeit des Elektroden-Potentials eines </w:t>
      </w:r>
      <w:proofErr w:type="spellStart"/>
      <w:r>
        <w:t>Redox</w:t>
      </w:r>
      <w:proofErr w:type="spellEnd"/>
      <w:r>
        <w:t>-Paares (</w:t>
      </w:r>
      <w:proofErr w:type="spellStart"/>
      <w:r>
        <w:t>Ox</w:t>
      </w:r>
      <w:proofErr w:type="spellEnd"/>
      <w:r>
        <w:t xml:space="preserve"> + z</w:t>
      </w:r>
      <w:r w:rsidR="003857AE">
        <w:t xml:space="preserve"> </w:t>
      </w:r>
      <w:r>
        <w:t>e</w:t>
      </w:r>
      <w:r w:rsidRPr="00BD6D38">
        <w:rPr>
          <w:vertAlign w:val="superscript"/>
        </w:rPr>
        <w:t>-</w:t>
      </w:r>
      <w:r>
        <w:t xml:space="preserve"> </w:t>
      </w:r>
      <w:r>
        <w:rPr>
          <w:rFonts w:cs="Arial"/>
        </w:rPr>
        <w:t>→</w:t>
      </w:r>
      <w:r>
        <w:t xml:space="preserve"> </w:t>
      </w:r>
      <w:proofErr w:type="spellStart"/>
      <w:r>
        <w:t>Red</w:t>
      </w:r>
      <w:proofErr w:type="spellEnd"/>
      <w:r>
        <w:t>):</w:t>
      </w:r>
    </w:p>
    <w:p w:rsidR="00BD6D38" w:rsidRPr="00BD6D38" w:rsidRDefault="00BD6D38" w:rsidP="00BD6D38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E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E</m:t>
              </m:r>
            </m:e>
            <m:sup>
              <m:r>
                <m:rPr>
                  <m:nor/>
                </m:rPr>
                <m:t>0</m:t>
              </m:r>
            </m:sup>
          </m:sSup>
          <m:r>
            <m:rPr>
              <m:nor/>
            </m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R*T</m:t>
                  </m:r>
                </m:num>
                <m:den>
                  <m:r>
                    <m:rPr>
                      <m:nor/>
                    </m:rPr>
                    <m:t>z*F</m:t>
                  </m:r>
                </m:den>
              </m:f>
            </m:e>
          </m:d>
          <m:r>
            <m:rPr>
              <m:nor/>
            </m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m:t>c(Ox)</m:t>
                      </m:r>
                    </m:num>
                    <m:den>
                      <m:r>
                        <m:rPr>
                          <m:nor/>
                        </m:rPr>
                        <m:t>c(Red)</m:t>
                      </m:r>
                    </m:den>
                  </m:f>
                </m:e>
              </m:d>
            </m:e>
          </m:func>
        </m:oMath>
      </m:oMathPara>
    </w:p>
    <w:p w:rsidR="00BD6D38" w:rsidRPr="00BD6D38" w:rsidRDefault="00BD6D38" w:rsidP="00BD6D38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E=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E</m:t>
              </m:r>
            </m:e>
            <m:sup>
              <m:r>
                <m:rPr>
                  <m:nor/>
                </m:rPr>
                <m:t>0</m:t>
              </m:r>
            </m:sup>
          </m:sSup>
          <m:r>
            <m:rPr>
              <m:nor/>
            </m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0,059</m:t>
                  </m:r>
                </m:num>
                <m:den>
                  <m:r>
                    <m:rPr>
                      <m:nor/>
                    </m:rPr>
                    <m:t>z</m:t>
                  </m:r>
                </m:den>
              </m:f>
            </m:e>
          </m:d>
          <m:r>
            <m:rPr>
              <m:nor/>
            </m:rPr>
            <m:t>*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V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m:t>c(Ox)</m:t>
                      </m:r>
                    </m:num>
                    <m:den>
                      <m:r>
                        <m:rPr>
                          <m:nor/>
                        </m:rPr>
                        <m:t>c(Red)</m:t>
                      </m:r>
                    </m:den>
                  </m:f>
                </m:e>
              </m:d>
            </m:e>
          </m:func>
        </m:oMath>
      </m:oMathPara>
    </w:p>
    <w:p w:rsidR="00BD6D38" w:rsidRDefault="00BD6D38" w:rsidP="00BD6D38">
      <w:pPr>
        <w:pStyle w:val="Beschriftung"/>
      </w:pPr>
      <w:r>
        <w:t>E= Elektroden-Potential, E</w:t>
      </w:r>
      <w:r w:rsidRPr="00BD6D38">
        <w:rPr>
          <w:vertAlign w:val="superscript"/>
        </w:rPr>
        <w:t>0</w:t>
      </w:r>
      <w:r>
        <w:t>= Standard-Potential, R= Gas-Konstante (R= 8,31441 Jmol</w:t>
      </w:r>
      <w:r w:rsidRPr="00BD6D38">
        <w:rPr>
          <w:vertAlign w:val="superscript"/>
        </w:rPr>
        <w:t>-1</w:t>
      </w:r>
      <w:r>
        <w:t>K</w:t>
      </w:r>
      <w:r w:rsidRPr="00BD6D38">
        <w:rPr>
          <w:vertAlign w:val="superscript"/>
        </w:rPr>
        <w:t>-1</w:t>
      </w:r>
      <w:r>
        <w:t xml:space="preserve">); T in K, z= Anzahl der übertragenen Elektronen, a= Aktivität des jeweiligen </w:t>
      </w:r>
      <w:proofErr w:type="spellStart"/>
      <w:r>
        <w:t>Redox</w:t>
      </w:r>
      <w:proofErr w:type="spellEnd"/>
      <w:r>
        <w:t>-Partners</w:t>
      </w:r>
      <w:r w:rsidR="003857AE">
        <w:t>.</w:t>
      </w:r>
    </w:p>
    <w:p w:rsidR="00BD6D38" w:rsidRDefault="00BD6D38" w:rsidP="00BD6D38">
      <w:pPr>
        <w:rPr>
          <w:rFonts w:cs="Arial"/>
        </w:rPr>
      </w:pPr>
      <w:r>
        <w:rPr>
          <w:rFonts w:cs="Arial"/>
        </w:rPr>
        <w:t>Allerdings ist „E“ eine elektrische Spannung, also eine Energie pro Ladung, wogegen die Einheit des hier behandelten Potentials Energie/Mol ist.</w:t>
      </w:r>
    </w:p>
    <w:p w:rsidR="00BD6D38" w:rsidRDefault="00BD6D38" w:rsidP="00BD6D38">
      <w:pPr>
        <w:pStyle w:val="Bilder"/>
      </w:pPr>
      <w:r>
        <w:rPr>
          <w:lang w:eastAsia="de-DE"/>
        </w:rPr>
        <w:lastRenderedPageBreak/>
        <w:drawing>
          <wp:inline distT="0" distB="0" distL="0" distR="0">
            <wp:extent cx="2051146" cy="2088000"/>
            <wp:effectExtent l="0" t="0" r="635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46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38" w:rsidRDefault="00BD6D38" w:rsidP="00BD6D38">
      <w:pPr>
        <w:pStyle w:val="Beschriftung"/>
      </w:pPr>
      <w:r>
        <w:t xml:space="preserve">Abb. </w:t>
      </w:r>
      <w:r w:rsidR="003857AE">
        <w:fldChar w:fldCharType="begin"/>
      </w:r>
      <w:r w:rsidR="003857AE">
        <w:instrText xml:space="preserve"> SEQ Abb. \* ARABIC </w:instrText>
      </w:r>
      <w:r w:rsidR="003857AE">
        <w:fldChar w:fldCharType="separate"/>
      </w:r>
      <w:r w:rsidR="003857AE">
        <w:rPr>
          <w:noProof/>
        </w:rPr>
        <w:t>3</w:t>
      </w:r>
      <w:r w:rsidR="003857AE">
        <w:rPr>
          <w:noProof/>
        </w:rPr>
        <w:fldChar w:fldCharType="end"/>
      </w:r>
      <w:r>
        <w:t xml:space="preserve">: Schema einer </w:t>
      </w:r>
      <w:proofErr w:type="spellStart"/>
      <w:r>
        <w:t>Redox</w:t>
      </w:r>
      <w:proofErr w:type="spellEnd"/>
      <w:r>
        <w:t>-Titration (Oxidation) [</w:t>
      </w:r>
      <w:r>
        <w:fldChar w:fldCharType="begin"/>
      </w:r>
      <w:r>
        <w:instrText xml:space="preserve"> REF _Ref45535661 \r \h </w:instrText>
      </w:r>
      <w:r>
        <w:fldChar w:fldCharType="separate"/>
      </w:r>
      <w:r w:rsidR="003857AE">
        <w:t>2</w:t>
      </w:r>
      <w:r>
        <w:fldChar w:fldCharType="end"/>
      </w:r>
      <w:r>
        <w:t>]</w:t>
      </w:r>
      <w:r w:rsidR="003857AE">
        <w:t>.</w:t>
      </w:r>
    </w:p>
    <w:p w:rsidR="00BD6D38" w:rsidRDefault="00BD6D38" w:rsidP="00BD6D38">
      <w:r>
        <w:t>Die Energie kann zu den unterschiedlichen Zeit-Punkten wie folgt berechnet werden, wobei</w:t>
      </w:r>
    </w:p>
    <w:p w:rsidR="00BD6D38" w:rsidRDefault="00BD6D38" w:rsidP="00BD6D38">
      <w:r>
        <w:t>A: 0% Oxidation (Anfangspunkt)</w:t>
      </w:r>
    </w:p>
    <w:p w:rsidR="00BD6D38" w:rsidRPr="00990F87" w:rsidRDefault="003857AE" w:rsidP="00990F87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A</m:t>
              </m:r>
            </m:sub>
          </m:sSub>
          <m:r>
            <m:rPr>
              <m:nor/>
            </m:rPr>
            <w:rPr>
              <w:rFonts w:ascii="Cambria Math"/>
            </w:rPr>
            <m:t xml:space="preserve">  </m:t>
          </m:r>
          <m:r>
            <m:rPr>
              <m:nor/>
            </m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2</m:t>
              </m:r>
            </m:sub>
            <m:sup>
              <m:r>
                <m:rPr>
                  <m:nor/>
                </m:rPr>
                <m:t>0</m:t>
              </m:r>
            </m:sup>
          </m:sSub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0,059</m:t>
                  </m:r>
                </m:num>
                <m:den>
                  <m:r>
                    <m:rPr>
                      <m:nor/>
                    </m:rPr>
                    <m:t>z</m:t>
                  </m:r>
                </m:den>
              </m:f>
            </m:e>
          </m:d>
          <m:r>
            <m:rPr>
              <m:nor/>
            </m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ox</m:t>
                          </m:r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red</m:t>
                          </m:r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990F87" w:rsidRDefault="00990F87" w:rsidP="00990F87">
      <w:r>
        <w:t>B: 50% der Oxidation (Analogon zum Puffer-Punkt)</w:t>
      </w:r>
    </w:p>
    <w:p w:rsidR="00990F87" w:rsidRPr="00990F87" w:rsidRDefault="003857AE" w:rsidP="00990F87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B</m:t>
              </m:r>
            </m:sub>
          </m:sSub>
          <m:r>
            <m:rPr>
              <m:nor/>
            </m:rPr>
            <m:t xml:space="preserve">  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2</m:t>
              </m:r>
            </m:sub>
            <m:sup>
              <m:r>
                <m:rPr>
                  <m:nor/>
                </m:rPr>
                <m:t>0</m:t>
              </m:r>
            </m:sup>
          </m:sSubSup>
          <m:r>
            <m:rPr>
              <m:nor/>
            </m:rPr>
            <m:t xml:space="preserve"> 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0,059</m:t>
                  </m:r>
                </m:num>
                <m:den>
                  <m:r>
                    <m:rPr>
                      <m:nor/>
                    </m:rPr>
                    <m:t>z</m:t>
                  </m:r>
                </m:den>
              </m:f>
            </m:e>
          </m:d>
          <m:r>
            <m:rPr>
              <m:nor/>
            </m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ox</m:t>
                          </m:r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red</m:t>
                          </m:r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nor/>
            </m:rPr>
            <m:t xml:space="preserve">=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2</m:t>
              </m:r>
            </m:sub>
            <m:sup>
              <m:r>
                <m:rPr>
                  <m:nor/>
                </m:rPr>
                <m:t>0</m:t>
              </m:r>
            </m:sup>
          </m:sSubSup>
        </m:oMath>
      </m:oMathPara>
    </w:p>
    <w:p w:rsidR="00990F87" w:rsidRPr="00990F87" w:rsidRDefault="003857AE" w:rsidP="00990F87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ox</m:t>
              </m:r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red</m:t>
              </m:r>
              <m:r>
                <m:rPr>
                  <m:nor/>
                </m:rPr>
                <m:t>2</m:t>
              </m:r>
            </m:sub>
          </m:sSub>
        </m:oMath>
      </m:oMathPara>
    </w:p>
    <w:p w:rsidR="00990F87" w:rsidRDefault="00990F87" w:rsidP="00990F87">
      <w:r>
        <w:t>C: 100% der Oxidation (Äquivalenzpunkt)</w:t>
      </w:r>
    </w:p>
    <w:p w:rsidR="00990F87" w:rsidRPr="00990F87" w:rsidRDefault="003857AE" w:rsidP="00990F87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C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E</m:t>
              </m:r>
            </m:e>
            <m:sup>
              <m:r>
                <m:rPr>
                  <m:nor/>
                </m:rPr>
                <m:t>eq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0,5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*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m:t>E</m:t>
                  </m:r>
                </m:e>
                <m:sub>
                  <m:r>
                    <m:rPr>
                      <m:nor/>
                    </m:rPr>
                    <m:t>1</m:t>
                  </m:r>
                </m:sub>
                <m:sup>
                  <m:r>
                    <m:rPr>
                      <m:nor/>
                    </m:rPr>
                    <m:t>0</m:t>
                  </m:r>
                </m:sup>
              </m:sSubSup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+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m:t>E</m:t>
                  </m:r>
                </m:e>
                <m:sub>
                  <m:r>
                    <m:rPr>
                      <m:nor/>
                    </m:rPr>
                    <m:t>2</m:t>
                  </m:r>
                </m:sub>
                <m:sup>
                  <m:r>
                    <m:rPr>
                      <m:nor/>
                    </m:rPr>
                    <m:t>0</m:t>
                  </m:r>
                </m:sup>
              </m:sSubSup>
            </m:e>
          </m:d>
        </m:oMath>
      </m:oMathPara>
    </w:p>
    <w:p w:rsidR="00990F87" w:rsidRPr="003857AE" w:rsidRDefault="003857AE" w:rsidP="00990F87">
      <w:pPr>
        <w:pStyle w:val="Formeln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>ox</m:t>
              </m:r>
              <m:r>
                <m:rPr>
                  <m:nor/>
                </m:rPr>
                <w:rPr>
                  <w:lang w:val="en-US"/>
                </w:rPr>
                <m:t>1</m:t>
              </m:r>
            </m:sub>
          </m:sSub>
          <m:r>
            <m:rPr>
              <m:nor/>
            </m:rPr>
            <w:rPr>
              <w:lang w:val="en-US"/>
            </w:rPr>
            <m:t xml:space="preserve"> 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 xml:space="preserve"> c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>red</m:t>
              </m:r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</m:oMath>
      </m:oMathPara>
    </w:p>
    <w:p w:rsidR="00990F87" w:rsidRPr="003857AE" w:rsidRDefault="003857AE" w:rsidP="00990F87">
      <w:pPr>
        <w:pStyle w:val="Formeln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>ox</m:t>
              </m:r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 xml:space="preserve"> 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 xml:space="preserve"> c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>red</m:t>
              </m:r>
              <m:r>
                <m:rPr>
                  <m:nor/>
                </m:rPr>
                <w:rPr>
                  <w:lang w:val="en-US"/>
                </w:rPr>
                <m:t>1</m:t>
              </m:r>
            </m:sub>
          </m:sSub>
        </m:oMath>
      </m:oMathPara>
    </w:p>
    <w:p w:rsidR="00990F87" w:rsidRDefault="00990F87" w:rsidP="00990F87">
      <w:r>
        <w:t xml:space="preserve">D: 200% der Oxidation (doppelte stöchiometrische Menge </w:t>
      </w:r>
      <w:proofErr w:type="spellStart"/>
      <w:r>
        <w:t>Tritrant</w:t>
      </w:r>
      <w:proofErr w:type="spellEnd"/>
      <w:r>
        <w:t>)</w:t>
      </w:r>
    </w:p>
    <w:p w:rsidR="00990F87" w:rsidRPr="00D51FA5" w:rsidRDefault="003857AE" w:rsidP="00D51FA5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D</m:t>
              </m:r>
            </m:sub>
          </m:sSub>
          <m:r>
            <m:rPr>
              <m:nor/>
            </m:rPr>
            <m:t xml:space="preserve"> =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1</m:t>
              </m:r>
            </m:sub>
            <m:sup>
              <m:r>
                <m:rPr>
                  <m:nor/>
                </m:rPr>
                <m:t>0</m:t>
              </m:r>
            </m:sup>
          </m:sSubSup>
          <m:r>
            <m:rPr>
              <m:nor/>
            </m:rPr>
            <m:t xml:space="preserve"> 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0,059</m:t>
                  </m:r>
                </m:num>
                <m:den>
                  <m:r>
                    <m:rPr>
                      <m:nor/>
                    </m:rPr>
                    <m:t>Z</m:t>
                  </m:r>
                </m:den>
              </m:f>
            </m:e>
          </m:d>
          <m:r>
            <m:rPr>
              <m:nor/>
            </m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ox1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red1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nor/>
            </m:rPr>
            <m:t xml:space="preserve">=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E</m:t>
              </m:r>
            </m:e>
            <m:sub>
              <m:r>
                <m:rPr>
                  <m:nor/>
                </m:rPr>
                <m:t>1</m:t>
              </m:r>
            </m:sub>
            <m:sup>
              <m:r>
                <m:rPr>
                  <m:nor/>
                </m:rPr>
                <m:t>0</m:t>
              </m:r>
            </m:sup>
          </m:sSubSup>
        </m:oMath>
      </m:oMathPara>
    </w:p>
    <w:p w:rsidR="00D51FA5" w:rsidRPr="00D51FA5" w:rsidRDefault="003857AE" w:rsidP="00D51FA5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m:t>ox1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m:t>red1</m:t>
              </m:r>
            </m:sub>
          </m:sSub>
        </m:oMath>
      </m:oMathPara>
    </w:p>
    <w:p w:rsidR="003857AE" w:rsidRDefault="003857AE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lastRenderedPageBreak/>
        <w:t>Quellen:</w:t>
      </w:r>
    </w:p>
    <w:bookmarkStart w:id="7" w:name="_Ref45533689"/>
    <w:p w:rsidR="00931B30" w:rsidRPr="00503B51" w:rsidRDefault="00503B51" w:rsidP="00F0263F">
      <w:pPr>
        <w:pStyle w:val="AufzhlungStandard"/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"http://www.uni-regensburg.de/Fakultaeten/nat_Fak_IV/Organische_Chemie/Didaktik/Keusch/chembox_redox_tit.htm" </w:instrText>
      </w:r>
      <w:r>
        <w:rPr>
          <w:rFonts w:cs="Arial"/>
        </w:rPr>
        <w:fldChar w:fldCharType="separate"/>
      </w:r>
      <w:r>
        <w:rPr>
          <w:rStyle w:val="Hyperlink"/>
          <w:rFonts w:cs="Arial"/>
        </w:rPr>
        <w:t>http://www.uni-regensburg.de/Fakultaeten/nat_Fak_IV/Organische_Chemie/ Didaktik/Keusch/chembox_redox_tit.htm</w:t>
      </w:r>
      <w:r>
        <w:rPr>
          <w:rFonts w:cs="Arial"/>
        </w:rPr>
        <w:fldChar w:fldCharType="end"/>
      </w:r>
      <w:r>
        <w:rPr>
          <w:rFonts w:cs="Arial"/>
        </w:rPr>
        <w:t>, 18.04.2006</w:t>
      </w:r>
      <w:bookmarkEnd w:id="7"/>
    </w:p>
    <w:p w:rsidR="00503B51" w:rsidRPr="00503B51" w:rsidRDefault="00503B51" w:rsidP="00503B51">
      <w:pPr>
        <w:pStyle w:val="AufzhlungStandard"/>
      </w:pPr>
      <w:bookmarkStart w:id="8" w:name="_Ref45535661"/>
      <w:r w:rsidRPr="00503B51">
        <w:t xml:space="preserve">Wedler, Gerd: Lehrbuch der physikalischen Chemie, 4., völlig </w:t>
      </w:r>
      <w:proofErr w:type="spellStart"/>
      <w:r w:rsidRPr="00503B51">
        <w:t>überarb</w:t>
      </w:r>
      <w:proofErr w:type="spellEnd"/>
      <w:r w:rsidRPr="00503B51">
        <w:t xml:space="preserve">. und </w:t>
      </w:r>
      <w:proofErr w:type="spellStart"/>
      <w:r w:rsidRPr="00503B51">
        <w:t>erw</w:t>
      </w:r>
      <w:proofErr w:type="spellEnd"/>
      <w:r w:rsidRPr="00503B51">
        <w:t>. Aufl., 1997 Weinheim</w:t>
      </w:r>
      <w:bookmarkEnd w:id="8"/>
      <w:r w:rsidRPr="00503B51">
        <w:t xml:space="preserve"> </w:t>
      </w:r>
    </w:p>
    <w:p w:rsidR="00503B51" w:rsidRPr="00503B51" w:rsidRDefault="00503B51" w:rsidP="00503B51">
      <w:pPr>
        <w:pStyle w:val="AufzhlungStandard"/>
      </w:pPr>
      <w:r w:rsidRPr="00503B51">
        <w:t xml:space="preserve">Kunze, Udo R.: Grundlagen der quantitativen Analyse, 2., </w:t>
      </w:r>
      <w:proofErr w:type="spellStart"/>
      <w:r w:rsidRPr="00503B51">
        <w:t>neubearb</w:t>
      </w:r>
      <w:proofErr w:type="spellEnd"/>
      <w:r w:rsidRPr="00503B51">
        <w:t xml:space="preserve">. Aufl., 1986 Stuttgart </w:t>
      </w:r>
    </w:p>
    <w:p w:rsidR="00503B51" w:rsidRPr="00503B51" w:rsidRDefault="00503B51" w:rsidP="00503B51">
      <w:pPr>
        <w:pStyle w:val="AufzhlungStandard"/>
      </w:pPr>
      <w:proofErr w:type="spellStart"/>
      <w:r w:rsidRPr="00503B51">
        <w:t>Jander</w:t>
      </w:r>
      <w:proofErr w:type="spellEnd"/>
      <w:r w:rsidRPr="00503B51">
        <w:t xml:space="preserve">, Jahr: Maßanalyse, 15.Auflage, 1989 Berlin </w:t>
      </w:r>
    </w:p>
    <w:p w:rsidR="00503B51" w:rsidRPr="00503B51" w:rsidRDefault="00503B51" w:rsidP="00503B51">
      <w:pPr>
        <w:pStyle w:val="AufzhlungStandard"/>
      </w:pPr>
      <w:r w:rsidRPr="00503B51">
        <w:t xml:space="preserve">Seel, Fritz: Grundlagen der analytischen Chemie, 7., </w:t>
      </w:r>
      <w:proofErr w:type="spellStart"/>
      <w:r w:rsidRPr="00503B51">
        <w:t>überarb</w:t>
      </w:r>
      <w:proofErr w:type="spellEnd"/>
      <w:r w:rsidRPr="00503B51">
        <w:t xml:space="preserve">. Aufl., 1979 Weinheim </w:t>
      </w:r>
    </w:p>
    <w:p w:rsidR="00503B51" w:rsidRPr="00503B51" w:rsidRDefault="003857AE" w:rsidP="00503B51">
      <w:pPr>
        <w:pStyle w:val="AufzhlungStandard"/>
      </w:pPr>
      <w:hyperlink r:id="rId12" w:history="1">
        <w:r w:rsidR="00503B51" w:rsidRPr="00503B51">
          <w:rPr>
            <w:rStyle w:val="Hyperlink"/>
          </w:rPr>
          <w:t>www.wikipedia.de</w:t>
        </w:r>
      </w:hyperlink>
      <w:r w:rsidR="00503B51" w:rsidRPr="00503B51">
        <w:t xml:space="preserve">, 17.04.2006 </w:t>
      </w:r>
    </w:p>
    <w:p w:rsidR="00503B51" w:rsidRPr="00503B51" w:rsidRDefault="003857AE" w:rsidP="00503B51">
      <w:pPr>
        <w:pStyle w:val="AufzhlungStandard"/>
      </w:pPr>
      <w:hyperlink r:id="rId13" w:history="1">
        <w:r w:rsidR="00503B51" w:rsidRPr="00503B51">
          <w:rPr>
            <w:rStyle w:val="Hyperlink"/>
          </w:rPr>
          <w:t>www.chemgapedia.de</w:t>
        </w:r>
      </w:hyperlink>
      <w:r w:rsidR="00503B51" w:rsidRPr="00503B51">
        <w:t>, 17.04.2006</w:t>
      </w:r>
    </w:p>
    <w:sectPr w:rsidR="00503B51" w:rsidRPr="00503B51" w:rsidSect="00931B30">
      <w:footerReference w:type="default" r:id="rId14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87" w:rsidRDefault="00990F87" w:rsidP="005A7DCE">
      <w:pPr>
        <w:spacing w:before="0"/>
      </w:pPr>
      <w:r>
        <w:separator/>
      </w:r>
    </w:p>
  </w:endnote>
  <w:endnote w:type="continuationSeparator" w:id="0">
    <w:p w:rsidR="00990F87" w:rsidRDefault="00990F87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990F87" w:rsidRDefault="00990F87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90F87" w:rsidRDefault="00990F87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857AE">
          <w:rPr>
            <w:noProof/>
          </w:rPr>
          <w:t>5</w:t>
        </w:r>
        <w:r>
          <w:fldChar w:fldCharType="end"/>
        </w:r>
      </w:p>
    </w:sdtContent>
  </w:sdt>
  <w:p w:rsidR="00990F87" w:rsidRDefault="00990F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87" w:rsidRDefault="00990F87" w:rsidP="005A7DCE">
      <w:pPr>
        <w:spacing w:before="0"/>
      </w:pPr>
      <w:r>
        <w:separator/>
      </w:r>
    </w:p>
  </w:footnote>
  <w:footnote w:type="continuationSeparator" w:id="0">
    <w:p w:rsidR="00990F87" w:rsidRDefault="00990F87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9E153BC"/>
    <w:multiLevelType w:val="multilevel"/>
    <w:tmpl w:val="586C9B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7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F652E"/>
    <w:multiLevelType w:val="hybridMultilevel"/>
    <w:tmpl w:val="676C0370"/>
    <w:lvl w:ilvl="0" w:tplc="BB4279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4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2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1"/>
  </w:num>
  <w:num w:numId="13">
    <w:abstractNumId w:val="9"/>
  </w:num>
  <w:num w:numId="14">
    <w:abstractNumId w:val="0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6"/>
  </w:num>
  <w:num w:numId="20">
    <w:abstractNumId w:val="14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33D6"/>
    <w:rsid w:val="0015543D"/>
    <w:rsid w:val="001D6942"/>
    <w:rsid w:val="002005EF"/>
    <w:rsid w:val="0033663A"/>
    <w:rsid w:val="0036111E"/>
    <w:rsid w:val="003857AE"/>
    <w:rsid w:val="004D0FAE"/>
    <w:rsid w:val="00503B51"/>
    <w:rsid w:val="005633FE"/>
    <w:rsid w:val="0058690D"/>
    <w:rsid w:val="005A7DCE"/>
    <w:rsid w:val="006C46BC"/>
    <w:rsid w:val="007161D1"/>
    <w:rsid w:val="00783295"/>
    <w:rsid w:val="007B2C80"/>
    <w:rsid w:val="007F18E1"/>
    <w:rsid w:val="008117E4"/>
    <w:rsid w:val="00825BFE"/>
    <w:rsid w:val="00850560"/>
    <w:rsid w:val="00883728"/>
    <w:rsid w:val="008A524D"/>
    <w:rsid w:val="00931B30"/>
    <w:rsid w:val="00945ED7"/>
    <w:rsid w:val="009710A6"/>
    <w:rsid w:val="00990F87"/>
    <w:rsid w:val="00A21130"/>
    <w:rsid w:val="00A5383F"/>
    <w:rsid w:val="00A901A4"/>
    <w:rsid w:val="00AA5678"/>
    <w:rsid w:val="00AA5D66"/>
    <w:rsid w:val="00AB7E4B"/>
    <w:rsid w:val="00AE53F0"/>
    <w:rsid w:val="00AF7672"/>
    <w:rsid w:val="00B75E9E"/>
    <w:rsid w:val="00BD6D38"/>
    <w:rsid w:val="00C47CC6"/>
    <w:rsid w:val="00C6611D"/>
    <w:rsid w:val="00D51FA5"/>
    <w:rsid w:val="00D97908"/>
    <w:rsid w:val="00DB7964"/>
    <w:rsid w:val="00E14DE1"/>
    <w:rsid w:val="00E20AF3"/>
    <w:rsid w:val="00E37534"/>
    <w:rsid w:val="00E46BE8"/>
    <w:rsid w:val="00E54A99"/>
    <w:rsid w:val="00E8473B"/>
    <w:rsid w:val="00F0263F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9A289C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03B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503B51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5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emgapedi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kipedia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3A3D-478D-463C-A06B-131441EB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4CD6C507.dotm</Template>
  <TotalTime>0</TotalTime>
  <Pages>5</Pages>
  <Words>730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4</cp:revision>
  <cp:lastPrinted>2020-07-15T09:48:00Z</cp:lastPrinted>
  <dcterms:created xsi:type="dcterms:W3CDTF">2020-07-13T09:44:00Z</dcterms:created>
  <dcterms:modified xsi:type="dcterms:W3CDTF">2020-07-15T09:48:00Z</dcterms:modified>
</cp:coreProperties>
</file>