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123E1F77" w:rsidR="00AE53F0" w:rsidRPr="00EC1A7E" w:rsidRDefault="00E8473B" w:rsidP="00EC1A7E">
      <w:pPr>
        <w:pStyle w:val="Seminar"/>
      </w:pPr>
      <w:r w:rsidRPr="00EC1A7E">
        <w:t>Seminar</w:t>
      </w:r>
      <w:r w:rsidR="00FD7888" w:rsidRPr="00EC1A7E">
        <w:t xml:space="preserve"> „Übungen im Vortragen –</w:t>
      </w:r>
      <w:r w:rsidR="0029716A" w:rsidRPr="00EC1A7E">
        <w:t xml:space="preserve"> </w:t>
      </w:r>
      <w:r w:rsidR="00EC1A7E" w:rsidRPr="00EC1A7E">
        <w:t>OC</w:t>
      </w:r>
      <w:r w:rsidR="00FD7888" w:rsidRPr="00EC1A7E">
        <w:t>“</w:t>
      </w:r>
    </w:p>
    <w:p w14:paraId="61C6F5BC" w14:textId="467F025A" w:rsidR="00E8473B" w:rsidRDefault="00EC1A7E" w:rsidP="005633FE">
      <w:pPr>
        <w:pStyle w:val="Titel"/>
      </w:pPr>
      <w:r>
        <w:t>Rekorde in der Organischen Chemie</w:t>
      </w:r>
    </w:p>
    <w:p w14:paraId="28CE20D7" w14:textId="33F3D40A" w:rsidR="00E8473B" w:rsidRDefault="00EC1A7E" w:rsidP="00E8473B">
      <w:pPr>
        <w:pStyle w:val="Autor"/>
      </w:pPr>
      <w:r>
        <w:t xml:space="preserve">Maritta </w:t>
      </w:r>
      <w:proofErr w:type="spellStart"/>
      <w:r>
        <w:t>Merkhofer</w:t>
      </w:r>
      <w:proofErr w:type="spellEnd"/>
      <w:r>
        <w:t xml:space="preserve">, SS 04; Anna </w:t>
      </w:r>
      <w:proofErr w:type="spellStart"/>
      <w:r>
        <w:t>Rädlein</w:t>
      </w:r>
      <w:proofErr w:type="spellEnd"/>
      <w:r>
        <w:t>, SS 07; Franz Hildebrand, SS 09</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6AA6026C" w14:textId="44ADFCFF" w:rsidR="00330F61"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7879793" w:history="1">
            <w:r w:rsidR="00330F61" w:rsidRPr="00B25841">
              <w:rPr>
                <w:rStyle w:val="Hyperlink"/>
                <w:noProof/>
              </w:rPr>
              <w:t>1</w:t>
            </w:r>
            <w:r w:rsidR="00330F61">
              <w:rPr>
                <w:rFonts w:asciiTheme="minorHAnsi" w:eastAsiaTheme="minorEastAsia" w:hAnsiTheme="minorHAnsi"/>
                <w:noProof/>
                <w:sz w:val="22"/>
                <w:lang w:eastAsia="de-DE"/>
              </w:rPr>
              <w:tab/>
            </w:r>
            <w:r w:rsidR="00330F61" w:rsidRPr="00B25841">
              <w:rPr>
                <w:rStyle w:val="Hyperlink"/>
                <w:noProof/>
              </w:rPr>
              <w:t>Die stärksten Gifte</w:t>
            </w:r>
            <w:r w:rsidR="00330F61">
              <w:rPr>
                <w:noProof/>
                <w:webHidden/>
              </w:rPr>
              <w:tab/>
            </w:r>
            <w:r w:rsidR="00330F61">
              <w:rPr>
                <w:noProof/>
                <w:webHidden/>
              </w:rPr>
              <w:fldChar w:fldCharType="begin"/>
            </w:r>
            <w:r w:rsidR="00330F61">
              <w:rPr>
                <w:noProof/>
                <w:webHidden/>
              </w:rPr>
              <w:instrText xml:space="preserve"> PAGEREF _Toc57879793 \h </w:instrText>
            </w:r>
            <w:r w:rsidR="00330F61">
              <w:rPr>
                <w:noProof/>
                <w:webHidden/>
              </w:rPr>
            </w:r>
            <w:r w:rsidR="00330F61">
              <w:rPr>
                <w:noProof/>
                <w:webHidden/>
              </w:rPr>
              <w:fldChar w:fldCharType="separate"/>
            </w:r>
            <w:r w:rsidR="00BE3067">
              <w:rPr>
                <w:noProof/>
                <w:webHidden/>
              </w:rPr>
              <w:t>1</w:t>
            </w:r>
            <w:r w:rsidR="00330F61">
              <w:rPr>
                <w:noProof/>
                <w:webHidden/>
              </w:rPr>
              <w:fldChar w:fldCharType="end"/>
            </w:r>
          </w:hyperlink>
        </w:p>
        <w:p w14:paraId="7DB7D7AD" w14:textId="04479AD7" w:rsidR="00330F61" w:rsidRDefault="00BE3067">
          <w:pPr>
            <w:pStyle w:val="Verzeichnis2"/>
            <w:tabs>
              <w:tab w:val="left" w:pos="880"/>
              <w:tab w:val="right" w:leader="dot" w:pos="9344"/>
            </w:tabs>
            <w:rPr>
              <w:rFonts w:asciiTheme="minorHAnsi" w:eastAsiaTheme="minorEastAsia" w:hAnsiTheme="minorHAnsi"/>
              <w:noProof/>
              <w:sz w:val="22"/>
              <w:lang w:eastAsia="de-DE"/>
            </w:rPr>
          </w:pPr>
          <w:hyperlink w:anchor="_Toc57879794" w:history="1">
            <w:r w:rsidR="00330F61" w:rsidRPr="00B25841">
              <w:rPr>
                <w:rStyle w:val="Hyperlink"/>
                <w:noProof/>
              </w:rPr>
              <w:t>1.1</w:t>
            </w:r>
            <w:r w:rsidR="00330F61">
              <w:rPr>
                <w:rFonts w:asciiTheme="minorHAnsi" w:eastAsiaTheme="minorEastAsia" w:hAnsiTheme="minorHAnsi"/>
                <w:noProof/>
                <w:sz w:val="22"/>
                <w:lang w:eastAsia="de-DE"/>
              </w:rPr>
              <w:tab/>
            </w:r>
            <w:r w:rsidR="00330F61" w:rsidRPr="00B25841">
              <w:rPr>
                <w:rStyle w:val="Hyperlink"/>
                <w:noProof/>
              </w:rPr>
              <w:t>Stärkstes synthetisches Gift</w:t>
            </w:r>
            <w:r w:rsidR="00330F61">
              <w:rPr>
                <w:noProof/>
                <w:webHidden/>
              </w:rPr>
              <w:tab/>
            </w:r>
            <w:r w:rsidR="00330F61">
              <w:rPr>
                <w:noProof/>
                <w:webHidden/>
              </w:rPr>
              <w:fldChar w:fldCharType="begin"/>
            </w:r>
            <w:r w:rsidR="00330F61">
              <w:rPr>
                <w:noProof/>
                <w:webHidden/>
              </w:rPr>
              <w:instrText xml:space="preserve"> PAGEREF _Toc57879794 \h </w:instrText>
            </w:r>
            <w:r w:rsidR="00330F61">
              <w:rPr>
                <w:noProof/>
                <w:webHidden/>
              </w:rPr>
            </w:r>
            <w:r w:rsidR="00330F61">
              <w:rPr>
                <w:noProof/>
                <w:webHidden/>
              </w:rPr>
              <w:fldChar w:fldCharType="separate"/>
            </w:r>
            <w:r>
              <w:rPr>
                <w:noProof/>
                <w:webHidden/>
              </w:rPr>
              <w:t>1</w:t>
            </w:r>
            <w:r w:rsidR="00330F61">
              <w:rPr>
                <w:noProof/>
                <w:webHidden/>
              </w:rPr>
              <w:fldChar w:fldCharType="end"/>
            </w:r>
          </w:hyperlink>
        </w:p>
        <w:p w14:paraId="10D9FE03" w14:textId="426BE3E2" w:rsidR="00330F61" w:rsidRDefault="00BE3067">
          <w:pPr>
            <w:pStyle w:val="Verzeichnis2"/>
            <w:tabs>
              <w:tab w:val="left" w:pos="880"/>
              <w:tab w:val="right" w:leader="dot" w:pos="9344"/>
            </w:tabs>
            <w:rPr>
              <w:rFonts w:asciiTheme="minorHAnsi" w:eastAsiaTheme="minorEastAsia" w:hAnsiTheme="minorHAnsi"/>
              <w:noProof/>
              <w:sz w:val="22"/>
              <w:lang w:eastAsia="de-DE"/>
            </w:rPr>
          </w:pPr>
          <w:hyperlink w:anchor="_Toc57879795" w:history="1">
            <w:r w:rsidR="00330F61" w:rsidRPr="00B25841">
              <w:rPr>
                <w:rStyle w:val="Hyperlink"/>
                <w:noProof/>
              </w:rPr>
              <w:t>1.2</w:t>
            </w:r>
            <w:r w:rsidR="00330F61">
              <w:rPr>
                <w:rFonts w:asciiTheme="minorHAnsi" w:eastAsiaTheme="minorEastAsia" w:hAnsiTheme="minorHAnsi"/>
                <w:noProof/>
                <w:sz w:val="22"/>
                <w:lang w:eastAsia="de-DE"/>
              </w:rPr>
              <w:tab/>
            </w:r>
            <w:r w:rsidR="00330F61" w:rsidRPr="00B25841">
              <w:rPr>
                <w:rStyle w:val="Hyperlink"/>
                <w:noProof/>
              </w:rPr>
              <w:t>Stärkstes natürliches Gift</w:t>
            </w:r>
            <w:r w:rsidR="00330F61">
              <w:rPr>
                <w:noProof/>
                <w:webHidden/>
              </w:rPr>
              <w:tab/>
            </w:r>
            <w:r w:rsidR="00330F61">
              <w:rPr>
                <w:noProof/>
                <w:webHidden/>
              </w:rPr>
              <w:fldChar w:fldCharType="begin"/>
            </w:r>
            <w:r w:rsidR="00330F61">
              <w:rPr>
                <w:noProof/>
                <w:webHidden/>
              </w:rPr>
              <w:instrText xml:space="preserve"> PAGEREF _Toc57879795 \h </w:instrText>
            </w:r>
            <w:r w:rsidR="00330F61">
              <w:rPr>
                <w:noProof/>
                <w:webHidden/>
              </w:rPr>
            </w:r>
            <w:r w:rsidR="00330F61">
              <w:rPr>
                <w:noProof/>
                <w:webHidden/>
              </w:rPr>
              <w:fldChar w:fldCharType="separate"/>
            </w:r>
            <w:r>
              <w:rPr>
                <w:noProof/>
                <w:webHidden/>
              </w:rPr>
              <w:t>2</w:t>
            </w:r>
            <w:r w:rsidR="00330F61">
              <w:rPr>
                <w:noProof/>
                <w:webHidden/>
              </w:rPr>
              <w:fldChar w:fldCharType="end"/>
            </w:r>
          </w:hyperlink>
        </w:p>
        <w:p w14:paraId="15F27DCD" w14:textId="11BCE676" w:rsidR="00330F61" w:rsidRDefault="00BE3067">
          <w:pPr>
            <w:pStyle w:val="Verzeichnis1"/>
            <w:tabs>
              <w:tab w:val="left" w:pos="480"/>
              <w:tab w:val="right" w:leader="dot" w:pos="9344"/>
            </w:tabs>
            <w:rPr>
              <w:rFonts w:asciiTheme="minorHAnsi" w:eastAsiaTheme="minorEastAsia" w:hAnsiTheme="minorHAnsi"/>
              <w:noProof/>
              <w:sz w:val="22"/>
              <w:lang w:eastAsia="de-DE"/>
            </w:rPr>
          </w:pPr>
          <w:hyperlink w:anchor="_Toc57879796" w:history="1">
            <w:r w:rsidR="00330F61" w:rsidRPr="00B25841">
              <w:rPr>
                <w:rStyle w:val="Hyperlink"/>
                <w:noProof/>
              </w:rPr>
              <w:t>2</w:t>
            </w:r>
            <w:r w:rsidR="00330F61">
              <w:rPr>
                <w:rFonts w:asciiTheme="minorHAnsi" w:eastAsiaTheme="minorEastAsia" w:hAnsiTheme="minorHAnsi"/>
                <w:noProof/>
                <w:sz w:val="22"/>
                <w:lang w:eastAsia="de-DE"/>
              </w:rPr>
              <w:tab/>
            </w:r>
            <w:r w:rsidR="00330F61" w:rsidRPr="00B25841">
              <w:rPr>
                <w:rStyle w:val="Hyperlink"/>
                <w:noProof/>
              </w:rPr>
              <w:t>Die stärksten Säuren</w:t>
            </w:r>
            <w:r w:rsidR="00330F61">
              <w:rPr>
                <w:noProof/>
                <w:webHidden/>
              </w:rPr>
              <w:tab/>
            </w:r>
            <w:r w:rsidR="00330F61">
              <w:rPr>
                <w:noProof/>
                <w:webHidden/>
              </w:rPr>
              <w:fldChar w:fldCharType="begin"/>
            </w:r>
            <w:r w:rsidR="00330F61">
              <w:rPr>
                <w:noProof/>
                <w:webHidden/>
              </w:rPr>
              <w:instrText xml:space="preserve"> PAGEREF _Toc57879796 \h </w:instrText>
            </w:r>
            <w:r w:rsidR="00330F61">
              <w:rPr>
                <w:noProof/>
                <w:webHidden/>
              </w:rPr>
            </w:r>
            <w:r w:rsidR="00330F61">
              <w:rPr>
                <w:noProof/>
                <w:webHidden/>
              </w:rPr>
              <w:fldChar w:fldCharType="separate"/>
            </w:r>
            <w:r>
              <w:rPr>
                <w:noProof/>
                <w:webHidden/>
              </w:rPr>
              <w:t>3</w:t>
            </w:r>
            <w:r w:rsidR="00330F61">
              <w:rPr>
                <w:noProof/>
                <w:webHidden/>
              </w:rPr>
              <w:fldChar w:fldCharType="end"/>
            </w:r>
          </w:hyperlink>
        </w:p>
        <w:p w14:paraId="12D0EA9B" w14:textId="783AEA31" w:rsidR="00330F61" w:rsidRDefault="00BE3067">
          <w:pPr>
            <w:pStyle w:val="Verzeichnis2"/>
            <w:tabs>
              <w:tab w:val="left" w:pos="880"/>
              <w:tab w:val="right" w:leader="dot" w:pos="9344"/>
            </w:tabs>
            <w:rPr>
              <w:rFonts w:asciiTheme="minorHAnsi" w:eastAsiaTheme="minorEastAsia" w:hAnsiTheme="minorHAnsi"/>
              <w:noProof/>
              <w:sz w:val="22"/>
              <w:lang w:eastAsia="de-DE"/>
            </w:rPr>
          </w:pPr>
          <w:hyperlink w:anchor="_Toc57879797" w:history="1">
            <w:r w:rsidR="00330F61" w:rsidRPr="00B25841">
              <w:rPr>
                <w:rStyle w:val="Hyperlink"/>
                <w:noProof/>
              </w:rPr>
              <w:t>2.1</w:t>
            </w:r>
            <w:r w:rsidR="00330F61">
              <w:rPr>
                <w:rFonts w:asciiTheme="minorHAnsi" w:eastAsiaTheme="minorEastAsia" w:hAnsiTheme="minorHAnsi"/>
                <w:noProof/>
                <w:sz w:val="22"/>
                <w:lang w:eastAsia="de-DE"/>
              </w:rPr>
              <w:tab/>
            </w:r>
            <w:r w:rsidR="00330F61" w:rsidRPr="00B25841">
              <w:rPr>
                <w:rStyle w:val="Hyperlink"/>
                <w:noProof/>
              </w:rPr>
              <w:t>Stärkste synthetische Säure</w:t>
            </w:r>
            <w:r w:rsidR="00330F61">
              <w:rPr>
                <w:noProof/>
                <w:webHidden/>
              </w:rPr>
              <w:tab/>
            </w:r>
            <w:r w:rsidR="00330F61">
              <w:rPr>
                <w:noProof/>
                <w:webHidden/>
              </w:rPr>
              <w:fldChar w:fldCharType="begin"/>
            </w:r>
            <w:r w:rsidR="00330F61">
              <w:rPr>
                <w:noProof/>
                <w:webHidden/>
              </w:rPr>
              <w:instrText xml:space="preserve"> PAGEREF _Toc57879797 \h </w:instrText>
            </w:r>
            <w:r w:rsidR="00330F61">
              <w:rPr>
                <w:noProof/>
                <w:webHidden/>
              </w:rPr>
            </w:r>
            <w:r w:rsidR="00330F61">
              <w:rPr>
                <w:noProof/>
                <w:webHidden/>
              </w:rPr>
              <w:fldChar w:fldCharType="separate"/>
            </w:r>
            <w:r>
              <w:rPr>
                <w:noProof/>
                <w:webHidden/>
              </w:rPr>
              <w:t>3</w:t>
            </w:r>
            <w:r w:rsidR="00330F61">
              <w:rPr>
                <w:noProof/>
                <w:webHidden/>
              </w:rPr>
              <w:fldChar w:fldCharType="end"/>
            </w:r>
          </w:hyperlink>
        </w:p>
        <w:p w14:paraId="73C4FA92" w14:textId="72CF3B4F" w:rsidR="00330F61" w:rsidRDefault="00BE3067">
          <w:pPr>
            <w:pStyle w:val="Verzeichnis2"/>
            <w:tabs>
              <w:tab w:val="left" w:pos="880"/>
              <w:tab w:val="right" w:leader="dot" w:pos="9344"/>
            </w:tabs>
            <w:rPr>
              <w:rFonts w:asciiTheme="minorHAnsi" w:eastAsiaTheme="minorEastAsia" w:hAnsiTheme="minorHAnsi"/>
              <w:noProof/>
              <w:sz w:val="22"/>
              <w:lang w:eastAsia="de-DE"/>
            </w:rPr>
          </w:pPr>
          <w:hyperlink w:anchor="_Toc57879798" w:history="1">
            <w:r w:rsidR="00330F61" w:rsidRPr="00B25841">
              <w:rPr>
                <w:rStyle w:val="Hyperlink"/>
                <w:noProof/>
              </w:rPr>
              <w:t>2.2</w:t>
            </w:r>
            <w:r w:rsidR="00330F61">
              <w:rPr>
                <w:rFonts w:asciiTheme="minorHAnsi" w:eastAsiaTheme="minorEastAsia" w:hAnsiTheme="minorHAnsi"/>
                <w:noProof/>
                <w:sz w:val="22"/>
                <w:lang w:eastAsia="de-DE"/>
              </w:rPr>
              <w:tab/>
            </w:r>
            <w:r w:rsidR="00330F61" w:rsidRPr="00B25841">
              <w:rPr>
                <w:rStyle w:val="Hyperlink"/>
                <w:noProof/>
              </w:rPr>
              <w:t>Acidester Natur-Stoff</w:t>
            </w:r>
            <w:r w:rsidR="00330F61">
              <w:rPr>
                <w:noProof/>
                <w:webHidden/>
              </w:rPr>
              <w:tab/>
            </w:r>
            <w:r w:rsidR="00330F61">
              <w:rPr>
                <w:noProof/>
                <w:webHidden/>
              </w:rPr>
              <w:fldChar w:fldCharType="begin"/>
            </w:r>
            <w:r w:rsidR="00330F61">
              <w:rPr>
                <w:noProof/>
                <w:webHidden/>
              </w:rPr>
              <w:instrText xml:space="preserve"> PAGEREF _Toc57879798 \h </w:instrText>
            </w:r>
            <w:r w:rsidR="00330F61">
              <w:rPr>
                <w:noProof/>
                <w:webHidden/>
              </w:rPr>
            </w:r>
            <w:r w:rsidR="00330F61">
              <w:rPr>
                <w:noProof/>
                <w:webHidden/>
              </w:rPr>
              <w:fldChar w:fldCharType="separate"/>
            </w:r>
            <w:r>
              <w:rPr>
                <w:noProof/>
                <w:webHidden/>
              </w:rPr>
              <w:t>3</w:t>
            </w:r>
            <w:r w:rsidR="00330F61">
              <w:rPr>
                <w:noProof/>
                <w:webHidden/>
              </w:rPr>
              <w:fldChar w:fldCharType="end"/>
            </w:r>
          </w:hyperlink>
        </w:p>
        <w:p w14:paraId="66CDB111" w14:textId="4B3AA0DE" w:rsidR="00330F61" w:rsidRDefault="00BE3067">
          <w:pPr>
            <w:pStyle w:val="Verzeichnis1"/>
            <w:tabs>
              <w:tab w:val="left" w:pos="480"/>
              <w:tab w:val="right" w:leader="dot" w:pos="9344"/>
            </w:tabs>
            <w:rPr>
              <w:rFonts w:asciiTheme="minorHAnsi" w:eastAsiaTheme="minorEastAsia" w:hAnsiTheme="minorHAnsi"/>
              <w:noProof/>
              <w:sz w:val="22"/>
              <w:lang w:eastAsia="de-DE"/>
            </w:rPr>
          </w:pPr>
          <w:hyperlink w:anchor="_Toc57879799" w:history="1">
            <w:r w:rsidR="00330F61" w:rsidRPr="00B25841">
              <w:rPr>
                <w:rStyle w:val="Hyperlink"/>
                <w:noProof/>
              </w:rPr>
              <w:t>3</w:t>
            </w:r>
            <w:r w:rsidR="00330F61">
              <w:rPr>
                <w:rFonts w:asciiTheme="minorHAnsi" w:eastAsiaTheme="minorEastAsia" w:hAnsiTheme="minorHAnsi"/>
                <w:noProof/>
                <w:sz w:val="22"/>
                <w:lang w:eastAsia="de-DE"/>
              </w:rPr>
              <w:tab/>
            </w:r>
            <w:r w:rsidR="00330F61" w:rsidRPr="00B25841">
              <w:rPr>
                <w:rStyle w:val="Hyperlink"/>
                <w:noProof/>
              </w:rPr>
              <w:t>Bereich „Sehen“</w:t>
            </w:r>
            <w:r w:rsidR="00330F61">
              <w:rPr>
                <w:noProof/>
                <w:webHidden/>
              </w:rPr>
              <w:tab/>
            </w:r>
            <w:r w:rsidR="00330F61">
              <w:rPr>
                <w:noProof/>
                <w:webHidden/>
              </w:rPr>
              <w:fldChar w:fldCharType="begin"/>
            </w:r>
            <w:r w:rsidR="00330F61">
              <w:rPr>
                <w:noProof/>
                <w:webHidden/>
              </w:rPr>
              <w:instrText xml:space="preserve"> PAGEREF _Toc57879799 \h </w:instrText>
            </w:r>
            <w:r w:rsidR="00330F61">
              <w:rPr>
                <w:noProof/>
                <w:webHidden/>
              </w:rPr>
            </w:r>
            <w:r w:rsidR="00330F61">
              <w:rPr>
                <w:noProof/>
                <w:webHidden/>
              </w:rPr>
              <w:fldChar w:fldCharType="separate"/>
            </w:r>
            <w:r>
              <w:rPr>
                <w:noProof/>
                <w:webHidden/>
              </w:rPr>
              <w:t>4</w:t>
            </w:r>
            <w:r w:rsidR="00330F61">
              <w:rPr>
                <w:noProof/>
                <w:webHidden/>
              </w:rPr>
              <w:fldChar w:fldCharType="end"/>
            </w:r>
          </w:hyperlink>
        </w:p>
        <w:p w14:paraId="7C0EC718" w14:textId="0F1F94B2" w:rsidR="00330F61" w:rsidRDefault="00BE3067">
          <w:pPr>
            <w:pStyle w:val="Verzeichnis2"/>
            <w:tabs>
              <w:tab w:val="left" w:pos="880"/>
              <w:tab w:val="right" w:leader="dot" w:pos="9344"/>
            </w:tabs>
            <w:rPr>
              <w:rFonts w:asciiTheme="minorHAnsi" w:eastAsiaTheme="minorEastAsia" w:hAnsiTheme="minorHAnsi"/>
              <w:noProof/>
              <w:sz w:val="22"/>
              <w:lang w:eastAsia="de-DE"/>
            </w:rPr>
          </w:pPr>
          <w:hyperlink w:anchor="_Toc57879800" w:history="1">
            <w:r w:rsidR="00330F61" w:rsidRPr="00B25841">
              <w:rPr>
                <w:rStyle w:val="Hyperlink"/>
                <w:noProof/>
              </w:rPr>
              <w:t>3.1</w:t>
            </w:r>
            <w:r w:rsidR="00330F61">
              <w:rPr>
                <w:rFonts w:asciiTheme="minorHAnsi" w:eastAsiaTheme="minorEastAsia" w:hAnsiTheme="minorHAnsi"/>
                <w:noProof/>
                <w:sz w:val="22"/>
                <w:lang w:eastAsia="de-DE"/>
              </w:rPr>
              <w:tab/>
            </w:r>
            <w:r w:rsidR="00330F61" w:rsidRPr="00B25841">
              <w:rPr>
                <w:rStyle w:val="Hyperlink"/>
                <w:noProof/>
              </w:rPr>
              <w:t>Der älteste Farbstoff</w:t>
            </w:r>
            <w:r w:rsidR="00330F61">
              <w:rPr>
                <w:noProof/>
                <w:webHidden/>
              </w:rPr>
              <w:tab/>
            </w:r>
            <w:r w:rsidR="00330F61">
              <w:rPr>
                <w:noProof/>
                <w:webHidden/>
              </w:rPr>
              <w:fldChar w:fldCharType="begin"/>
            </w:r>
            <w:r w:rsidR="00330F61">
              <w:rPr>
                <w:noProof/>
                <w:webHidden/>
              </w:rPr>
              <w:instrText xml:space="preserve"> PAGEREF _Toc57879800 \h </w:instrText>
            </w:r>
            <w:r w:rsidR="00330F61">
              <w:rPr>
                <w:noProof/>
                <w:webHidden/>
              </w:rPr>
            </w:r>
            <w:r w:rsidR="00330F61">
              <w:rPr>
                <w:noProof/>
                <w:webHidden/>
              </w:rPr>
              <w:fldChar w:fldCharType="separate"/>
            </w:r>
            <w:r>
              <w:rPr>
                <w:noProof/>
                <w:webHidden/>
              </w:rPr>
              <w:t>4</w:t>
            </w:r>
            <w:r w:rsidR="00330F61">
              <w:rPr>
                <w:noProof/>
                <w:webHidden/>
              </w:rPr>
              <w:fldChar w:fldCharType="end"/>
            </w:r>
          </w:hyperlink>
        </w:p>
        <w:p w14:paraId="5DF8CF77" w14:textId="6B36BBB0" w:rsidR="00330F61" w:rsidRDefault="00BE3067">
          <w:pPr>
            <w:pStyle w:val="Verzeichnis2"/>
            <w:tabs>
              <w:tab w:val="left" w:pos="880"/>
              <w:tab w:val="right" w:leader="dot" w:pos="9344"/>
            </w:tabs>
            <w:rPr>
              <w:rFonts w:asciiTheme="minorHAnsi" w:eastAsiaTheme="minorEastAsia" w:hAnsiTheme="minorHAnsi"/>
              <w:noProof/>
              <w:sz w:val="22"/>
              <w:lang w:eastAsia="de-DE"/>
            </w:rPr>
          </w:pPr>
          <w:hyperlink w:anchor="_Toc57879801" w:history="1">
            <w:r w:rsidR="00330F61" w:rsidRPr="00B25841">
              <w:rPr>
                <w:rStyle w:val="Hyperlink"/>
                <w:noProof/>
              </w:rPr>
              <w:t>3.2</w:t>
            </w:r>
            <w:r w:rsidR="00330F61">
              <w:rPr>
                <w:rFonts w:asciiTheme="minorHAnsi" w:eastAsiaTheme="minorEastAsia" w:hAnsiTheme="minorHAnsi"/>
                <w:noProof/>
                <w:sz w:val="22"/>
                <w:lang w:eastAsia="de-DE"/>
              </w:rPr>
              <w:tab/>
            </w:r>
            <w:r w:rsidR="00330F61" w:rsidRPr="00B25841">
              <w:rPr>
                <w:rStyle w:val="Hyperlink"/>
                <w:noProof/>
              </w:rPr>
              <w:t>Der Farbstoff, der auch schmeckt</w:t>
            </w:r>
            <w:r w:rsidR="00330F61">
              <w:rPr>
                <w:noProof/>
                <w:webHidden/>
              </w:rPr>
              <w:tab/>
            </w:r>
            <w:r w:rsidR="00330F61">
              <w:rPr>
                <w:noProof/>
                <w:webHidden/>
              </w:rPr>
              <w:fldChar w:fldCharType="begin"/>
            </w:r>
            <w:r w:rsidR="00330F61">
              <w:rPr>
                <w:noProof/>
                <w:webHidden/>
              </w:rPr>
              <w:instrText xml:space="preserve"> PAGEREF _Toc57879801 \h </w:instrText>
            </w:r>
            <w:r w:rsidR="00330F61">
              <w:rPr>
                <w:noProof/>
                <w:webHidden/>
              </w:rPr>
            </w:r>
            <w:r w:rsidR="00330F61">
              <w:rPr>
                <w:noProof/>
                <w:webHidden/>
              </w:rPr>
              <w:fldChar w:fldCharType="separate"/>
            </w:r>
            <w:r>
              <w:rPr>
                <w:noProof/>
                <w:webHidden/>
              </w:rPr>
              <w:t>4</w:t>
            </w:r>
            <w:r w:rsidR="00330F61">
              <w:rPr>
                <w:noProof/>
                <w:webHidden/>
              </w:rPr>
              <w:fldChar w:fldCharType="end"/>
            </w:r>
          </w:hyperlink>
        </w:p>
        <w:p w14:paraId="2D3BE9DD" w14:textId="6C0105E3" w:rsidR="00330F61" w:rsidRDefault="00BE3067">
          <w:pPr>
            <w:pStyle w:val="Verzeichnis1"/>
            <w:tabs>
              <w:tab w:val="left" w:pos="480"/>
              <w:tab w:val="right" w:leader="dot" w:pos="9344"/>
            </w:tabs>
            <w:rPr>
              <w:rFonts w:asciiTheme="minorHAnsi" w:eastAsiaTheme="minorEastAsia" w:hAnsiTheme="minorHAnsi"/>
              <w:noProof/>
              <w:sz w:val="22"/>
              <w:lang w:eastAsia="de-DE"/>
            </w:rPr>
          </w:pPr>
          <w:hyperlink w:anchor="_Toc57879802" w:history="1">
            <w:r w:rsidR="00330F61" w:rsidRPr="00B25841">
              <w:rPr>
                <w:rStyle w:val="Hyperlink"/>
                <w:noProof/>
              </w:rPr>
              <w:t>4</w:t>
            </w:r>
            <w:r w:rsidR="00330F61">
              <w:rPr>
                <w:rFonts w:asciiTheme="minorHAnsi" w:eastAsiaTheme="minorEastAsia" w:hAnsiTheme="minorHAnsi"/>
                <w:noProof/>
                <w:sz w:val="22"/>
                <w:lang w:eastAsia="de-DE"/>
              </w:rPr>
              <w:tab/>
            </w:r>
            <w:r w:rsidR="00330F61" w:rsidRPr="00B25841">
              <w:rPr>
                <w:rStyle w:val="Hyperlink"/>
                <w:noProof/>
              </w:rPr>
              <w:t>Bereich „Riechen“ – Stoffe von Wein</w:t>
            </w:r>
            <w:r w:rsidR="00330F61">
              <w:rPr>
                <w:noProof/>
                <w:webHidden/>
              </w:rPr>
              <w:tab/>
            </w:r>
            <w:r w:rsidR="00330F61">
              <w:rPr>
                <w:noProof/>
                <w:webHidden/>
              </w:rPr>
              <w:fldChar w:fldCharType="begin"/>
            </w:r>
            <w:r w:rsidR="00330F61">
              <w:rPr>
                <w:noProof/>
                <w:webHidden/>
              </w:rPr>
              <w:instrText xml:space="preserve"> PAGEREF _Toc57879802 \h </w:instrText>
            </w:r>
            <w:r w:rsidR="00330F61">
              <w:rPr>
                <w:noProof/>
                <w:webHidden/>
              </w:rPr>
            </w:r>
            <w:r w:rsidR="00330F61">
              <w:rPr>
                <w:noProof/>
                <w:webHidden/>
              </w:rPr>
              <w:fldChar w:fldCharType="separate"/>
            </w:r>
            <w:r>
              <w:rPr>
                <w:noProof/>
                <w:webHidden/>
              </w:rPr>
              <w:t>5</w:t>
            </w:r>
            <w:r w:rsidR="00330F61">
              <w:rPr>
                <w:noProof/>
                <w:webHidden/>
              </w:rPr>
              <w:fldChar w:fldCharType="end"/>
            </w:r>
          </w:hyperlink>
        </w:p>
        <w:p w14:paraId="5AC765BB" w14:textId="6E8790C2" w:rsidR="009B4835" w:rsidRDefault="009B4835">
          <w:r>
            <w:rPr>
              <w:b/>
              <w:bCs/>
            </w:rPr>
            <w:fldChar w:fldCharType="end"/>
          </w:r>
        </w:p>
      </w:sdtContent>
    </w:sdt>
    <w:p w14:paraId="06CE8F08" w14:textId="60A9FF70" w:rsidR="00480635" w:rsidRPr="0029716A" w:rsidRDefault="00FD7888" w:rsidP="00480635">
      <w:pPr>
        <w:pStyle w:val="EinstiegAbschluss"/>
      </w:pPr>
      <w:bookmarkStart w:id="0" w:name="_Überschrift_1"/>
      <w:bookmarkEnd w:id="0"/>
      <w:r w:rsidRPr="0029716A">
        <w:rPr>
          <w:rStyle w:val="Fett"/>
        </w:rPr>
        <w:t>Einstieg</w:t>
      </w:r>
      <w:r>
        <w:t>:</w:t>
      </w:r>
      <w:r w:rsidR="0029716A">
        <w:t xml:space="preserve"> </w:t>
      </w:r>
      <w:r w:rsidR="00BE3067">
        <w:t>fehlt</w:t>
      </w:r>
    </w:p>
    <w:p w14:paraId="3D51DEDA" w14:textId="42209ED7" w:rsidR="00E8473B" w:rsidRDefault="00EC1A7E" w:rsidP="008A524D">
      <w:pPr>
        <w:pStyle w:val="berschrift1"/>
      </w:pPr>
      <w:bookmarkStart w:id="1" w:name="_Toc57879793"/>
      <w:r>
        <w:t>Die stärksten Gifte</w:t>
      </w:r>
      <w:bookmarkEnd w:id="1"/>
    </w:p>
    <w:p w14:paraId="787A8774" w14:textId="14C4674D" w:rsidR="00EC1A7E" w:rsidRDefault="00EC1A7E" w:rsidP="00EC1A7E">
      <w:pPr>
        <w:pStyle w:val="berschrift2"/>
      </w:pPr>
      <w:bookmarkStart w:id="2" w:name="_Toc57879794"/>
      <w:r>
        <w:t>Stärkstes synthetisches Gift</w:t>
      </w:r>
      <w:bookmarkEnd w:id="2"/>
    </w:p>
    <w:p w14:paraId="4DBBB808" w14:textId="7280DC6E" w:rsidR="00EC1A7E" w:rsidRDefault="00EC1A7E" w:rsidP="00EC1A7E">
      <w:pPr>
        <w:rPr>
          <w:rFonts w:cs="Arial"/>
        </w:rPr>
      </w:pPr>
      <w:r>
        <w:rPr>
          <w:rFonts w:cs="Arial"/>
        </w:rPr>
        <w:t xml:space="preserve">Das toxischste künstliche Gift ist </w:t>
      </w:r>
      <w:r w:rsidRPr="00EC1A7E">
        <w:rPr>
          <w:rStyle w:val="Fett"/>
        </w:rPr>
        <w:t>2,3,7,8-Tetrachlordibenzodioxin (TCDD)</w:t>
      </w:r>
      <w:r>
        <w:rPr>
          <w:rFonts w:cs="Arial"/>
        </w:rPr>
        <w:t>:</w:t>
      </w:r>
    </w:p>
    <w:p w14:paraId="549556B4" w14:textId="17B3C440" w:rsidR="00EC1A7E" w:rsidRDefault="00EC1A7E" w:rsidP="00EC1A7E">
      <w:pPr>
        <w:pStyle w:val="Bilder"/>
      </w:pPr>
      <w:r>
        <w:rPr>
          <w:lang w:eastAsia="de-DE"/>
        </w:rPr>
        <w:drawing>
          <wp:inline distT="0" distB="0" distL="0" distR="0" wp14:anchorId="5C7D56F2" wp14:editId="26CA5824">
            <wp:extent cx="3223895" cy="10369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3895" cy="1036955"/>
                    </a:xfrm>
                    <a:prstGeom prst="rect">
                      <a:avLst/>
                    </a:prstGeom>
                    <a:noFill/>
                    <a:ln>
                      <a:noFill/>
                    </a:ln>
                  </pic:spPr>
                </pic:pic>
              </a:graphicData>
            </a:graphic>
          </wp:inline>
        </w:drawing>
      </w:r>
    </w:p>
    <w:p w14:paraId="667C85EB" w14:textId="546D4B35" w:rsidR="00EC1A7E" w:rsidRDefault="00EC1A7E" w:rsidP="00EC1A7E">
      <w:pPr>
        <w:pStyle w:val="Beschriftung"/>
        <w:rPr>
          <w:rFonts w:cs="Arial"/>
        </w:rPr>
      </w:pPr>
      <w:r>
        <w:t xml:space="preserve">Abb. </w:t>
      </w:r>
      <w:fldSimple w:instr=" SEQ Abb. \* ARABIC ">
        <w:r w:rsidR="00BE3067">
          <w:rPr>
            <w:noProof/>
          </w:rPr>
          <w:t>1</w:t>
        </w:r>
      </w:fldSimple>
      <w:r>
        <w:t xml:space="preserve">: </w:t>
      </w:r>
      <w:r>
        <w:rPr>
          <w:rFonts w:cs="Arial"/>
        </w:rPr>
        <w:t>2,3,7,8-Tetrachlordibenzodioxin (TCDD)</w:t>
      </w:r>
    </w:p>
    <w:p w14:paraId="186732A1" w14:textId="28AD9B9B" w:rsidR="00EC1A7E" w:rsidRDefault="00EC1A7E" w:rsidP="00EC1A7E">
      <w:pPr>
        <w:rPr>
          <w:rFonts w:cs="Arial"/>
        </w:rPr>
      </w:pPr>
      <w:r>
        <w:rPr>
          <w:rFonts w:cs="Arial"/>
        </w:rPr>
        <w:t>Der LD</w:t>
      </w:r>
      <w:r>
        <w:rPr>
          <w:rFonts w:cs="Arial"/>
          <w:vertAlign w:val="subscript"/>
        </w:rPr>
        <w:t>50</w:t>
      </w:r>
      <w:r>
        <w:rPr>
          <w:rFonts w:cs="Arial"/>
        </w:rPr>
        <w:t>-Wert für die orale Aufnahme bei Ratten beträgt 22 </w:t>
      </w:r>
      <w:proofErr w:type="spellStart"/>
      <w:r w:rsidR="00BE3067">
        <w:rPr>
          <w:rFonts w:cs="Arial"/>
        </w:rPr>
        <w:t>μ</w:t>
      </w:r>
      <w:r>
        <w:rPr>
          <w:rFonts w:cs="Arial"/>
        </w:rPr>
        <w:t>g</w:t>
      </w:r>
      <w:proofErr w:type="spellEnd"/>
      <w:r>
        <w:rPr>
          <w:rFonts w:cs="Arial"/>
        </w:rPr>
        <w:t> kg</w:t>
      </w:r>
      <w:r>
        <w:rPr>
          <w:rFonts w:cs="Arial"/>
          <w:vertAlign w:val="superscript"/>
        </w:rPr>
        <w:t>-1</w:t>
      </w:r>
      <w:r>
        <w:rPr>
          <w:rFonts w:cs="Arial"/>
        </w:rPr>
        <w:t>. Es verursacht beim Menschen Chlorakne (= eine chronische Haut-Krankheit mit Akne-artiger Manifestation, Symptome: Haut-Ausschlag mit Licht-Empfindlichkeit) und hat im Tier-Versuch zu Krebs geführt. Auch beim Menschen wird vermutet, dass Dioxine Krebs auslösen können. Es ist sehr stabil und entsteht immer bei der Verbrennung von organischem Material mit Chlor. Dioxine entstehen beim Erhitzen von chlorierten Benzolen, Biphenylen oder Diphenylether auf mehr als 180° in alkalischen Mittel, sowie beim Bleichen von Zellstoff-Rohstoffen mit Chlor und Natronlauge im Zuge der Papier-Herstellung, bei der Herstellung von Metallen, z. B. Stahl, Magnesium, Nickel und bei dem Aluminium-Recycling und bei der Müll-Verbrennung (Rauch-Gase aus der Müll-Verbrennung enthalten Dioxine).</w:t>
      </w:r>
    </w:p>
    <w:p w14:paraId="4CEB74F3" w14:textId="4BE4BFDB" w:rsidR="00EC1A7E" w:rsidRDefault="00EC1A7E" w:rsidP="00EC1A7E">
      <w:pPr>
        <w:rPr>
          <w:rFonts w:cs="Arial"/>
        </w:rPr>
      </w:pPr>
      <w:r>
        <w:rPr>
          <w:rFonts w:cs="Arial"/>
        </w:rPr>
        <w:lastRenderedPageBreak/>
        <w:t xml:space="preserve">Öffentlich bekannt wurde das TCDD nach einem folgenschweren Unfall im italienischen Seveso am 10. Juli 1976. Aus einem Reaktor der Firma ICMESA wurde bei der Herstellung von </w:t>
      </w:r>
      <w:proofErr w:type="spellStart"/>
      <w:r>
        <w:rPr>
          <w:rFonts w:cs="Arial"/>
        </w:rPr>
        <w:t>Trichlorphenol</w:t>
      </w:r>
      <w:proofErr w:type="spellEnd"/>
      <w:r>
        <w:rPr>
          <w:rFonts w:cs="Arial"/>
        </w:rPr>
        <w:t xml:space="preserve"> durch Überhitzung TCDD freigesetzt. Das </w:t>
      </w:r>
      <w:proofErr w:type="spellStart"/>
      <w:r>
        <w:rPr>
          <w:rFonts w:cs="Arial"/>
        </w:rPr>
        <w:t>Trichlorphenol</w:t>
      </w:r>
      <w:proofErr w:type="spellEnd"/>
      <w:r>
        <w:rPr>
          <w:rFonts w:cs="Arial"/>
        </w:rPr>
        <w:t xml:space="preserve"> ist Ausgangsprodukt für Hexachlorophen (Verw.: zur Desinfektion, als Antimykotikum) und 1,2,4,5,</w:t>
      </w:r>
      <w:r w:rsidR="00733A60">
        <w:rPr>
          <w:rFonts w:cs="Arial"/>
        </w:rPr>
        <w:t>-</w:t>
      </w:r>
      <w:r>
        <w:rPr>
          <w:rFonts w:cs="Arial"/>
        </w:rPr>
        <w:t>Tetrachlorbenzol (Verwendung als Pflanzen</w:t>
      </w:r>
      <w:r w:rsidR="00733A60">
        <w:rPr>
          <w:rFonts w:cs="Arial"/>
        </w:rPr>
        <w:t>-S</w:t>
      </w:r>
      <w:r>
        <w:rPr>
          <w:rFonts w:cs="Arial"/>
        </w:rPr>
        <w:t>chutzmittel, in Deutschland verboten).</w:t>
      </w:r>
    </w:p>
    <w:p w14:paraId="21A114B2" w14:textId="2BB0277F" w:rsidR="00733A60" w:rsidRDefault="00733A60" w:rsidP="00733A60">
      <w:pPr>
        <w:pStyle w:val="Bilder"/>
      </w:pPr>
      <w:r w:rsidRPr="00733A60">
        <w:rPr>
          <w:lang w:eastAsia="de-DE"/>
        </w:rPr>
        <w:drawing>
          <wp:inline distT="0" distB="0" distL="0" distR="0" wp14:anchorId="1E22C4F8" wp14:editId="6E994FD1">
            <wp:extent cx="5940000" cy="943109"/>
            <wp:effectExtent l="0" t="0" r="381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000" cy="943109"/>
                    </a:xfrm>
                    <a:prstGeom prst="rect">
                      <a:avLst/>
                    </a:prstGeom>
                    <a:noFill/>
                    <a:ln>
                      <a:noFill/>
                    </a:ln>
                  </pic:spPr>
                </pic:pic>
              </a:graphicData>
            </a:graphic>
          </wp:inline>
        </w:drawing>
      </w:r>
    </w:p>
    <w:p w14:paraId="1FE80389" w14:textId="5CC48CB4" w:rsidR="00733A60" w:rsidRDefault="00733A60" w:rsidP="00733A60">
      <w:pPr>
        <w:pStyle w:val="Beschriftung"/>
      </w:pPr>
      <w:r>
        <w:t xml:space="preserve">Abb. </w:t>
      </w:r>
      <w:fldSimple w:instr=" SEQ Abb. \* ARABIC ">
        <w:r w:rsidR="00BE3067">
          <w:rPr>
            <w:noProof/>
          </w:rPr>
          <w:t>2</w:t>
        </w:r>
      </w:fldSimple>
      <w:r>
        <w:t>: Grund-Reaktion zur TCDD-Bildung</w:t>
      </w:r>
    </w:p>
    <w:p w14:paraId="594A18E4" w14:textId="616130A9" w:rsidR="00733A60" w:rsidRDefault="00733A60" w:rsidP="00733A60">
      <w:pPr>
        <w:pStyle w:val="Bilder"/>
      </w:pPr>
      <w:r>
        <w:rPr>
          <w:lang w:eastAsia="de-DE"/>
        </w:rPr>
        <w:drawing>
          <wp:inline distT="0" distB="0" distL="0" distR="0" wp14:anchorId="25DC1A72" wp14:editId="0A1BC5EA">
            <wp:extent cx="5939155" cy="829310"/>
            <wp:effectExtent l="0" t="0" r="4445"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155" cy="829310"/>
                    </a:xfrm>
                    <a:prstGeom prst="rect">
                      <a:avLst/>
                    </a:prstGeom>
                    <a:noFill/>
                    <a:ln>
                      <a:noFill/>
                    </a:ln>
                  </pic:spPr>
                </pic:pic>
              </a:graphicData>
            </a:graphic>
          </wp:inline>
        </w:drawing>
      </w:r>
    </w:p>
    <w:p w14:paraId="6894BC2D" w14:textId="6D1452BD" w:rsidR="00733A60" w:rsidRDefault="00733A60" w:rsidP="00733A60">
      <w:pPr>
        <w:pStyle w:val="Beschriftung"/>
      </w:pPr>
      <w:r>
        <w:t xml:space="preserve">Abb. </w:t>
      </w:r>
      <w:fldSimple w:instr=" SEQ Abb. \* ARABIC ">
        <w:r w:rsidR="00BE3067">
          <w:rPr>
            <w:noProof/>
          </w:rPr>
          <w:t>3</w:t>
        </w:r>
      </w:fldSimple>
      <w:r>
        <w:t>: Seveso-Reaktion</w:t>
      </w:r>
    </w:p>
    <w:p w14:paraId="5A2B9C33" w14:textId="7FA1355F" w:rsidR="00733A60" w:rsidRDefault="00733A60" w:rsidP="00733A60">
      <w:pPr>
        <w:pStyle w:val="berschrift2"/>
      </w:pPr>
      <w:bookmarkStart w:id="3" w:name="_Toc57879795"/>
      <w:r>
        <w:t>Stärkstes natürliches Gift</w:t>
      </w:r>
      <w:bookmarkEnd w:id="3"/>
    </w:p>
    <w:p w14:paraId="668972EC" w14:textId="45F9A71B" w:rsidR="00733A60" w:rsidRDefault="00733A60" w:rsidP="00733A60">
      <w:pPr>
        <w:rPr>
          <w:rFonts w:cs="Arial"/>
        </w:rPr>
      </w:pPr>
      <w:r>
        <w:rPr>
          <w:rFonts w:cs="Arial"/>
        </w:rPr>
        <w:t xml:space="preserve">Das stärkste natürliche Gift ist das </w:t>
      </w:r>
      <w:r w:rsidRPr="00733A60">
        <w:rPr>
          <w:rStyle w:val="Fett"/>
        </w:rPr>
        <w:t>Botulinum Toxin</w:t>
      </w:r>
      <w:r w:rsidRPr="00733A60">
        <w:t>.</w:t>
      </w:r>
      <w:r>
        <w:rPr>
          <w:rFonts w:cs="Arial"/>
        </w:rPr>
        <w:t xml:space="preserve"> Dies ist ein hochmolekulares Protein aus Bakterien. LD</w:t>
      </w:r>
      <w:r>
        <w:rPr>
          <w:rFonts w:cs="Arial"/>
          <w:vertAlign w:val="subscript"/>
        </w:rPr>
        <w:t>50</w:t>
      </w:r>
      <w:r>
        <w:rPr>
          <w:rFonts w:cs="Arial"/>
        </w:rPr>
        <w:t>-Wert (Maus): 0,0003 -</w:t>
      </w:r>
      <w:r>
        <w:t> </w:t>
      </w:r>
      <w:r>
        <w:rPr>
          <w:rFonts w:cs="Arial"/>
        </w:rPr>
        <w:t>0,00003. Es ist 100.000-mal giftiger als das TCDD.</w:t>
      </w:r>
    </w:p>
    <w:p w14:paraId="158C8111" w14:textId="1C5879E2" w:rsidR="00733A60" w:rsidRDefault="00733A60" w:rsidP="00733A60">
      <w:pPr>
        <w:rPr>
          <w:rFonts w:cs="Arial"/>
        </w:rPr>
      </w:pPr>
      <w:r>
        <w:rPr>
          <w:rFonts w:cs="Arial"/>
        </w:rPr>
        <w:t>Das stärkste Schimmelpilz-Gift ist das Aflatoxin B</w:t>
      </w:r>
      <w:r>
        <w:rPr>
          <w:rFonts w:cs="Arial"/>
          <w:vertAlign w:val="subscript"/>
        </w:rPr>
        <w:t>1</w:t>
      </w:r>
      <w:r>
        <w:rPr>
          <w:rFonts w:cs="Arial"/>
        </w:rPr>
        <w:t xml:space="preserve"> (B steht für die blaue Fluoreszenz im UV-Licht), welches in der Schimmelpilz-Art </w:t>
      </w:r>
      <w:r w:rsidRPr="00733A60">
        <w:rPr>
          <w:rStyle w:val="Hervorhebung"/>
        </w:rPr>
        <w:t xml:space="preserve">Aspergillus </w:t>
      </w:r>
      <w:proofErr w:type="spellStart"/>
      <w:r w:rsidRPr="00733A60">
        <w:rPr>
          <w:rStyle w:val="Hervorhebung"/>
        </w:rPr>
        <w:t>flavus</w:t>
      </w:r>
      <w:proofErr w:type="spellEnd"/>
      <w:r>
        <w:rPr>
          <w:rFonts w:cs="Arial"/>
        </w:rPr>
        <w:t xml:space="preserve"> gebildet wird. Bei dem </w:t>
      </w:r>
      <w:proofErr w:type="spellStart"/>
      <w:r>
        <w:rPr>
          <w:rFonts w:cs="Arial"/>
        </w:rPr>
        <w:t>Mycotoxin</w:t>
      </w:r>
      <w:proofErr w:type="spellEnd"/>
      <w:r>
        <w:rPr>
          <w:rFonts w:cs="Arial"/>
        </w:rPr>
        <w:t xml:space="preserve"> </w:t>
      </w:r>
      <w:proofErr w:type="spellStart"/>
      <w:r>
        <w:rPr>
          <w:rFonts w:cs="Arial"/>
        </w:rPr>
        <w:t>Aflatoxin</w:t>
      </w:r>
      <w:proofErr w:type="spellEnd"/>
      <w:r>
        <w:rPr>
          <w:rFonts w:cs="Arial"/>
        </w:rPr>
        <w:t> B</w:t>
      </w:r>
      <w:r>
        <w:rPr>
          <w:rFonts w:cs="Arial"/>
          <w:vertAlign w:val="subscript"/>
        </w:rPr>
        <w:t>1</w:t>
      </w:r>
      <w:r>
        <w:rPr>
          <w:rFonts w:cs="Arial"/>
        </w:rPr>
        <w:t xml:space="preserve"> handelt es sich um ein toxisches Stoffwechsel-Produkt.</w:t>
      </w:r>
    </w:p>
    <w:p w14:paraId="094886A8" w14:textId="77777777" w:rsidR="006704A1" w:rsidRDefault="006704A1" w:rsidP="00733A60">
      <w:pPr>
        <w:rPr>
          <w:rFonts w:cs="Arial"/>
        </w:rPr>
      </w:pPr>
    </w:p>
    <w:p w14:paraId="19248201" w14:textId="77777777" w:rsidR="006704A1" w:rsidRDefault="006704A1" w:rsidP="00733A60">
      <w:pPr>
        <w:pStyle w:val="Bilder"/>
        <w:sectPr w:rsidR="006704A1" w:rsidSect="009B4835">
          <w:footerReference w:type="default" r:id="rId12"/>
          <w:pgSz w:w="11906" w:h="16838"/>
          <w:pgMar w:top="851" w:right="1134" w:bottom="851" w:left="1418" w:header="0" w:footer="0" w:gutter="0"/>
          <w:cols w:space="708"/>
          <w:titlePg/>
          <w:docGrid w:linePitch="360"/>
        </w:sectPr>
      </w:pPr>
    </w:p>
    <w:p w14:paraId="0D38967A" w14:textId="135E064D" w:rsidR="00733A60" w:rsidRDefault="00733A60" w:rsidP="006704A1">
      <w:pPr>
        <w:pStyle w:val="Bilder"/>
        <w:spacing w:before="60"/>
      </w:pPr>
      <w:r>
        <w:rPr>
          <w:lang w:eastAsia="de-DE"/>
        </w:rPr>
        <w:lastRenderedPageBreak/>
        <w:drawing>
          <wp:inline distT="0" distB="0" distL="0" distR="0" wp14:anchorId="4F6517C2" wp14:editId="0AFC96E1">
            <wp:extent cx="2011613" cy="1800000"/>
            <wp:effectExtent l="0" t="0" r="825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1613" cy="1800000"/>
                    </a:xfrm>
                    <a:prstGeom prst="rect">
                      <a:avLst/>
                    </a:prstGeom>
                    <a:noFill/>
                    <a:ln>
                      <a:noFill/>
                    </a:ln>
                  </pic:spPr>
                </pic:pic>
              </a:graphicData>
            </a:graphic>
          </wp:inline>
        </w:drawing>
      </w:r>
    </w:p>
    <w:p w14:paraId="72863587" w14:textId="3269EFF8" w:rsidR="00733A60" w:rsidRDefault="00733A60" w:rsidP="00733A60">
      <w:pPr>
        <w:pStyle w:val="Beschriftung"/>
      </w:pPr>
      <w:r>
        <w:t xml:space="preserve">Abb. </w:t>
      </w:r>
      <w:fldSimple w:instr=" SEQ Abb. \* ARABIC ">
        <w:r w:rsidR="00BE3067">
          <w:rPr>
            <w:noProof/>
          </w:rPr>
          <w:t>4</w:t>
        </w:r>
      </w:fldSimple>
      <w:r>
        <w:t xml:space="preserve">: Aspergillus </w:t>
      </w:r>
      <w:proofErr w:type="spellStart"/>
      <w:r>
        <w:t>flavus</w:t>
      </w:r>
      <w:proofErr w:type="spellEnd"/>
    </w:p>
    <w:p w14:paraId="57941AC3" w14:textId="7216942B" w:rsidR="00733A60" w:rsidRDefault="00733A60" w:rsidP="00733A60">
      <w:pPr>
        <w:pStyle w:val="Bilder"/>
      </w:pPr>
      <w:r>
        <w:rPr>
          <w:lang w:eastAsia="de-DE"/>
        </w:rPr>
        <w:lastRenderedPageBreak/>
        <w:drawing>
          <wp:inline distT="0" distB="0" distL="0" distR="0" wp14:anchorId="38B7643C" wp14:editId="2E8E8D60">
            <wp:extent cx="2149027" cy="180000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9027" cy="1800000"/>
                    </a:xfrm>
                    <a:prstGeom prst="rect">
                      <a:avLst/>
                    </a:prstGeom>
                    <a:noFill/>
                    <a:ln>
                      <a:noFill/>
                    </a:ln>
                  </pic:spPr>
                </pic:pic>
              </a:graphicData>
            </a:graphic>
          </wp:inline>
        </w:drawing>
      </w:r>
    </w:p>
    <w:p w14:paraId="673F3299" w14:textId="37C8194B" w:rsidR="00733A60" w:rsidRDefault="00733A60" w:rsidP="00733A60">
      <w:pPr>
        <w:pStyle w:val="Beschriftung"/>
      </w:pPr>
      <w:r>
        <w:t xml:space="preserve">Abb. </w:t>
      </w:r>
      <w:fldSimple w:instr=" SEQ Abb. \* ARABIC ">
        <w:r w:rsidR="00BE3067">
          <w:rPr>
            <w:noProof/>
          </w:rPr>
          <w:t>5</w:t>
        </w:r>
      </w:fldSimple>
      <w:r>
        <w:t>: Aflatoxin B</w:t>
      </w:r>
      <w:r w:rsidR="006704A1">
        <w:rPr>
          <w:vertAlign w:val="subscript"/>
        </w:rPr>
        <w:t>1</w:t>
      </w:r>
    </w:p>
    <w:p w14:paraId="09585243" w14:textId="77777777" w:rsidR="006704A1" w:rsidRDefault="006704A1" w:rsidP="006704A1">
      <w:pPr>
        <w:rPr>
          <w:rFonts w:cs="Arial"/>
        </w:rPr>
        <w:sectPr w:rsidR="006704A1" w:rsidSect="006704A1">
          <w:type w:val="continuous"/>
          <w:pgSz w:w="11906" w:h="16838"/>
          <w:pgMar w:top="851" w:right="1134" w:bottom="851" w:left="1418" w:header="0" w:footer="0" w:gutter="0"/>
          <w:cols w:num="2" w:space="708"/>
          <w:titlePg/>
          <w:docGrid w:linePitch="360"/>
        </w:sectPr>
      </w:pPr>
    </w:p>
    <w:p w14:paraId="7C66975E" w14:textId="0ECB9AF7" w:rsidR="006704A1" w:rsidRDefault="006704A1" w:rsidP="006704A1">
      <w:pPr>
        <w:rPr>
          <w:rFonts w:cs="Arial"/>
        </w:rPr>
      </w:pPr>
      <w:r>
        <w:rPr>
          <w:rFonts w:cs="Arial"/>
        </w:rPr>
        <w:lastRenderedPageBreak/>
        <w:t>Es hat einen LD</w:t>
      </w:r>
      <w:r>
        <w:rPr>
          <w:rFonts w:cs="Arial"/>
          <w:vertAlign w:val="subscript"/>
        </w:rPr>
        <w:t>50</w:t>
      </w:r>
      <w:r>
        <w:rPr>
          <w:rFonts w:cs="Arial"/>
        </w:rPr>
        <w:t>-Wert bei der oralen Aufnahme von Ratten von 7.200 </w:t>
      </w:r>
      <w:proofErr w:type="spellStart"/>
      <w:r w:rsidR="00BE3067">
        <w:rPr>
          <w:rFonts w:cs="Arial"/>
        </w:rPr>
        <w:t>μ</w:t>
      </w:r>
      <w:r>
        <w:rPr>
          <w:rFonts w:cs="Arial"/>
        </w:rPr>
        <w:t>g</w:t>
      </w:r>
      <w:proofErr w:type="spellEnd"/>
      <w:r>
        <w:rPr>
          <w:rFonts w:cs="Arial"/>
        </w:rPr>
        <w:t> kg</w:t>
      </w:r>
      <w:r>
        <w:rPr>
          <w:rFonts w:cs="Arial"/>
          <w:vertAlign w:val="superscript"/>
        </w:rPr>
        <w:t>-1</w:t>
      </w:r>
      <w:r>
        <w:rPr>
          <w:rFonts w:cs="Arial"/>
        </w:rPr>
        <w:t>. Die Giftigkeit hängt von den individuellen Voraussetzungen des einzelnen Organismus ab, jedoch wird stets die Leber angegriffen. Es verursacht Leber-Krebs, diese Wirkung wird durch eine Verknüpfung mit der DNA des Zell-Kerns und eine dadurch bedingte Hemmung der RNA-Polymerase erklärt, außerdem hemmt es das Immun-System. Es hat auch eine akut toxische Wirkung.</w:t>
      </w:r>
    </w:p>
    <w:p w14:paraId="6DCEDE7A" w14:textId="2868C4C4" w:rsidR="006704A1" w:rsidRDefault="006704A1" w:rsidP="006704A1">
      <w:pPr>
        <w:pStyle w:val="berschrift1"/>
      </w:pPr>
      <w:bookmarkStart w:id="4" w:name="_Toc57879796"/>
      <w:r>
        <w:lastRenderedPageBreak/>
        <w:t>Die stärksten Säuren</w:t>
      </w:r>
      <w:bookmarkEnd w:id="4"/>
    </w:p>
    <w:p w14:paraId="565168FF" w14:textId="7FED22BF" w:rsidR="006704A1" w:rsidRDefault="006704A1" w:rsidP="006704A1">
      <w:pPr>
        <w:pStyle w:val="berschrift2"/>
      </w:pPr>
      <w:bookmarkStart w:id="5" w:name="_Toc57879797"/>
      <w:r>
        <w:t>Stärkste synthetische Säure</w:t>
      </w:r>
      <w:bookmarkEnd w:id="5"/>
    </w:p>
    <w:p w14:paraId="475B06A0" w14:textId="1194594A" w:rsidR="006704A1" w:rsidRDefault="006704A1" w:rsidP="006704A1">
      <w:pPr>
        <w:rPr>
          <w:rFonts w:cs="Arial"/>
        </w:rPr>
      </w:pPr>
      <w:r>
        <w:rPr>
          <w:rFonts w:cs="Arial"/>
        </w:rPr>
        <w:t xml:space="preserve">Stärkste organische Säure ist das </w:t>
      </w:r>
      <w:proofErr w:type="spellStart"/>
      <w:r w:rsidRPr="006704A1">
        <w:rPr>
          <w:rStyle w:val="Fett"/>
        </w:rPr>
        <w:t>Pentacyanocyclopentadien</w:t>
      </w:r>
      <w:proofErr w:type="spellEnd"/>
      <w:r>
        <w:rPr>
          <w:rFonts w:cs="Arial"/>
        </w:rPr>
        <w:t xml:space="preserve">. Die Stärke der Säure lässt sich durch die Stabilität des durch Deprotonierung entstehenden Carb-Anions und durch die elektronenziehende Kraft der </w:t>
      </w:r>
      <w:proofErr w:type="spellStart"/>
      <w:r>
        <w:rPr>
          <w:rFonts w:cs="Arial"/>
        </w:rPr>
        <w:t>Cyano</w:t>
      </w:r>
      <w:proofErr w:type="spellEnd"/>
      <w:r>
        <w:rPr>
          <w:rFonts w:cs="Arial"/>
        </w:rPr>
        <w:t xml:space="preserve">-Gruppe erklären. Eine </w:t>
      </w:r>
      <w:proofErr w:type="spellStart"/>
      <w:r>
        <w:rPr>
          <w:rFonts w:cs="Arial"/>
        </w:rPr>
        <w:t>Cyano</w:t>
      </w:r>
      <w:proofErr w:type="spellEnd"/>
      <w:r>
        <w:rPr>
          <w:rFonts w:cs="Arial"/>
        </w:rPr>
        <w:t xml:space="preserve">-Gruppe stabilisiert eine negative Ladung am Kohlenwasserstoff. Je mehr </w:t>
      </w:r>
      <w:proofErr w:type="spellStart"/>
      <w:r>
        <w:rPr>
          <w:rFonts w:cs="Arial"/>
        </w:rPr>
        <w:t>Cyano</w:t>
      </w:r>
      <w:proofErr w:type="spellEnd"/>
      <w:r>
        <w:rPr>
          <w:rFonts w:cs="Arial"/>
        </w:rPr>
        <w:t xml:space="preserve">-Gruppen an einem Molekül (hochsubstituiertes Derivat), desto stärker ist die Säure. Es hat einen </w:t>
      </w:r>
      <w:proofErr w:type="spellStart"/>
      <w:r>
        <w:rPr>
          <w:rFonts w:cs="Arial"/>
        </w:rPr>
        <w:t>pK</w:t>
      </w:r>
      <w:r>
        <w:rPr>
          <w:rFonts w:cs="Arial"/>
          <w:vertAlign w:val="subscript"/>
        </w:rPr>
        <w:t>a</w:t>
      </w:r>
      <w:proofErr w:type="spellEnd"/>
      <w:r>
        <w:rPr>
          <w:rFonts w:cs="Arial"/>
        </w:rPr>
        <w:t>-Wert kleiner als -11.</w:t>
      </w:r>
    </w:p>
    <w:p w14:paraId="033230F9" w14:textId="60F68BEA" w:rsidR="006704A1" w:rsidRDefault="006704A1" w:rsidP="006704A1">
      <w:pPr>
        <w:pStyle w:val="Bilder"/>
      </w:pPr>
      <w:r>
        <w:rPr>
          <w:lang w:eastAsia="de-DE"/>
        </w:rPr>
        <w:drawing>
          <wp:inline distT="0" distB="0" distL="0" distR="0" wp14:anchorId="397618D2" wp14:editId="75EB630D">
            <wp:extent cx="4657090" cy="1461135"/>
            <wp:effectExtent l="0" t="0" r="0"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7090" cy="1461135"/>
                    </a:xfrm>
                    <a:prstGeom prst="rect">
                      <a:avLst/>
                    </a:prstGeom>
                    <a:noFill/>
                    <a:ln>
                      <a:noFill/>
                    </a:ln>
                  </pic:spPr>
                </pic:pic>
              </a:graphicData>
            </a:graphic>
          </wp:inline>
        </w:drawing>
      </w:r>
    </w:p>
    <w:p w14:paraId="6D627742" w14:textId="2C1D54EF" w:rsidR="006704A1" w:rsidRDefault="006704A1" w:rsidP="006704A1">
      <w:pPr>
        <w:pStyle w:val="Beschriftung"/>
        <w:rPr>
          <w:rFonts w:cs="Arial"/>
        </w:rPr>
      </w:pPr>
      <w:r>
        <w:t xml:space="preserve">Abb. </w:t>
      </w:r>
      <w:fldSimple w:instr=" SEQ Abb. \* ARABIC ">
        <w:r w:rsidR="00BE3067">
          <w:rPr>
            <w:noProof/>
          </w:rPr>
          <w:t>6</w:t>
        </w:r>
      </w:fldSimple>
      <w:r>
        <w:t xml:space="preserve">: </w:t>
      </w:r>
      <w:proofErr w:type="spellStart"/>
      <w:r>
        <w:rPr>
          <w:rFonts w:cs="Arial"/>
        </w:rPr>
        <w:t>Pentacyanocyclopentadien</w:t>
      </w:r>
      <w:proofErr w:type="spellEnd"/>
      <w:r>
        <w:rPr>
          <w:rFonts w:cs="Arial"/>
        </w:rPr>
        <w:t xml:space="preserve"> (PCCP)</w:t>
      </w:r>
    </w:p>
    <w:p w14:paraId="783AF434" w14:textId="516B27DD" w:rsidR="006704A1" w:rsidRDefault="006704A1" w:rsidP="006704A1">
      <w:pPr>
        <w:pStyle w:val="berschrift2"/>
      </w:pPr>
      <w:bookmarkStart w:id="6" w:name="_Toc57879798"/>
      <w:proofErr w:type="spellStart"/>
      <w:r>
        <w:t>Acidester</w:t>
      </w:r>
      <w:proofErr w:type="spellEnd"/>
      <w:r>
        <w:t xml:space="preserve"> Natur-Stoff</w:t>
      </w:r>
      <w:bookmarkEnd w:id="6"/>
    </w:p>
    <w:p w14:paraId="16E53004" w14:textId="4DC5ED59" w:rsidR="006704A1" w:rsidRDefault="006704A1" w:rsidP="006704A1">
      <w:pPr>
        <w:rPr>
          <w:rFonts w:cs="Arial"/>
        </w:rPr>
      </w:pPr>
      <w:r>
        <w:rPr>
          <w:rFonts w:cs="Arial"/>
        </w:rPr>
        <w:t xml:space="preserve">Der </w:t>
      </w:r>
      <w:proofErr w:type="spellStart"/>
      <w:r>
        <w:rPr>
          <w:rFonts w:cs="Arial"/>
        </w:rPr>
        <w:t>acideste</w:t>
      </w:r>
      <w:proofErr w:type="spellEnd"/>
      <w:r>
        <w:rPr>
          <w:rFonts w:cs="Arial"/>
        </w:rPr>
        <w:t xml:space="preserve"> Naturstoff, die </w:t>
      </w:r>
      <w:r w:rsidRPr="006704A1">
        <w:rPr>
          <w:rStyle w:val="Fett"/>
        </w:rPr>
        <w:t>Semiquadratsäure (</w:t>
      </w:r>
      <w:proofErr w:type="spellStart"/>
      <w:r w:rsidRPr="006704A1">
        <w:rPr>
          <w:rStyle w:val="Fett"/>
        </w:rPr>
        <w:t>Moniliformin</w:t>
      </w:r>
      <w:proofErr w:type="spellEnd"/>
      <w:r w:rsidRPr="006704A1">
        <w:rPr>
          <w:rStyle w:val="Fett"/>
        </w:rPr>
        <w:t>)</w:t>
      </w:r>
      <w:r>
        <w:rPr>
          <w:rFonts w:cs="Arial"/>
        </w:rPr>
        <w:t xml:space="preserve">, kommt in der Schimmelpilz-Art </w:t>
      </w:r>
      <w:proofErr w:type="spellStart"/>
      <w:r>
        <w:rPr>
          <w:rFonts w:cs="Arial"/>
        </w:rPr>
        <w:t>Fusarium</w:t>
      </w:r>
      <w:proofErr w:type="spellEnd"/>
      <w:r>
        <w:rPr>
          <w:rFonts w:cs="Arial"/>
        </w:rPr>
        <w:t> </w:t>
      </w:r>
      <w:proofErr w:type="spellStart"/>
      <w:r>
        <w:rPr>
          <w:rFonts w:cs="Arial"/>
        </w:rPr>
        <w:t>moniliforme</w:t>
      </w:r>
      <w:proofErr w:type="spellEnd"/>
      <w:r>
        <w:rPr>
          <w:rFonts w:cs="Arial"/>
        </w:rPr>
        <w:t xml:space="preserve"> vor. Sie liegt dort als Natrium-Salz vor und besitzt einen </w:t>
      </w:r>
      <w:proofErr w:type="spellStart"/>
      <w:r>
        <w:rPr>
          <w:rFonts w:cs="Arial"/>
        </w:rPr>
        <w:t>pk</w:t>
      </w:r>
      <w:r>
        <w:rPr>
          <w:rFonts w:cs="Arial"/>
          <w:vertAlign w:val="subscript"/>
        </w:rPr>
        <w:t>a</w:t>
      </w:r>
      <w:proofErr w:type="spellEnd"/>
      <w:r>
        <w:rPr>
          <w:rFonts w:cs="Arial"/>
        </w:rPr>
        <w:t xml:space="preserve">-Wert von 0,88. Die Semiquadratsäure ist </w:t>
      </w:r>
      <w:proofErr w:type="spellStart"/>
      <w:r>
        <w:rPr>
          <w:rFonts w:cs="Arial"/>
        </w:rPr>
        <w:t>mesomeriestabilisiert</w:t>
      </w:r>
      <w:proofErr w:type="spellEnd"/>
      <w:r>
        <w:rPr>
          <w:rFonts w:cs="Arial"/>
        </w:rPr>
        <w:t xml:space="preserve">. Sie wird von dem häufig in Mais-Futter vorkommenden </w:t>
      </w:r>
      <w:proofErr w:type="spellStart"/>
      <w:r>
        <w:rPr>
          <w:rFonts w:cs="Arial"/>
        </w:rPr>
        <w:t>Fusarium</w:t>
      </w:r>
      <w:proofErr w:type="spellEnd"/>
      <w:r>
        <w:rPr>
          <w:rFonts w:cs="Arial"/>
        </w:rPr>
        <w:t> </w:t>
      </w:r>
      <w:proofErr w:type="spellStart"/>
      <w:r>
        <w:rPr>
          <w:rFonts w:cs="Arial"/>
        </w:rPr>
        <w:t>moniliforme</w:t>
      </w:r>
      <w:proofErr w:type="spellEnd"/>
      <w:r>
        <w:rPr>
          <w:rFonts w:cs="Arial"/>
        </w:rPr>
        <w:t xml:space="preserve"> in sehr hohen Konzentrationen von bis zu 33 g/kg Mais gebildet.</w:t>
      </w:r>
    </w:p>
    <w:p w14:paraId="3D2F3E4F" w14:textId="03FDE963" w:rsidR="006704A1" w:rsidRDefault="006704A1" w:rsidP="006704A1">
      <w:pPr>
        <w:pStyle w:val="Bilder"/>
      </w:pPr>
      <w:r>
        <w:rPr>
          <w:lang w:eastAsia="de-DE"/>
        </w:rPr>
        <w:drawing>
          <wp:inline distT="0" distB="0" distL="0" distR="0" wp14:anchorId="4CCB60E4" wp14:editId="3A77A4A6">
            <wp:extent cx="2766404" cy="180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6404" cy="1800000"/>
                    </a:xfrm>
                    <a:prstGeom prst="rect">
                      <a:avLst/>
                    </a:prstGeom>
                    <a:noFill/>
                    <a:ln>
                      <a:noFill/>
                    </a:ln>
                  </pic:spPr>
                </pic:pic>
              </a:graphicData>
            </a:graphic>
          </wp:inline>
        </w:drawing>
      </w:r>
    </w:p>
    <w:p w14:paraId="3EEF30FD" w14:textId="4E114405" w:rsidR="006704A1" w:rsidRDefault="006704A1" w:rsidP="006704A1">
      <w:pPr>
        <w:pStyle w:val="Beschriftung"/>
      </w:pPr>
      <w:r>
        <w:t xml:space="preserve">Abb. </w:t>
      </w:r>
      <w:fldSimple w:instr=" SEQ Abb. \* ARABIC ">
        <w:r w:rsidR="00BE3067">
          <w:rPr>
            <w:noProof/>
          </w:rPr>
          <w:t>7</w:t>
        </w:r>
      </w:fldSimple>
      <w:r>
        <w:t>: Mais und sein Bewohner [</w:t>
      </w:r>
      <w:r>
        <w:fldChar w:fldCharType="begin"/>
      </w:r>
      <w:r>
        <w:instrText xml:space="preserve"> REF _Ref57877070 \r \h </w:instrText>
      </w:r>
      <w:r>
        <w:fldChar w:fldCharType="separate"/>
      </w:r>
      <w:r w:rsidR="00BE3067">
        <w:t>12</w:t>
      </w:r>
      <w:r>
        <w:fldChar w:fldCharType="end"/>
      </w:r>
      <w:r>
        <w:t>]</w:t>
      </w:r>
    </w:p>
    <w:p w14:paraId="5D61FA0E" w14:textId="01854F03" w:rsidR="006704A1" w:rsidRDefault="006704A1" w:rsidP="006704A1">
      <w:pPr>
        <w:pStyle w:val="Bilder"/>
      </w:pPr>
      <w:r>
        <w:rPr>
          <w:lang w:eastAsia="de-DE"/>
        </w:rPr>
        <w:drawing>
          <wp:inline distT="0" distB="0" distL="0" distR="0" wp14:anchorId="4D8CC395" wp14:editId="3457DC5D">
            <wp:extent cx="4902200" cy="1159510"/>
            <wp:effectExtent l="0" t="0" r="0"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02200" cy="1159510"/>
                    </a:xfrm>
                    <a:prstGeom prst="rect">
                      <a:avLst/>
                    </a:prstGeom>
                    <a:noFill/>
                    <a:ln>
                      <a:noFill/>
                    </a:ln>
                  </pic:spPr>
                </pic:pic>
              </a:graphicData>
            </a:graphic>
          </wp:inline>
        </w:drawing>
      </w:r>
    </w:p>
    <w:p w14:paraId="7234C987" w14:textId="1EDF8E7C" w:rsidR="006704A1" w:rsidRDefault="006704A1" w:rsidP="006704A1">
      <w:pPr>
        <w:pStyle w:val="Beschriftung"/>
      </w:pPr>
      <w:r>
        <w:t xml:space="preserve">Abb. </w:t>
      </w:r>
      <w:fldSimple w:instr=" SEQ Abb. \* ARABIC ">
        <w:r w:rsidR="00BE3067">
          <w:rPr>
            <w:noProof/>
          </w:rPr>
          <w:t>8</w:t>
        </w:r>
      </w:fldSimple>
      <w:r>
        <w:t xml:space="preserve">: </w:t>
      </w:r>
      <w:proofErr w:type="spellStart"/>
      <w:r>
        <w:t>Mesomerie</w:t>
      </w:r>
      <w:proofErr w:type="spellEnd"/>
      <w:r>
        <w:t xml:space="preserve">-Stabilisierung bei </w:t>
      </w:r>
      <w:proofErr w:type="spellStart"/>
      <w:r>
        <w:t>Moniliformin</w:t>
      </w:r>
      <w:proofErr w:type="spellEnd"/>
    </w:p>
    <w:p w14:paraId="5363BB60" w14:textId="760B0557" w:rsidR="006704A1" w:rsidRDefault="00261CE0" w:rsidP="006704A1">
      <w:r>
        <w:rPr>
          <w:noProof/>
          <w:lang w:eastAsia="de-DE"/>
        </w:rPr>
        <w:lastRenderedPageBreak/>
        <w:drawing>
          <wp:inline distT="0" distB="0" distL="0" distR="0" wp14:anchorId="746A471B" wp14:editId="77A9BC89">
            <wp:extent cx="5932170" cy="209867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2170" cy="2098675"/>
                    </a:xfrm>
                    <a:prstGeom prst="rect">
                      <a:avLst/>
                    </a:prstGeom>
                    <a:noFill/>
                    <a:ln>
                      <a:noFill/>
                    </a:ln>
                  </pic:spPr>
                </pic:pic>
              </a:graphicData>
            </a:graphic>
          </wp:inline>
        </w:drawing>
      </w:r>
    </w:p>
    <w:p w14:paraId="1FD8CDD9" w14:textId="6B1D121D" w:rsidR="00261CE0" w:rsidRDefault="00261CE0" w:rsidP="00261CE0">
      <w:pPr>
        <w:pStyle w:val="Beschriftung"/>
      </w:pPr>
      <w:r>
        <w:t xml:space="preserve">Abb. </w:t>
      </w:r>
      <w:r w:rsidR="00BE3067">
        <w:fldChar w:fldCharType="begin"/>
      </w:r>
      <w:r w:rsidR="00BE3067">
        <w:instrText xml:space="preserve"> SEQ Abb. \* ARABIC </w:instrText>
      </w:r>
      <w:r w:rsidR="00BE3067">
        <w:fldChar w:fldCharType="separate"/>
      </w:r>
      <w:r w:rsidR="00BE3067">
        <w:rPr>
          <w:noProof/>
        </w:rPr>
        <w:t>9</w:t>
      </w:r>
      <w:r w:rsidR="00BE3067">
        <w:rPr>
          <w:noProof/>
        </w:rPr>
        <w:fldChar w:fldCharType="end"/>
      </w:r>
      <w:r>
        <w:t xml:space="preserve">: Biosynthese von </w:t>
      </w:r>
      <w:proofErr w:type="spellStart"/>
      <w:r>
        <w:t>Moniliformin</w:t>
      </w:r>
      <w:proofErr w:type="spellEnd"/>
    </w:p>
    <w:p w14:paraId="2F3419E0" w14:textId="0B2DB870" w:rsidR="00261CE0" w:rsidRDefault="00261CE0" w:rsidP="00261CE0">
      <w:pPr>
        <w:rPr>
          <w:rFonts w:cs="Arial"/>
        </w:rPr>
      </w:pPr>
      <w:r>
        <w:rPr>
          <w:rFonts w:cs="Arial"/>
        </w:rPr>
        <w:t>Die Biosynthese von der Semiquadratsäure aus Acetat verläuft wahrscheinlich über das Malonyl-Coenzym A und 1,3-Butandion. Durch Oxidation an den reaktiven Methylen-Gruppen würde eine durch die Tautomeren zu beschreibenden Zwischen-Stufe gebildet, deren Dehydratisierung zu der Semiquadratsäure führt.</w:t>
      </w:r>
    </w:p>
    <w:p w14:paraId="740961F2" w14:textId="08112207" w:rsidR="00261CE0" w:rsidRDefault="00261CE0" w:rsidP="00261CE0">
      <w:pPr>
        <w:pStyle w:val="berschrift1"/>
      </w:pPr>
      <w:bookmarkStart w:id="7" w:name="_Toc57879799"/>
      <w:r>
        <w:t>Bereich „Sehen“</w:t>
      </w:r>
      <w:bookmarkEnd w:id="7"/>
    </w:p>
    <w:p w14:paraId="14530C62" w14:textId="1002ABAC" w:rsidR="00261CE0" w:rsidRDefault="00261CE0" w:rsidP="00261CE0">
      <w:pPr>
        <w:pStyle w:val="berschrift2"/>
      </w:pPr>
      <w:bookmarkStart w:id="8" w:name="_Toc57879800"/>
      <w:r>
        <w:t>Der älteste Farbstoff</w:t>
      </w:r>
      <w:bookmarkEnd w:id="8"/>
    </w:p>
    <w:p w14:paraId="57202750" w14:textId="2BEE7EBA" w:rsidR="00261CE0" w:rsidRDefault="00261CE0" w:rsidP="00261CE0">
      <w:r>
        <w:t>Der vielleicht älteste Farbstoff kam schon rasch nach der Entdeckung des Feuers zum Einsatz: Ruß wird seit ca. 20.000 v. Chr. als färbendes Medium verwendet. Beispiele: schwarze Druckfarbe auf Zeitungen, Höhlen</w:t>
      </w:r>
      <w:r w:rsidR="00D82999">
        <w:t>-M</w:t>
      </w:r>
      <w:r>
        <w:t>alerei</w:t>
      </w:r>
      <w:r w:rsidR="00D82999">
        <w:t>.</w:t>
      </w:r>
    </w:p>
    <w:p w14:paraId="77806F39" w14:textId="3D7E1C7A" w:rsidR="00D82999" w:rsidRDefault="00D82999" w:rsidP="00D82999">
      <w:pPr>
        <w:pStyle w:val="berschrift2"/>
      </w:pPr>
      <w:bookmarkStart w:id="9" w:name="_Toc57879801"/>
      <w:r>
        <w:t>Der Farbstoff, der auch schmeckt</w:t>
      </w:r>
      <w:bookmarkEnd w:id="9"/>
    </w:p>
    <w:p w14:paraId="7419D66A" w14:textId="7B913D18" w:rsidR="00D82999" w:rsidRDefault="00D82999" w:rsidP="00D82999">
      <w:r w:rsidRPr="00D82999">
        <w:rPr>
          <w:rStyle w:val="Fett"/>
        </w:rPr>
        <w:t>Safran</w:t>
      </w:r>
      <w:r>
        <w:t xml:space="preserve"> ist heutzutage das teuerste gebräuchliche Gewürz (4 – 14 Euro pro Gramm).</w:t>
      </w:r>
    </w:p>
    <w:p w14:paraId="0DAA40C8" w14:textId="0B703343" w:rsidR="00D82999" w:rsidRDefault="00D82999" w:rsidP="00D82999">
      <w:r>
        <w:t xml:space="preserve">Die Safran-Pflanze heißt </w:t>
      </w:r>
      <w:proofErr w:type="spellStart"/>
      <w:r w:rsidRPr="00D82999">
        <w:rPr>
          <w:rStyle w:val="Hervorhebung"/>
        </w:rPr>
        <w:t>Crocus</w:t>
      </w:r>
      <w:proofErr w:type="spellEnd"/>
      <w:r>
        <w:rPr>
          <w:rStyle w:val="Hervorhebung"/>
        </w:rPr>
        <w:t> </w:t>
      </w:r>
      <w:proofErr w:type="spellStart"/>
      <w:r w:rsidRPr="00D82999">
        <w:rPr>
          <w:rStyle w:val="Hervorhebung"/>
        </w:rPr>
        <w:t>sativus</w:t>
      </w:r>
      <w:proofErr w:type="spellEnd"/>
      <w:r>
        <w:t xml:space="preserve">. Jede Blüte enthält einen sich in drei Narben verzweigenden </w:t>
      </w:r>
      <w:r w:rsidRPr="00D82999">
        <w:rPr>
          <w:rFonts w:cs="Arial"/>
          <w:b/>
          <w:bCs/>
          <w:szCs w:val="24"/>
        </w:rPr>
        <w:t>Griffel</w:t>
      </w:r>
      <w:r>
        <w:t xml:space="preserve">. Nur diese süß-aromatisch duftenden </w:t>
      </w:r>
      <w:r w:rsidRPr="00D82999">
        <w:rPr>
          <w:rFonts w:cs="Arial"/>
          <w:b/>
          <w:bCs/>
          <w:szCs w:val="24"/>
        </w:rPr>
        <w:t>Stempelfäden</w:t>
      </w:r>
      <w:r>
        <w:t xml:space="preserve"> werden getrocknet als </w:t>
      </w:r>
      <w:r w:rsidRPr="00D82999">
        <w:rPr>
          <w:rFonts w:cs="Arial"/>
          <w:b/>
          <w:bCs/>
          <w:szCs w:val="24"/>
        </w:rPr>
        <w:t>Gewürz</w:t>
      </w:r>
      <w:r>
        <w:t xml:space="preserve"> verwendet. Um ein Kilogramm von ihnen zu gewinnen, benötigt man etwa 80.000 bis 150.000 Blüten aus einer Anbau-Fläche von ca. 1.000 Quadratmetern; die Ernte ist reine Hand-Arbeit. Deshalb zählt Safran zu den teuersten Gewürzen. Im Handel zahlt man zwischen 4 und 14 € pro </w:t>
      </w:r>
      <w:r w:rsidRPr="00D82999">
        <w:t>Gramm.</w:t>
      </w:r>
    </w:p>
    <w:p w14:paraId="3BFEDE9D" w14:textId="77777777" w:rsidR="00D82999" w:rsidRDefault="00D82999" w:rsidP="00D82999">
      <w:pPr>
        <w:pStyle w:val="Bilder"/>
        <w:sectPr w:rsidR="00D82999" w:rsidSect="006704A1">
          <w:type w:val="continuous"/>
          <w:pgSz w:w="11906" w:h="16838"/>
          <w:pgMar w:top="851" w:right="1134" w:bottom="851" w:left="1418" w:header="0" w:footer="0" w:gutter="0"/>
          <w:cols w:space="708"/>
          <w:titlePg/>
          <w:docGrid w:linePitch="360"/>
        </w:sectPr>
      </w:pPr>
    </w:p>
    <w:p w14:paraId="7FE46050" w14:textId="0B078ED3" w:rsidR="00D82999" w:rsidRDefault="00D82999" w:rsidP="00D82999">
      <w:pPr>
        <w:pStyle w:val="Bilder"/>
        <w:spacing w:before="60"/>
      </w:pPr>
      <w:r>
        <w:rPr>
          <w:lang w:eastAsia="de-DE"/>
        </w:rPr>
        <w:drawing>
          <wp:inline distT="0" distB="0" distL="0" distR="0" wp14:anchorId="046F9246" wp14:editId="3DAAEA3F">
            <wp:extent cx="2427859" cy="1800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7859" cy="1800000"/>
                    </a:xfrm>
                    <a:prstGeom prst="rect">
                      <a:avLst/>
                    </a:prstGeom>
                    <a:noFill/>
                    <a:ln>
                      <a:noFill/>
                    </a:ln>
                  </pic:spPr>
                </pic:pic>
              </a:graphicData>
            </a:graphic>
          </wp:inline>
        </w:drawing>
      </w:r>
    </w:p>
    <w:p w14:paraId="5347F01B" w14:textId="1F75AD19" w:rsidR="00D82999" w:rsidRDefault="00D82999" w:rsidP="00D82999">
      <w:pPr>
        <w:pStyle w:val="Beschriftung"/>
      </w:pPr>
      <w:r>
        <w:t xml:space="preserve">Abb. </w:t>
      </w:r>
      <w:r w:rsidR="00BE3067">
        <w:fldChar w:fldCharType="begin"/>
      </w:r>
      <w:r w:rsidR="00BE3067">
        <w:instrText xml:space="preserve"> SEQ Abb. \* ARABIC </w:instrText>
      </w:r>
      <w:r w:rsidR="00BE3067">
        <w:fldChar w:fldCharType="separate"/>
      </w:r>
      <w:r w:rsidR="00BE3067">
        <w:rPr>
          <w:noProof/>
        </w:rPr>
        <w:t>10</w:t>
      </w:r>
      <w:r w:rsidR="00BE3067">
        <w:rPr>
          <w:noProof/>
        </w:rPr>
        <w:fldChar w:fldCharType="end"/>
      </w:r>
      <w:r>
        <w:t xml:space="preserve">: </w:t>
      </w:r>
      <w:proofErr w:type="spellStart"/>
      <w:r>
        <w:t>Crocus</w:t>
      </w:r>
      <w:proofErr w:type="spellEnd"/>
      <w:r>
        <w:t> </w:t>
      </w:r>
      <w:proofErr w:type="spellStart"/>
      <w:r>
        <w:t>sativus</w:t>
      </w:r>
      <w:proofErr w:type="spellEnd"/>
      <w:r>
        <w:t xml:space="preserve"> [</w:t>
      </w:r>
      <w:r>
        <w:fldChar w:fldCharType="begin"/>
      </w:r>
      <w:r>
        <w:instrText xml:space="preserve"> REF _Ref57878682 \r \h </w:instrText>
      </w:r>
      <w:r>
        <w:fldChar w:fldCharType="separate"/>
      </w:r>
      <w:r w:rsidR="00BE3067">
        <w:t>15</w:t>
      </w:r>
      <w:r>
        <w:fldChar w:fldCharType="end"/>
      </w:r>
      <w:r>
        <w:t>]</w:t>
      </w:r>
    </w:p>
    <w:p w14:paraId="2D4096AF" w14:textId="688CC777" w:rsidR="00D82999" w:rsidRDefault="00D82999" w:rsidP="00D82999">
      <w:pPr>
        <w:pStyle w:val="Bilder"/>
      </w:pPr>
      <w:r>
        <w:rPr>
          <w:lang w:eastAsia="de-DE"/>
        </w:rPr>
        <w:drawing>
          <wp:inline distT="0" distB="0" distL="0" distR="0" wp14:anchorId="47A6CEAF" wp14:editId="0A2D3CC5">
            <wp:extent cx="1638502" cy="1800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8502" cy="1800000"/>
                    </a:xfrm>
                    <a:prstGeom prst="rect">
                      <a:avLst/>
                    </a:prstGeom>
                    <a:noFill/>
                    <a:ln>
                      <a:noFill/>
                    </a:ln>
                  </pic:spPr>
                </pic:pic>
              </a:graphicData>
            </a:graphic>
          </wp:inline>
        </w:drawing>
      </w:r>
    </w:p>
    <w:p w14:paraId="7BCD02FC" w14:textId="6A565D5F" w:rsidR="00D82999" w:rsidRDefault="00D82999" w:rsidP="00D82999">
      <w:pPr>
        <w:pStyle w:val="Beschriftung"/>
      </w:pPr>
      <w:r>
        <w:t xml:space="preserve">Abb. </w:t>
      </w:r>
      <w:r w:rsidR="00BE3067">
        <w:fldChar w:fldCharType="begin"/>
      </w:r>
      <w:r w:rsidR="00BE3067">
        <w:instrText xml:space="preserve"> SEQ Abb. \* ARABIC </w:instrText>
      </w:r>
      <w:r w:rsidR="00BE3067">
        <w:fldChar w:fldCharType="separate"/>
      </w:r>
      <w:r w:rsidR="00BE3067">
        <w:rPr>
          <w:noProof/>
        </w:rPr>
        <w:t>11</w:t>
      </w:r>
      <w:r w:rsidR="00BE3067">
        <w:rPr>
          <w:noProof/>
        </w:rPr>
        <w:fldChar w:fldCharType="end"/>
      </w:r>
      <w:r>
        <w:t>: Safran-Fäden [</w:t>
      </w:r>
      <w:r>
        <w:fldChar w:fldCharType="begin"/>
      </w:r>
      <w:r>
        <w:instrText xml:space="preserve"> REF _Ref57878811 \r \h </w:instrText>
      </w:r>
      <w:r>
        <w:fldChar w:fldCharType="separate"/>
      </w:r>
      <w:r w:rsidR="00BE3067">
        <w:t>13</w:t>
      </w:r>
      <w:r>
        <w:fldChar w:fldCharType="end"/>
      </w:r>
      <w:r>
        <w:t>]</w:t>
      </w:r>
    </w:p>
    <w:p w14:paraId="4309A3AB" w14:textId="77777777" w:rsidR="00D82999" w:rsidRDefault="00D82999" w:rsidP="00D82999">
      <w:pPr>
        <w:rPr>
          <w:rFonts w:cs="Arial"/>
          <w:color w:val="000000"/>
        </w:rPr>
        <w:sectPr w:rsidR="00D82999" w:rsidSect="00D82999">
          <w:type w:val="continuous"/>
          <w:pgSz w:w="11906" w:h="16838"/>
          <w:pgMar w:top="851" w:right="1134" w:bottom="851" w:left="1418" w:header="0" w:footer="0" w:gutter="0"/>
          <w:cols w:num="2" w:space="708"/>
          <w:titlePg/>
          <w:docGrid w:linePitch="360"/>
        </w:sectPr>
      </w:pPr>
    </w:p>
    <w:p w14:paraId="229C4A9A" w14:textId="5783E670" w:rsidR="00D82999" w:rsidRDefault="00D82999" w:rsidP="00D82999">
      <w:pPr>
        <w:rPr>
          <w:rFonts w:cs="Arial"/>
          <w:color w:val="000000"/>
        </w:rPr>
      </w:pPr>
      <w:r>
        <w:rPr>
          <w:rFonts w:cs="Arial"/>
          <w:color w:val="000000"/>
        </w:rPr>
        <w:t xml:space="preserve">Safran schmeckt bitter-scharf, was bei normaler Dosierung – anders als der typische Duft – nicht zum Tragen kommt, und enthält </w:t>
      </w:r>
      <w:r w:rsidRPr="00D82999">
        <w:rPr>
          <w:rFonts w:cs="Arial"/>
          <w:color w:val="000000"/>
        </w:rPr>
        <w:t>Carotinoide</w:t>
      </w:r>
      <w:r>
        <w:rPr>
          <w:rFonts w:cs="Arial"/>
          <w:color w:val="000000"/>
        </w:rPr>
        <w:t xml:space="preserve">, vor allem </w:t>
      </w:r>
      <w:proofErr w:type="spellStart"/>
      <w:r w:rsidRPr="00D82999">
        <w:rPr>
          <w:rStyle w:val="Fett"/>
        </w:rPr>
        <w:t>Crocin</w:t>
      </w:r>
      <w:proofErr w:type="spellEnd"/>
      <w:r>
        <w:rPr>
          <w:rFonts w:cs="Arial"/>
          <w:color w:val="000000"/>
        </w:rPr>
        <w:t xml:space="preserve">, die dafür verantwortlich sind, dass mit Safran gewürzte </w:t>
      </w:r>
      <w:r w:rsidRPr="00D82999">
        <w:rPr>
          <w:rFonts w:cs="Arial"/>
          <w:color w:val="000000"/>
        </w:rPr>
        <w:t>Gerichte</w:t>
      </w:r>
      <w:r>
        <w:rPr>
          <w:rFonts w:cs="Arial"/>
          <w:color w:val="000000"/>
        </w:rPr>
        <w:t xml:space="preserve"> sich intensiv goldgelb färben („Safran macht den Kuchen gel...“ (veraltet für gelb)).</w:t>
      </w:r>
    </w:p>
    <w:p w14:paraId="7A2C2FD9" w14:textId="48760525" w:rsidR="00D82999" w:rsidRDefault="00D82999" w:rsidP="00D82999">
      <w:pPr>
        <w:pStyle w:val="Bilder"/>
      </w:pPr>
      <w:r>
        <w:rPr>
          <w:lang w:eastAsia="de-DE"/>
        </w:rPr>
        <w:drawing>
          <wp:inline distT="0" distB="0" distL="0" distR="0" wp14:anchorId="67D32D94" wp14:editId="13B601F6">
            <wp:extent cx="4679155" cy="2880000"/>
            <wp:effectExtent l="0" t="0" r="762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79155" cy="2880000"/>
                    </a:xfrm>
                    <a:prstGeom prst="rect">
                      <a:avLst/>
                    </a:prstGeom>
                    <a:noFill/>
                    <a:ln>
                      <a:noFill/>
                    </a:ln>
                  </pic:spPr>
                </pic:pic>
              </a:graphicData>
            </a:graphic>
          </wp:inline>
        </w:drawing>
      </w:r>
    </w:p>
    <w:p w14:paraId="72B040EB" w14:textId="430DD50A" w:rsidR="00D82999" w:rsidRDefault="00D82999" w:rsidP="00D82999">
      <w:pPr>
        <w:pStyle w:val="Beschriftung"/>
      </w:pPr>
      <w:r>
        <w:t xml:space="preserve">Abb. </w:t>
      </w:r>
      <w:r w:rsidR="00BE3067">
        <w:fldChar w:fldCharType="begin"/>
      </w:r>
      <w:r w:rsidR="00BE3067">
        <w:instrText xml:space="preserve"> SEQ Abb. \* ARABIC </w:instrText>
      </w:r>
      <w:r w:rsidR="00BE3067">
        <w:fldChar w:fldCharType="separate"/>
      </w:r>
      <w:r w:rsidR="00BE3067">
        <w:rPr>
          <w:noProof/>
        </w:rPr>
        <w:t>12</w:t>
      </w:r>
      <w:r w:rsidR="00BE3067">
        <w:rPr>
          <w:noProof/>
        </w:rPr>
        <w:fldChar w:fldCharType="end"/>
      </w:r>
      <w:r>
        <w:t xml:space="preserve">: Struktur-Formel von </w:t>
      </w:r>
      <w:proofErr w:type="spellStart"/>
      <w:r>
        <w:t>Crocin</w:t>
      </w:r>
      <w:proofErr w:type="spellEnd"/>
    </w:p>
    <w:p w14:paraId="2EB20951" w14:textId="2FE319AD" w:rsidR="00D82999" w:rsidRDefault="00D82999" w:rsidP="00D82999">
      <w:pPr>
        <w:rPr>
          <w:rFonts w:cs="Arial"/>
          <w:color w:val="000000"/>
        </w:rPr>
      </w:pPr>
      <w:r>
        <w:rPr>
          <w:rFonts w:cs="Arial"/>
          <w:color w:val="000000"/>
        </w:rPr>
        <w:t>Weiter enthält er den Bitterstoff Safranbitter (</w:t>
      </w:r>
      <w:proofErr w:type="spellStart"/>
      <w:r>
        <w:rPr>
          <w:rFonts w:cs="Arial"/>
          <w:color w:val="000000"/>
        </w:rPr>
        <w:t>Picrocrocin</w:t>
      </w:r>
      <w:proofErr w:type="spellEnd"/>
      <w:r>
        <w:rPr>
          <w:rFonts w:cs="Arial"/>
          <w:color w:val="000000"/>
        </w:rPr>
        <w:t xml:space="preserve">), aus dem sich beim Trocknen teilweise der für das Safran-Aroma verantwortliche Aldehyd </w:t>
      </w:r>
      <w:proofErr w:type="spellStart"/>
      <w:r>
        <w:rPr>
          <w:rFonts w:cs="Arial"/>
          <w:color w:val="000000"/>
        </w:rPr>
        <w:t>Safranal</w:t>
      </w:r>
      <w:proofErr w:type="spellEnd"/>
      <w:r>
        <w:rPr>
          <w:rFonts w:cs="Arial"/>
          <w:color w:val="000000"/>
        </w:rPr>
        <w:t xml:space="preserve"> bildet.</w:t>
      </w:r>
    </w:p>
    <w:p w14:paraId="365CC7FB" w14:textId="77777777" w:rsidR="006171A2" w:rsidRPr="00D82999" w:rsidRDefault="006171A2" w:rsidP="00D82999"/>
    <w:p w14:paraId="66B8BEE2" w14:textId="77777777" w:rsidR="006171A2" w:rsidRDefault="006171A2" w:rsidP="006171A2">
      <w:pPr>
        <w:pStyle w:val="Bilder"/>
        <w:sectPr w:rsidR="006171A2" w:rsidSect="006704A1">
          <w:type w:val="continuous"/>
          <w:pgSz w:w="11906" w:h="16838"/>
          <w:pgMar w:top="851" w:right="1134" w:bottom="851" w:left="1418" w:header="0" w:footer="0" w:gutter="0"/>
          <w:cols w:space="708"/>
          <w:titlePg/>
          <w:docGrid w:linePitch="360"/>
        </w:sectPr>
      </w:pPr>
    </w:p>
    <w:p w14:paraId="42BA9844" w14:textId="7454727B" w:rsidR="00D82999" w:rsidRDefault="00D82999" w:rsidP="006171A2">
      <w:pPr>
        <w:pStyle w:val="Bilder"/>
      </w:pPr>
      <w:r>
        <w:rPr>
          <w:lang w:eastAsia="de-DE"/>
        </w:rPr>
        <w:drawing>
          <wp:inline distT="0" distB="0" distL="0" distR="0" wp14:anchorId="7B9704B4" wp14:editId="6CF81B46">
            <wp:extent cx="3799205" cy="1800225"/>
            <wp:effectExtent l="0" t="0" r="0"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99205" cy="1800225"/>
                    </a:xfrm>
                    <a:prstGeom prst="rect">
                      <a:avLst/>
                    </a:prstGeom>
                    <a:noFill/>
                    <a:ln>
                      <a:noFill/>
                    </a:ln>
                  </pic:spPr>
                </pic:pic>
              </a:graphicData>
            </a:graphic>
          </wp:inline>
        </w:drawing>
      </w:r>
    </w:p>
    <w:p w14:paraId="51827573" w14:textId="42A95492" w:rsidR="006171A2" w:rsidRDefault="006171A2" w:rsidP="006171A2">
      <w:pPr>
        <w:pStyle w:val="Beschriftung"/>
      </w:pPr>
      <w:r>
        <w:t xml:space="preserve">Abb. </w:t>
      </w:r>
      <w:r w:rsidR="00BE3067">
        <w:fldChar w:fldCharType="begin"/>
      </w:r>
      <w:r w:rsidR="00BE3067">
        <w:instrText xml:space="preserve"> SEQ Abb. \* ARABIC </w:instrText>
      </w:r>
      <w:r w:rsidR="00BE3067">
        <w:fldChar w:fldCharType="separate"/>
      </w:r>
      <w:r w:rsidR="00BE3067">
        <w:rPr>
          <w:noProof/>
        </w:rPr>
        <w:t>13</w:t>
      </w:r>
      <w:r w:rsidR="00BE3067">
        <w:rPr>
          <w:noProof/>
        </w:rPr>
        <w:fldChar w:fldCharType="end"/>
      </w:r>
      <w:r>
        <w:t>: Safranbitter</w:t>
      </w:r>
    </w:p>
    <w:p w14:paraId="06B10D29" w14:textId="30176288" w:rsidR="006171A2" w:rsidRDefault="006171A2" w:rsidP="006171A2">
      <w:pPr>
        <w:pStyle w:val="Bilder"/>
        <w:spacing w:before="1200"/>
      </w:pPr>
      <w:r>
        <w:rPr>
          <w:lang w:eastAsia="de-DE"/>
        </w:rPr>
        <w:drawing>
          <wp:inline distT="0" distB="0" distL="0" distR="0" wp14:anchorId="11427FF4" wp14:editId="7B90050B">
            <wp:extent cx="1414145" cy="1122045"/>
            <wp:effectExtent l="0" t="0" r="0" b="19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4145" cy="1122045"/>
                    </a:xfrm>
                    <a:prstGeom prst="rect">
                      <a:avLst/>
                    </a:prstGeom>
                    <a:noFill/>
                    <a:ln>
                      <a:noFill/>
                    </a:ln>
                  </pic:spPr>
                </pic:pic>
              </a:graphicData>
            </a:graphic>
          </wp:inline>
        </w:drawing>
      </w:r>
    </w:p>
    <w:p w14:paraId="0C2BD254" w14:textId="03232B29" w:rsidR="006171A2" w:rsidRDefault="006171A2" w:rsidP="006171A2">
      <w:pPr>
        <w:pStyle w:val="Beschriftung"/>
      </w:pPr>
      <w:r>
        <w:t xml:space="preserve">Abb. </w:t>
      </w:r>
      <w:r w:rsidR="00BE3067">
        <w:fldChar w:fldCharType="begin"/>
      </w:r>
      <w:r w:rsidR="00BE3067">
        <w:instrText xml:space="preserve"> SEQ Abb. \* ARABIC </w:instrText>
      </w:r>
      <w:r w:rsidR="00BE3067">
        <w:fldChar w:fldCharType="separate"/>
      </w:r>
      <w:r w:rsidR="00BE3067">
        <w:rPr>
          <w:noProof/>
        </w:rPr>
        <w:t>14</w:t>
      </w:r>
      <w:r w:rsidR="00BE3067">
        <w:rPr>
          <w:noProof/>
        </w:rPr>
        <w:fldChar w:fldCharType="end"/>
      </w:r>
      <w:r>
        <w:t xml:space="preserve">: </w:t>
      </w:r>
      <w:proofErr w:type="spellStart"/>
      <w:r>
        <w:t>Safranal</w:t>
      </w:r>
      <w:proofErr w:type="spellEnd"/>
    </w:p>
    <w:p w14:paraId="3C01E60B" w14:textId="77777777" w:rsidR="006171A2" w:rsidRDefault="006171A2" w:rsidP="006171A2">
      <w:pPr>
        <w:sectPr w:rsidR="006171A2" w:rsidSect="006171A2">
          <w:type w:val="continuous"/>
          <w:pgSz w:w="11906" w:h="16838"/>
          <w:pgMar w:top="851" w:right="1134" w:bottom="851" w:left="1418" w:header="0" w:footer="0" w:gutter="0"/>
          <w:cols w:num="2" w:space="710" w:equalWidth="0">
            <w:col w:w="6350" w:space="710"/>
            <w:col w:w="2294"/>
          </w:cols>
          <w:titlePg/>
          <w:docGrid w:linePitch="360"/>
        </w:sectPr>
      </w:pPr>
    </w:p>
    <w:p w14:paraId="485C599A" w14:textId="7A028CED" w:rsidR="006171A2" w:rsidRPr="006171A2" w:rsidRDefault="006171A2" w:rsidP="006171A2">
      <w:r>
        <w:rPr>
          <w:rFonts w:cs="Arial"/>
          <w:color w:val="000000"/>
        </w:rPr>
        <w:t xml:space="preserve">Safran muss vor Licht und Feuchtigkeit geschützt in fest schließenden Metall- oder Glas-Gefäßen aufbewahrt werden, da das Gewürz am Licht schnell ausbleicht und sich das ätherische Öl relativ leicht verflüchtigt. Trotz des hohen Preises wurde Safran auch in der Textil-Färberei als Farbmittel eingesetzt. Auf molekularer Ebene ist die gelbe Farbe auf das </w:t>
      </w:r>
      <w:proofErr w:type="spellStart"/>
      <w:r>
        <w:rPr>
          <w:rFonts w:cs="Arial"/>
          <w:color w:val="000000"/>
        </w:rPr>
        <w:t>Polyen</w:t>
      </w:r>
      <w:proofErr w:type="spellEnd"/>
      <w:r>
        <w:rPr>
          <w:rFonts w:cs="Arial"/>
          <w:color w:val="000000"/>
        </w:rPr>
        <w:t xml:space="preserve">-Gerüst des </w:t>
      </w:r>
      <w:proofErr w:type="spellStart"/>
      <w:r>
        <w:rPr>
          <w:rFonts w:cs="Arial"/>
          <w:color w:val="000000"/>
        </w:rPr>
        <w:t>Crocin</w:t>
      </w:r>
      <w:proofErr w:type="spellEnd"/>
      <w:r>
        <w:rPr>
          <w:rFonts w:cs="Arial"/>
          <w:color w:val="000000"/>
        </w:rPr>
        <w:t xml:space="preserve"> zurückzuführen. Früher wurde es auch eingesetzt, um Gold-Schriften zu imitieren oder um Zinn oder Silber wie Gold erscheinen lassen. Aufgrund mangelnder Licht-Echtheit, dem raschen Auswaschen und dem hohen Preis wird Safran heute nicht mehr als Faser-Farbstoff verwendet. Bei Dosierungen ab etwa 5 Gramm wirkt Safran toxisch, noch höhere Mengen können zum Tod führen. Die letale Dosis liegt bei ca. 20 Gramm.</w:t>
      </w:r>
    </w:p>
    <w:p w14:paraId="2A173CC7" w14:textId="55D6A552" w:rsidR="00D82999" w:rsidRDefault="006171A2" w:rsidP="006171A2">
      <w:pPr>
        <w:pStyle w:val="berschrift1"/>
      </w:pPr>
      <w:bookmarkStart w:id="10" w:name="_Toc57879802"/>
      <w:r>
        <w:t>Bereich „Riechen“ – Stoffe von Wein</w:t>
      </w:r>
      <w:bookmarkEnd w:id="10"/>
    </w:p>
    <w:p w14:paraId="26911754" w14:textId="625BC653" w:rsidR="006171A2" w:rsidRDefault="006171A2" w:rsidP="006171A2">
      <w:pPr>
        <w:rPr>
          <w:rFonts w:cs="Arial"/>
        </w:rPr>
      </w:pPr>
      <w:r>
        <w:rPr>
          <w:rFonts w:cs="Arial"/>
        </w:rPr>
        <w:t>Viele Menschen sind Wein-Liebhaber und -Kenner... Nicht ohne Grund, denn einige der selbst in niedrigsten Konzentrationen noch wahrnehmbaren Verbindungen kann man im Wein finden.</w:t>
      </w:r>
      <w:r>
        <w:rPr>
          <w:rFonts w:cs="Arial"/>
          <w:b/>
          <w:bCs/>
        </w:rPr>
        <w:t xml:space="preserve"> </w:t>
      </w:r>
      <w:r>
        <w:rPr>
          <w:rFonts w:cs="Arial"/>
        </w:rPr>
        <w:t xml:space="preserve">Die Verbindung </w:t>
      </w:r>
      <w:r w:rsidRPr="006171A2">
        <w:rPr>
          <w:rStyle w:val="Fett"/>
        </w:rPr>
        <w:t>2,4,6-Trichloraniso</w:t>
      </w:r>
      <w:r>
        <w:rPr>
          <w:rFonts w:cs="Arial"/>
          <w:b/>
          <w:bCs/>
        </w:rPr>
        <w:t>l</w:t>
      </w:r>
      <w:r>
        <w:rPr>
          <w:rFonts w:cs="Arial"/>
        </w:rPr>
        <w:t xml:space="preserve"> sollte jedoch nicht vorkommen.</w:t>
      </w:r>
    </w:p>
    <w:p w14:paraId="75D4457A" w14:textId="7E8869A3" w:rsidR="006171A2" w:rsidRDefault="006171A2" w:rsidP="006171A2">
      <w:pPr>
        <w:pStyle w:val="Bilder"/>
      </w:pPr>
      <w:r>
        <w:rPr>
          <w:lang w:eastAsia="de-DE"/>
        </w:rPr>
        <w:drawing>
          <wp:inline distT="0" distB="0" distL="0" distR="0" wp14:anchorId="09845924" wp14:editId="30EFA1FE">
            <wp:extent cx="1696720" cy="1253490"/>
            <wp:effectExtent l="0" t="0" r="0" b="381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96720" cy="1253490"/>
                    </a:xfrm>
                    <a:prstGeom prst="rect">
                      <a:avLst/>
                    </a:prstGeom>
                    <a:noFill/>
                    <a:ln>
                      <a:noFill/>
                    </a:ln>
                  </pic:spPr>
                </pic:pic>
              </a:graphicData>
            </a:graphic>
          </wp:inline>
        </w:drawing>
      </w:r>
    </w:p>
    <w:p w14:paraId="524990EB" w14:textId="0CE49207" w:rsidR="006171A2" w:rsidRDefault="006171A2" w:rsidP="006171A2">
      <w:pPr>
        <w:pStyle w:val="Beschriftung"/>
      </w:pPr>
      <w:r>
        <w:t xml:space="preserve">Abb. </w:t>
      </w:r>
      <w:r w:rsidR="00BE3067">
        <w:fldChar w:fldCharType="begin"/>
      </w:r>
      <w:r w:rsidR="00BE3067">
        <w:instrText xml:space="preserve"> SEQ Abb. \* ARABIC </w:instrText>
      </w:r>
      <w:r w:rsidR="00BE3067">
        <w:fldChar w:fldCharType="separate"/>
      </w:r>
      <w:r w:rsidR="00BE3067">
        <w:rPr>
          <w:noProof/>
        </w:rPr>
        <w:t>15</w:t>
      </w:r>
      <w:r w:rsidR="00BE3067">
        <w:rPr>
          <w:noProof/>
        </w:rPr>
        <w:fldChar w:fldCharType="end"/>
      </w:r>
      <w:r>
        <w:t>: Struktur-Formel von 2,4,6-Trichloranisol</w:t>
      </w:r>
    </w:p>
    <w:p w14:paraId="7D4EC477" w14:textId="3312F591" w:rsidR="006171A2" w:rsidRDefault="006171A2" w:rsidP="006171A2">
      <w:pPr>
        <w:rPr>
          <w:rFonts w:cs="Arial"/>
        </w:rPr>
      </w:pPr>
      <w:r>
        <w:rPr>
          <w:rFonts w:cs="Arial"/>
        </w:rPr>
        <w:t>2,4,6-Trichloranisol ist die Substanz, die schlechten Weinen den typischen Kork-Geruch verleiht. Sie bildet farblose Kristall-Nadeln und ist in Wasser sehr schwer löslich. Außerdem ist es geschmacklich selbst in geringsten Konzentrationen feststellbar, die Wahrnehmbarkeit (sensorische Grenze) liegt individuell verschieden zwischen etwa 5 und 15 </w:t>
      </w:r>
      <w:proofErr w:type="spellStart"/>
      <w:r>
        <w:rPr>
          <w:rFonts w:cs="Arial"/>
        </w:rPr>
        <w:t>ng</w:t>
      </w:r>
      <w:proofErr w:type="spellEnd"/>
      <w:r>
        <w:rPr>
          <w:rFonts w:cs="Arial"/>
        </w:rPr>
        <w:t>/l. Die Geruchsschwelle in der Raum-Luft wird mit 2 </w:t>
      </w:r>
      <w:proofErr w:type="spellStart"/>
      <w:r>
        <w:rPr>
          <w:rFonts w:cs="Arial"/>
        </w:rPr>
        <w:t>ng</w:t>
      </w:r>
      <w:proofErr w:type="spellEnd"/>
      <w:r>
        <w:rPr>
          <w:rFonts w:cs="Arial"/>
        </w:rPr>
        <w:t> m</w:t>
      </w:r>
      <w:r>
        <w:rPr>
          <w:rFonts w:cs="Arial"/>
          <w:vertAlign w:val="superscript"/>
        </w:rPr>
        <w:t>-3</w:t>
      </w:r>
      <w:r>
        <w:rPr>
          <w:rFonts w:cs="Arial"/>
        </w:rPr>
        <w:t xml:space="preserve"> angegeben. Man vermutet, dass Verbindungen wie </w:t>
      </w:r>
      <w:proofErr w:type="spellStart"/>
      <w:r>
        <w:rPr>
          <w:rFonts w:cs="Arial"/>
        </w:rPr>
        <w:t>Trichloranisol</w:t>
      </w:r>
      <w:proofErr w:type="spellEnd"/>
      <w:r>
        <w:rPr>
          <w:rFonts w:cs="Arial"/>
        </w:rPr>
        <w:t xml:space="preserve"> mikrobiell durch den biologischen Abbau von chlorphenol-haltigen Fungiziden direkt im Korken erzeugt werden oder dass chlorhaltige Insektizide, die bei der Behandlung des Holzes in Wein-Kellern verwendet werden, durch den Korken den Wein kontaminieren können. Chlorphenol-Derivate wurden oft als Holz-Schutzmittel und Herbizide/Insektizide angewandt, so auch in Korkeichen-Wäldern. Die Chlorphenole werden von einigen Pilzen auf Korken oder in Wein-Fässern in 2,4,6-Trichloranisol umgewandelt. </w:t>
      </w:r>
      <w:proofErr w:type="spellStart"/>
      <w:r>
        <w:rPr>
          <w:rFonts w:cs="Arial"/>
        </w:rPr>
        <w:t>Trichloranisol</w:t>
      </w:r>
      <w:proofErr w:type="spellEnd"/>
      <w:r>
        <w:rPr>
          <w:rFonts w:cs="Arial"/>
        </w:rPr>
        <w:t xml:space="preserve"> findet man auch in Rosinen, essentiellen Ölen, Trinkwasser, Mineralwasser in Flaschen und Bier vorkommen.</w:t>
      </w:r>
    </w:p>
    <w:p w14:paraId="79638BC5" w14:textId="7B75B593" w:rsidR="006171A2" w:rsidRPr="006171A2" w:rsidRDefault="006171A2" w:rsidP="006171A2">
      <w:r>
        <w:rPr>
          <w:rFonts w:cs="Arial"/>
        </w:rPr>
        <w:t xml:space="preserve">Ein anderer Inhaltsstoff des Weins dagegen ist ein gern gerochener Gast in Weiß- und Rotweinen – das sogenannte </w:t>
      </w:r>
      <w:proofErr w:type="spellStart"/>
      <w:r w:rsidRPr="006171A2">
        <w:rPr>
          <w:rStyle w:val="Fett"/>
        </w:rPr>
        <w:t>Weinlacton</w:t>
      </w:r>
      <w:proofErr w:type="spellEnd"/>
      <w:r>
        <w:rPr>
          <w:rFonts w:cs="Arial"/>
          <w:b/>
          <w:bCs/>
        </w:rPr>
        <w:t xml:space="preserve">. </w:t>
      </w:r>
      <w:proofErr w:type="spellStart"/>
      <w:r>
        <w:rPr>
          <w:rFonts w:cs="Arial"/>
        </w:rPr>
        <w:t>Lactone</w:t>
      </w:r>
      <w:proofErr w:type="spellEnd"/>
      <w:r>
        <w:rPr>
          <w:rFonts w:cs="Arial"/>
        </w:rPr>
        <w:t xml:space="preserve"> sind ringförmige Ester. Sie entstehen, wenn eine Hydroxy- und Carboxy-Gruppe desselben Moleküls miteinander reagieren.</w:t>
      </w:r>
    </w:p>
    <w:p w14:paraId="518099A3" w14:textId="7086DA6C" w:rsidR="00261CE0" w:rsidRDefault="006171A2" w:rsidP="006171A2">
      <w:pPr>
        <w:pStyle w:val="Bilder"/>
      </w:pPr>
      <w:r>
        <w:rPr>
          <w:lang w:eastAsia="de-DE"/>
        </w:rPr>
        <w:drawing>
          <wp:inline distT="0" distB="0" distL="0" distR="0" wp14:anchorId="7C446804" wp14:editId="5C4EE47B">
            <wp:extent cx="3846195" cy="2083435"/>
            <wp:effectExtent l="0" t="0" r="190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46195" cy="2083435"/>
                    </a:xfrm>
                    <a:prstGeom prst="rect">
                      <a:avLst/>
                    </a:prstGeom>
                    <a:noFill/>
                    <a:ln>
                      <a:noFill/>
                    </a:ln>
                  </pic:spPr>
                </pic:pic>
              </a:graphicData>
            </a:graphic>
          </wp:inline>
        </w:drawing>
      </w:r>
    </w:p>
    <w:p w14:paraId="007665DD" w14:textId="60C725EB" w:rsidR="006171A2" w:rsidRDefault="006171A2" w:rsidP="006171A2">
      <w:pPr>
        <w:pStyle w:val="Beschriftung"/>
      </w:pPr>
      <w:r>
        <w:t xml:space="preserve">Abb. </w:t>
      </w:r>
      <w:r w:rsidR="00BE3067">
        <w:fldChar w:fldCharType="begin"/>
      </w:r>
      <w:r w:rsidR="00BE3067">
        <w:instrText xml:space="preserve"> SEQ Abb. \* ARABIC </w:instrText>
      </w:r>
      <w:r w:rsidR="00BE3067">
        <w:fldChar w:fldCharType="separate"/>
      </w:r>
      <w:r w:rsidR="00BE3067">
        <w:rPr>
          <w:noProof/>
        </w:rPr>
        <w:t>16</w:t>
      </w:r>
      <w:r w:rsidR="00BE3067">
        <w:rPr>
          <w:noProof/>
        </w:rPr>
        <w:fldChar w:fldCharType="end"/>
      </w:r>
      <w:r>
        <w:t xml:space="preserve">: Die Entstehung von </w:t>
      </w:r>
      <w:proofErr w:type="spellStart"/>
      <w:r>
        <w:t>Weinlacton</w:t>
      </w:r>
      <w:proofErr w:type="spellEnd"/>
    </w:p>
    <w:p w14:paraId="75BBE54E" w14:textId="0676962C" w:rsidR="006171A2" w:rsidRDefault="006171A2" w:rsidP="006171A2">
      <w:pPr>
        <w:rPr>
          <w:rFonts w:cs="Arial"/>
          <w:color w:val="000000"/>
        </w:rPr>
      </w:pPr>
      <w:r>
        <w:rPr>
          <w:rFonts w:cs="Arial"/>
        </w:rPr>
        <w:t>Es verleiht den Weinen ein kokosnuss-artiges, süßes und leicht holziges Bukett und ist durch seinen niedrigen Geruchsschwellenwert Weltrekordhalter.</w:t>
      </w:r>
      <w:r>
        <w:rPr>
          <w:rFonts w:cs="Arial"/>
          <w:color w:val="000000"/>
        </w:rPr>
        <w:t xml:space="preserve"> Es kann bei einer Konzentration von lediglich 10</w:t>
      </w:r>
      <w:r>
        <w:rPr>
          <w:rFonts w:cs="Arial"/>
          <w:color w:val="000000"/>
          <w:sz w:val="20"/>
          <w:szCs w:val="20"/>
          <w:vertAlign w:val="superscript"/>
        </w:rPr>
        <w:t>-14</w:t>
      </w:r>
      <w:r>
        <w:rPr>
          <w:rFonts w:cs="Arial"/>
          <w:color w:val="000000"/>
        </w:rPr>
        <w:t> g/l Luft gerochen werden.</w:t>
      </w:r>
    </w:p>
    <w:p w14:paraId="0E6BD826" w14:textId="562F50BC" w:rsidR="00BE3067" w:rsidRPr="006171A2" w:rsidRDefault="00BE3067" w:rsidP="00BE3067">
      <w:pPr>
        <w:pStyle w:val="EinstiegAbschluss"/>
      </w:pPr>
      <w:r w:rsidRPr="00BE3067">
        <w:rPr>
          <w:b/>
        </w:rPr>
        <w:t>Abschluss</w:t>
      </w:r>
      <w:r>
        <w:t>: fehlt.</w:t>
      </w:r>
    </w:p>
    <w:p w14:paraId="704686CD" w14:textId="77777777" w:rsidR="00BE3067" w:rsidRDefault="00BE3067">
      <w:pPr>
        <w:spacing w:before="0"/>
        <w:jc w:val="left"/>
        <w:rPr>
          <w:b/>
          <w:bCs/>
        </w:rPr>
      </w:pPr>
      <w:r>
        <w:rPr>
          <w:b/>
          <w:bCs/>
        </w:rPr>
        <w:br w:type="page"/>
      </w:r>
    </w:p>
    <w:p w14:paraId="2A8C06EE" w14:textId="540F769F" w:rsidR="00931B30" w:rsidRDefault="00931B30" w:rsidP="00931B30">
      <w:pPr>
        <w:rPr>
          <w:b/>
          <w:bCs/>
        </w:rPr>
      </w:pPr>
      <w:r w:rsidRPr="000E61E0">
        <w:rPr>
          <w:b/>
          <w:bCs/>
        </w:rPr>
        <w:t>Quellen:</w:t>
      </w:r>
    </w:p>
    <w:p w14:paraId="774D8B5F" w14:textId="02051BDA" w:rsidR="00EC1A7E" w:rsidRPr="00EC1A7E" w:rsidRDefault="00EC1A7E" w:rsidP="00EC1A7E">
      <w:pPr>
        <w:pStyle w:val="AufzhlungStandard"/>
      </w:pPr>
      <w:r w:rsidRPr="00EC1A7E">
        <w:t xml:space="preserve">H.-J. </w:t>
      </w:r>
      <w:proofErr w:type="spellStart"/>
      <w:r w:rsidRPr="00EC1A7E">
        <w:t>Quadbeck</w:t>
      </w:r>
      <w:proofErr w:type="spellEnd"/>
      <w:r w:rsidRPr="00EC1A7E">
        <w:t xml:space="preserve">-Seeger, R. Faust, G. Knaus, A. </w:t>
      </w:r>
      <w:proofErr w:type="spellStart"/>
      <w:r w:rsidRPr="00EC1A7E">
        <w:t>Maelicke</w:t>
      </w:r>
      <w:proofErr w:type="spellEnd"/>
      <w:r w:rsidRPr="00EC1A7E">
        <w:t xml:space="preserve">, U. </w:t>
      </w:r>
      <w:proofErr w:type="spellStart"/>
      <w:r w:rsidRPr="00EC1A7E">
        <w:t>Siemeling</w:t>
      </w:r>
      <w:proofErr w:type="spellEnd"/>
      <w:r w:rsidRPr="00EC1A7E">
        <w:t>, Chemie Rekorde, 2.   Auflage, Wiley-VCH, Weinheim 1999</w:t>
      </w:r>
    </w:p>
    <w:p w14:paraId="74E8BC3C" w14:textId="190A3790" w:rsidR="00EC1A7E" w:rsidRPr="00EC1A7E" w:rsidRDefault="00EC1A7E" w:rsidP="00EC1A7E">
      <w:pPr>
        <w:pStyle w:val="AufzhlungStandard"/>
      </w:pPr>
      <w:r w:rsidRPr="00EC1A7E">
        <w:t>Holleman/Wiberg, Lehrbuch der Anorganischen Chemie, Walter de Gruyter, 101. Auflage, 1995</w:t>
      </w:r>
    </w:p>
    <w:p w14:paraId="1F8A4C66" w14:textId="38026017" w:rsidR="00EC1A7E" w:rsidRPr="00EC1A7E" w:rsidRDefault="00EC1A7E" w:rsidP="00EC1A7E">
      <w:pPr>
        <w:pStyle w:val="AufzhlungStandard"/>
      </w:pPr>
      <w:r w:rsidRPr="00EC1A7E">
        <w:t>C.E. Mortimer, Chemie, Georg Thieme Verlag, 6. Auflage, 1996</w:t>
      </w:r>
    </w:p>
    <w:p w14:paraId="17A1AF9C" w14:textId="4E2D157E" w:rsidR="00EC1A7E" w:rsidRPr="00EC1A7E" w:rsidRDefault="00EC1A7E" w:rsidP="00EC1A7E">
      <w:pPr>
        <w:pStyle w:val="AufzhlungStandard"/>
      </w:pPr>
      <w:r w:rsidRPr="00EC1A7E">
        <w:t>CD-Römpp Chemie Lexikon, Version 1.0, Stuttgart 1995</w:t>
      </w:r>
    </w:p>
    <w:p w14:paraId="30DAC33F" w14:textId="329E5306" w:rsidR="00EC1A7E" w:rsidRPr="00EC1A7E" w:rsidRDefault="00EC1A7E" w:rsidP="00EC1A7E">
      <w:pPr>
        <w:pStyle w:val="AufzhlungStandard"/>
      </w:pPr>
      <w:r w:rsidRPr="00EC1A7E">
        <w:t xml:space="preserve">F.A. Carey, R.J. </w:t>
      </w:r>
      <w:proofErr w:type="spellStart"/>
      <w:r w:rsidRPr="00EC1A7E">
        <w:t>Sundberg</w:t>
      </w:r>
      <w:proofErr w:type="spellEnd"/>
      <w:r w:rsidRPr="00EC1A7E">
        <w:t xml:space="preserve">, Organische Chemie, </w:t>
      </w:r>
      <w:proofErr w:type="spellStart"/>
      <w:r w:rsidRPr="00EC1A7E">
        <w:t>Wiley</w:t>
      </w:r>
      <w:proofErr w:type="spellEnd"/>
      <w:r w:rsidRPr="00EC1A7E">
        <w:t>-VCH, Weinheim, 1995</w:t>
      </w:r>
    </w:p>
    <w:p w14:paraId="53811DFA" w14:textId="7EE3D542" w:rsidR="00EC1A7E" w:rsidRPr="00EC1A7E" w:rsidRDefault="00EC1A7E" w:rsidP="00EC1A7E">
      <w:pPr>
        <w:pStyle w:val="AufzhlungStandard"/>
      </w:pPr>
      <w:r w:rsidRPr="00EC1A7E">
        <w:t xml:space="preserve">B. Frank, </w:t>
      </w:r>
      <w:proofErr w:type="spellStart"/>
      <w:r w:rsidRPr="00EC1A7E">
        <w:t>Angew</w:t>
      </w:r>
      <w:proofErr w:type="spellEnd"/>
      <w:r w:rsidRPr="00EC1A7E">
        <w:t>. Chem.,1984, 96, 462-474</w:t>
      </w:r>
    </w:p>
    <w:p w14:paraId="1B67F4B6" w14:textId="05793B24" w:rsidR="00EC1A7E" w:rsidRPr="00EC1A7E" w:rsidRDefault="00EC1A7E" w:rsidP="00EC1A7E">
      <w:pPr>
        <w:pStyle w:val="AufzhlungStandard"/>
      </w:pPr>
      <w:r w:rsidRPr="00EC1A7E">
        <w:t>D. Lenoir, S. Leichsenring, Chem. unserer Zeit, 1996, 30, 182-191</w:t>
      </w:r>
    </w:p>
    <w:p w14:paraId="7E23AB60" w14:textId="16DE98CA" w:rsidR="00EC1A7E" w:rsidRPr="00EC1A7E" w:rsidRDefault="00EC1A7E" w:rsidP="00EC1A7E">
      <w:pPr>
        <w:pStyle w:val="AufzhlungStandard"/>
      </w:pPr>
      <w:r w:rsidRPr="00EC1A7E">
        <w:t xml:space="preserve">G. </w:t>
      </w:r>
      <w:proofErr w:type="spellStart"/>
      <w:r w:rsidRPr="00EC1A7E">
        <w:t>Büchi</w:t>
      </w:r>
      <w:proofErr w:type="spellEnd"/>
      <w:r w:rsidRPr="00EC1A7E">
        <w:t xml:space="preserve">, S.M. </w:t>
      </w:r>
      <w:proofErr w:type="spellStart"/>
      <w:r w:rsidRPr="00EC1A7E">
        <w:t>Weinreb</w:t>
      </w:r>
      <w:proofErr w:type="spellEnd"/>
      <w:r w:rsidRPr="00EC1A7E">
        <w:t xml:space="preserve">, J. Am. Chem. </w:t>
      </w:r>
      <w:proofErr w:type="spellStart"/>
      <w:r w:rsidRPr="00EC1A7E">
        <w:t>Soc</w:t>
      </w:r>
      <w:proofErr w:type="spellEnd"/>
      <w:r w:rsidRPr="00EC1A7E">
        <w:t>., 1971, 93, 746-749</w:t>
      </w:r>
    </w:p>
    <w:p w14:paraId="39728A18" w14:textId="74984683" w:rsidR="00EC1A7E" w:rsidRPr="00EC1A7E" w:rsidRDefault="00EC1A7E" w:rsidP="00EC1A7E">
      <w:pPr>
        <w:pStyle w:val="AufzhlungStandard"/>
      </w:pPr>
      <w:r w:rsidRPr="00BE3067">
        <w:rPr>
          <w:lang w:val="en-US"/>
        </w:rPr>
        <w:t xml:space="preserve">S.W. Baertschi, K.D. Raney, M.P. Stone, T.M. Harris, J. Am. </w:t>
      </w:r>
      <w:r w:rsidRPr="00EC1A7E">
        <w:t xml:space="preserve">Chem. </w:t>
      </w:r>
      <w:proofErr w:type="spellStart"/>
      <w:r w:rsidRPr="00EC1A7E">
        <w:t>Soc</w:t>
      </w:r>
      <w:proofErr w:type="spellEnd"/>
      <w:r w:rsidRPr="00EC1A7E">
        <w:t>., 1988, 110, 7929-7931</w:t>
      </w:r>
    </w:p>
    <w:p w14:paraId="7A289D3F" w14:textId="10D5F439" w:rsidR="00EC1A7E" w:rsidRPr="00EC1A7E" w:rsidRDefault="00EC1A7E" w:rsidP="00EC1A7E">
      <w:pPr>
        <w:pStyle w:val="AufzhlungStandard"/>
      </w:pPr>
      <w:r w:rsidRPr="00EC1A7E">
        <w:t xml:space="preserve">H.-D. Scharf, H. </w:t>
      </w:r>
      <w:proofErr w:type="spellStart"/>
      <w:r w:rsidRPr="00EC1A7E">
        <w:t>Frauenrath</w:t>
      </w:r>
      <w:proofErr w:type="spellEnd"/>
      <w:r w:rsidRPr="00EC1A7E">
        <w:t xml:space="preserve">, W. </w:t>
      </w:r>
      <w:proofErr w:type="spellStart"/>
      <w:r w:rsidRPr="00EC1A7E">
        <w:t>Pinske</w:t>
      </w:r>
      <w:proofErr w:type="spellEnd"/>
      <w:r w:rsidRPr="00EC1A7E">
        <w:t xml:space="preserve">, Chem. </w:t>
      </w:r>
      <w:proofErr w:type="spellStart"/>
      <w:r w:rsidRPr="00EC1A7E">
        <w:t>Ber</w:t>
      </w:r>
      <w:proofErr w:type="spellEnd"/>
      <w:r w:rsidRPr="00EC1A7E">
        <w:t>., 1978, 111, 168-182</w:t>
      </w:r>
    </w:p>
    <w:p w14:paraId="032574A0" w14:textId="7CC2D617" w:rsidR="00EC1A7E" w:rsidRDefault="00BE3067" w:rsidP="00EC1A7E">
      <w:pPr>
        <w:pStyle w:val="AufzhlungStandard"/>
      </w:pPr>
      <w:hyperlink r:id="rId26" w:tgtFrame="_blank" w:history="1">
        <w:r w:rsidR="00EC1A7E">
          <w:rPr>
            <w:rStyle w:val="Hyperlink"/>
            <w:rFonts w:cs="Arial"/>
          </w:rPr>
          <w:t>http://www.safran.de/</w:t>
        </w:r>
      </w:hyperlink>
      <w:r w:rsidR="00EC1A7E">
        <w:t>, 30.05.07 (</w:t>
      </w:r>
      <w:r w:rsidR="00EC1A7E" w:rsidRPr="00BE3067">
        <w:t>Quelle verschollen, 03.12.2020</w:t>
      </w:r>
      <w:r w:rsidR="00EC1A7E">
        <w:t>)</w:t>
      </w:r>
    </w:p>
    <w:bookmarkStart w:id="11" w:name="_Ref57877070"/>
    <w:p w14:paraId="4EF7BF9E" w14:textId="3CDAFCE5" w:rsidR="00EC1A7E" w:rsidRDefault="00EC1A7E" w:rsidP="00EC1A7E">
      <w:pPr>
        <w:pStyle w:val="AufzhlungStandard"/>
      </w:pPr>
      <w:r>
        <w:fldChar w:fldCharType="begin"/>
      </w:r>
      <w:r>
        <w:instrText xml:space="preserve"> HYPERLINK "https://repository.up.ac.za/handle/2263/8460" </w:instrText>
      </w:r>
      <w:r>
        <w:fldChar w:fldCharType="separate"/>
      </w:r>
      <w:r>
        <w:rPr>
          <w:rStyle w:val="Hyperlink"/>
          <w:rFonts w:cs="Arial"/>
        </w:rPr>
        <w:t>https://repository.up.ac.za/handle/2263/8460</w:t>
      </w:r>
      <w:r>
        <w:fldChar w:fldCharType="end"/>
      </w:r>
      <w:r>
        <w:t>;</w:t>
      </w:r>
      <w:r>
        <w:rPr>
          <w:color w:val="660066"/>
        </w:rPr>
        <w:t xml:space="preserve"> </w:t>
      </w:r>
      <w:r>
        <w:t>26.01.2018</w:t>
      </w:r>
      <w:bookmarkEnd w:id="11"/>
    </w:p>
    <w:bookmarkStart w:id="12" w:name="_Ref57878811"/>
    <w:p w14:paraId="117EF1A9" w14:textId="5AA3DDBB" w:rsidR="00EC1A7E" w:rsidRDefault="005E4AC7" w:rsidP="00EC1A7E">
      <w:pPr>
        <w:pStyle w:val="AufzhlungStandard"/>
      </w:pPr>
      <w:r>
        <w:fldChar w:fldCharType="begin"/>
      </w:r>
      <w:r>
        <w:instrText xml:space="preserve"> HYPERLINK "http://de.wikipedia.org/wiki/Safran" \t "_blank" </w:instrText>
      </w:r>
      <w:r>
        <w:fldChar w:fldCharType="separate"/>
      </w:r>
      <w:r w:rsidR="00EC1A7E">
        <w:rPr>
          <w:rStyle w:val="Hyperlink"/>
          <w:rFonts w:cs="Arial"/>
        </w:rPr>
        <w:t>http://de.wikipedia.org/wiki/Safran</w:t>
      </w:r>
      <w:r>
        <w:rPr>
          <w:rStyle w:val="Hyperlink"/>
          <w:rFonts w:cs="Arial"/>
        </w:rPr>
        <w:fldChar w:fldCharType="end"/>
      </w:r>
      <w:r w:rsidR="00EC1A7E" w:rsidRPr="00EC1A7E">
        <w:rPr>
          <w:rFonts w:cs="Arial"/>
        </w:rPr>
        <w:t>, 30.05.07</w:t>
      </w:r>
      <w:bookmarkEnd w:id="12"/>
    </w:p>
    <w:p w14:paraId="4E09A208" w14:textId="599C3A4C" w:rsidR="00EC1A7E" w:rsidRDefault="00BE3067" w:rsidP="00EC1A7E">
      <w:pPr>
        <w:pStyle w:val="AufzhlungStandard"/>
      </w:pPr>
      <w:hyperlink r:id="rId27" w:tgtFrame="_blank" w:history="1">
        <w:r w:rsidR="00EC1A7E">
          <w:rPr>
            <w:rStyle w:val="Hyperlink"/>
            <w:rFonts w:cs="Arial"/>
          </w:rPr>
          <w:t>http://life.hevs.ch/upload/Publications/PublicationChiuz.pdf</w:t>
        </w:r>
      </w:hyperlink>
      <w:r w:rsidR="00EC1A7E" w:rsidRPr="00BE3067">
        <w:t>,</w:t>
      </w:r>
      <w:r w:rsidR="00EC1A7E" w:rsidRPr="00BE3067">
        <w:rPr>
          <w:color w:val="000000"/>
        </w:rPr>
        <w:t xml:space="preserve"> 30.05.07 </w:t>
      </w:r>
      <w:r w:rsidR="00EC1A7E">
        <w:t>(</w:t>
      </w:r>
      <w:r w:rsidR="00EC1A7E" w:rsidRPr="00BE3067">
        <w:t>Quelle verschollen, 03.12.2020</w:t>
      </w:r>
      <w:r w:rsidR="00EC1A7E">
        <w:t>)</w:t>
      </w:r>
    </w:p>
    <w:bookmarkStart w:id="13" w:name="_Ref57878682"/>
    <w:p w14:paraId="6299EB3D" w14:textId="261C0EDE" w:rsidR="00EC1A7E" w:rsidRDefault="005E4AC7" w:rsidP="00EC1A7E">
      <w:pPr>
        <w:pStyle w:val="AufzhlungStandard"/>
      </w:pPr>
      <w:r>
        <w:fldChar w:fldCharType="begin"/>
      </w:r>
      <w:r>
        <w:instrText xml:space="preserve"> HYPERLINK "http://www.seilnacht.com/Lexikon/safran.html" \t "_blank" </w:instrText>
      </w:r>
      <w:r>
        <w:fldChar w:fldCharType="separate"/>
      </w:r>
      <w:r w:rsidR="00EC1A7E">
        <w:rPr>
          <w:rStyle w:val="Hyperlink"/>
          <w:rFonts w:cs="Arial"/>
        </w:rPr>
        <w:t>http://www.seilnacht.com/</w:t>
      </w:r>
      <w:bookmarkStart w:id="14" w:name="_GoBack"/>
      <w:bookmarkEnd w:id="14"/>
      <w:r w:rsidR="00EC1A7E">
        <w:rPr>
          <w:rStyle w:val="Hyperlink"/>
          <w:rFonts w:cs="Arial"/>
        </w:rPr>
        <w:t>Lexikon/safran.html</w:t>
      </w:r>
      <w:r>
        <w:rPr>
          <w:rStyle w:val="Hyperlink"/>
          <w:rFonts w:cs="Arial"/>
        </w:rPr>
        <w:fldChar w:fldCharType="end"/>
      </w:r>
      <w:r w:rsidR="00EC1A7E">
        <w:t>, 30.05.07</w:t>
      </w:r>
      <w:bookmarkEnd w:id="13"/>
    </w:p>
    <w:sectPr w:rsidR="00EC1A7E" w:rsidSect="006704A1">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10973" w14:textId="77777777" w:rsidR="005E4AC7" w:rsidRDefault="005E4AC7" w:rsidP="005A7DCE">
      <w:pPr>
        <w:spacing w:before="0"/>
      </w:pPr>
      <w:r>
        <w:separator/>
      </w:r>
    </w:p>
  </w:endnote>
  <w:endnote w:type="continuationSeparator" w:id="0">
    <w:p w14:paraId="6E26704B" w14:textId="77777777" w:rsidR="005E4AC7" w:rsidRDefault="005E4AC7"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8039D1" w:rsidRDefault="008039D1">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665AED97" w:rsidR="008039D1" w:rsidRDefault="008039D1">
        <w:pPr>
          <w:pStyle w:val="Fuzeile"/>
          <w:jc w:val="center"/>
        </w:pPr>
        <w:r>
          <w:fldChar w:fldCharType="begin"/>
        </w:r>
        <w:r>
          <w:instrText>PAGE    \* MERGEFORMAT</w:instrText>
        </w:r>
        <w:r>
          <w:fldChar w:fldCharType="separate"/>
        </w:r>
        <w:r w:rsidR="00BE3067">
          <w:rPr>
            <w:noProof/>
          </w:rPr>
          <w:t>6</w:t>
        </w:r>
        <w:r>
          <w:fldChar w:fldCharType="end"/>
        </w:r>
      </w:p>
    </w:sdtContent>
  </w:sdt>
  <w:p w14:paraId="69DF8B39" w14:textId="77777777" w:rsidR="008039D1" w:rsidRDefault="008039D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3AE14" w14:textId="77777777" w:rsidR="005E4AC7" w:rsidRDefault="005E4AC7" w:rsidP="005A7DCE">
      <w:pPr>
        <w:spacing w:before="0"/>
      </w:pPr>
      <w:r>
        <w:separator/>
      </w:r>
    </w:p>
  </w:footnote>
  <w:footnote w:type="continuationSeparator" w:id="0">
    <w:p w14:paraId="5FD85CD6" w14:textId="77777777" w:rsidR="005E4AC7" w:rsidRDefault="005E4AC7"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1D7D7A45"/>
    <w:multiLevelType w:val="multilevel"/>
    <w:tmpl w:val="E552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677C90"/>
    <w:multiLevelType w:val="multilevel"/>
    <w:tmpl w:val="C2B0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8"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9" w15:restartNumberingAfterBreak="0">
    <w:nsid w:val="31276AE2"/>
    <w:multiLevelType w:val="multilevel"/>
    <w:tmpl w:val="703ADD92"/>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hint="default"/>
      </w:rPr>
    </w:lvl>
    <w:lvl w:ilvl="2">
      <w:start w:val="1"/>
      <w:numFmt w:val="bullet"/>
      <w:lvlText w:val=""/>
      <w:lvlJc w:val="left"/>
      <w:pPr>
        <w:ind w:left="425" w:hanging="425"/>
      </w:pPr>
      <w:rPr>
        <w:rFonts w:ascii="Symbol" w:hAnsi="Symbol" w:hint="default"/>
        <w:color w:val="auto"/>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10"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2"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3"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5"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6"/>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3"/>
  </w:num>
  <w:num w:numId="7">
    <w:abstractNumId w:val="8"/>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1"/>
  </w:num>
  <w:num w:numId="13">
    <w:abstractNumId w:val="10"/>
  </w:num>
  <w:num w:numId="14">
    <w:abstractNumId w:val="0"/>
  </w:num>
  <w:num w:numId="15">
    <w:abstractNumId w:val="1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15"/>
  </w:num>
  <w:num w:numId="21">
    <w:abstractNumId w:val="7"/>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12603"/>
    <w:rsid w:val="00045EDE"/>
    <w:rsid w:val="000673EE"/>
    <w:rsid w:val="000712A2"/>
    <w:rsid w:val="00074491"/>
    <w:rsid w:val="000D4A1C"/>
    <w:rsid w:val="000E61E0"/>
    <w:rsid w:val="00103804"/>
    <w:rsid w:val="001B0E73"/>
    <w:rsid w:val="001D6942"/>
    <w:rsid w:val="00261CE0"/>
    <w:rsid w:val="00286533"/>
    <w:rsid w:val="0029716A"/>
    <w:rsid w:val="00330F61"/>
    <w:rsid w:val="0033663A"/>
    <w:rsid w:val="0036111E"/>
    <w:rsid w:val="003E490E"/>
    <w:rsid w:val="00480635"/>
    <w:rsid w:val="004A4B07"/>
    <w:rsid w:val="005633FE"/>
    <w:rsid w:val="005A7DCE"/>
    <w:rsid w:val="005D5199"/>
    <w:rsid w:val="005E4AC7"/>
    <w:rsid w:val="006171A2"/>
    <w:rsid w:val="006704A1"/>
    <w:rsid w:val="006841CE"/>
    <w:rsid w:val="006F1D4F"/>
    <w:rsid w:val="007161D1"/>
    <w:rsid w:val="00733A60"/>
    <w:rsid w:val="007514D3"/>
    <w:rsid w:val="00783295"/>
    <w:rsid w:val="007B2C80"/>
    <w:rsid w:val="007F18E1"/>
    <w:rsid w:val="008039D1"/>
    <w:rsid w:val="008117E4"/>
    <w:rsid w:val="00825BFE"/>
    <w:rsid w:val="00850560"/>
    <w:rsid w:val="00883728"/>
    <w:rsid w:val="008A524D"/>
    <w:rsid w:val="00931B30"/>
    <w:rsid w:val="009710A6"/>
    <w:rsid w:val="009B4835"/>
    <w:rsid w:val="00A21130"/>
    <w:rsid w:val="00A25B94"/>
    <w:rsid w:val="00A5383F"/>
    <w:rsid w:val="00AA5D66"/>
    <w:rsid w:val="00AB7E4B"/>
    <w:rsid w:val="00AE53F0"/>
    <w:rsid w:val="00AF7672"/>
    <w:rsid w:val="00B10DD4"/>
    <w:rsid w:val="00B85024"/>
    <w:rsid w:val="00BA255E"/>
    <w:rsid w:val="00BE3067"/>
    <w:rsid w:val="00C511E6"/>
    <w:rsid w:val="00CA413D"/>
    <w:rsid w:val="00D82999"/>
    <w:rsid w:val="00D97908"/>
    <w:rsid w:val="00E14DE1"/>
    <w:rsid w:val="00E20AF3"/>
    <w:rsid w:val="00E50811"/>
    <w:rsid w:val="00E54A99"/>
    <w:rsid w:val="00E8473B"/>
    <w:rsid w:val="00E94F6E"/>
    <w:rsid w:val="00EC1A7E"/>
    <w:rsid w:val="00F76D18"/>
    <w:rsid w:val="00FC711A"/>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FC711A"/>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FC711A"/>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012603"/>
    <w:pPr>
      <w:spacing w:before="240" w:after="24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Hervorhebung">
    <w:name w:val="Emphasis"/>
    <w:basedOn w:val="Absatz-Standardschriftart"/>
    <w:uiPriority w:val="20"/>
    <w:qFormat/>
    <w:rsid w:val="0029716A"/>
    <w:rPr>
      <w:i/>
      <w:iCs/>
    </w:rPr>
  </w:style>
  <w:style w:type="character" w:styleId="BesuchterLink">
    <w:name w:val="FollowedHyperlink"/>
    <w:basedOn w:val="Absatz-Standardschriftart"/>
    <w:uiPriority w:val="99"/>
    <w:semiHidden/>
    <w:unhideWhenUsed/>
    <w:rsid w:val="0029716A"/>
    <w:rPr>
      <w:color w:val="0000FF" w:themeColor="followedHyperlink"/>
      <w:u w:val="single"/>
    </w:rPr>
  </w:style>
  <w:style w:type="character" w:styleId="Fett">
    <w:name w:val="Strong"/>
    <w:basedOn w:val="Absatz-Standardschriftart"/>
    <w:uiPriority w:val="22"/>
    <w:rsid w:val="0029716A"/>
    <w:rPr>
      <w:b/>
      <w:bCs/>
    </w:rPr>
  </w:style>
  <w:style w:type="character" w:styleId="Platzhaltertext">
    <w:name w:val="Placeholder Text"/>
    <w:basedOn w:val="Absatz-Standardschriftart"/>
    <w:uiPriority w:val="99"/>
    <w:semiHidden/>
    <w:rsid w:val="0029716A"/>
    <w:rPr>
      <w:color w:val="808080"/>
    </w:rPr>
  </w:style>
  <w:style w:type="table" w:styleId="Tabellenraster">
    <w:name w:val="Table Grid"/>
    <w:basedOn w:val="NormaleTabelle"/>
    <w:uiPriority w:val="39"/>
    <w:rsid w:val="003E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13694">
      <w:bodyDiv w:val="1"/>
      <w:marLeft w:val="0"/>
      <w:marRight w:val="0"/>
      <w:marTop w:val="0"/>
      <w:marBottom w:val="0"/>
      <w:divBdr>
        <w:top w:val="none" w:sz="0" w:space="0" w:color="auto"/>
        <w:left w:val="none" w:sz="0" w:space="0" w:color="auto"/>
        <w:bottom w:val="none" w:sz="0" w:space="0" w:color="auto"/>
        <w:right w:val="none" w:sz="0" w:space="0" w:color="auto"/>
      </w:divBdr>
    </w:div>
    <w:div w:id="944967083">
      <w:bodyDiv w:val="1"/>
      <w:marLeft w:val="0"/>
      <w:marRight w:val="0"/>
      <w:marTop w:val="0"/>
      <w:marBottom w:val="0"/>
      <w:divBdr>
        <w:top w:val="none" w:sz="0" w:space="0" w:color="auto"/>
        <w:left w:val="none" w:sz="0" w:space="0" w:color="auto"/>
        <w:bottom w:val="none" w:sz="0" w:space="0" w:color="auto"/>
        <w:right w:val="none" w:sz="0" w:space="0" w:color="auto"/>
      </w:divBdr>
    </w:div>
    <w:div w:id="1095247464">
      <w:bodyDiv w:val="1"/>
      <w:marLeft w:val="0"/>
      <w:marRight w:val="0"/>
      <w:marTop w:val="0"/>
      <w:marBottom w:val="0"/>
      <w:divBdr>
        <w:top w:val="none" w:sz="0" w:space="0" w:color="auto"/>
        <w:left w:val="none" w:sz="0" w:space="0" w:color="auto"/>
        <w:bottom w:val="none" w:sz="0" w:space="0" w:color="auto"/>
        <w:right w:val="none" w:sz="0" w:space="0" w:color="auto"/>
      </w:divBdr>
    </w:div>
    <w:div w:id="1142307361">
      <w:bodyDiv w:val="1"/>
      <w:marLeft w:val="0"/>
      <w:marRight w:val="0"/>
      <w:marTop w:val="0"/>
      <w:marBottom w:val="0"/>
      <w:divBdr>
        <w:top w:val="none" w:sz="0" w:space="0" w:color="auto"/>
        <w:left w:val="none" w:sz="0" w:space="0" w:color="auto"/>
        <w:bottom w:val="none" w:sz="0" w:space="0" w:color="auto"/>
        <w:right w:val="none" w:sz="0" w:space="0" w:color="auto"/>
      </w:divBdr>
    </w:div>
    <w:div w:id="154463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hyperlink" Target="http://www.safran.de/" TargetMode="External"/><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gif"/><Relationship Id="rId25" Type="http://schemas.openxmlformats.org/officeDocument/2006/relationships/image" Target="media/image17.gif"/><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6.gif"/><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hyperlink" Target="http://life.hevs.ch/upload/Publications/PublicationChiuz.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1DD81-3873-435C-BFC3-9C5B7A03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1515</Words>
  <Characters>9545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6</cp:revision>
  <cp:lastPrinted>2021-02-25T10:48:00Z</cp:lastPrinted>
  <dcterms:created xsi:type="dcterms:W3CDTF">2020-12-03T07:08:00Z</dcterms:created>
  <dcterms:modified xsi:type="dcterms:W3CDTF">2021-02-25T10:48:00Z</dcterms:modified>
</cp:coreProperties>
</file>