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B89" w:rsidRDefault="001A7B89"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1A7B89" w:rsidRDefault="001A7B89"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1A7B89" w:rsidRDefault="00E8473B" w:rsidP="001A7B89">
      <w:pPr>
        <w:pStyle w:val="Seminar"/>
      </w:pPr>
      <w:r w:rsidRPr="001A7B89">
        <w:t>Seminar</w:t>
      </w:r>
      <w:r w:rsidR="00FD7888" w:rsidRPr="001A7B89">
        <w:t xml:space="preserve"> „Übungen im Vortragen –</w:t>
      </w:r>
      <w:r w:rsidR="001A7B89" w:rsidRPr="001A7B89">
        <w:t xml:space="preserve"> </w:t>
      </w:r>
      <w:r w:rsidR="00FD7888" w:rsidRPr="001A7B89">
        <w:t>PC“</w:t>
      </w:r>
    </w:p>
    <w:p w:rsidR="00E8473B" w:rsidRDefault="001A7B89" w:rsidP="005633FE">
      <w:pPr>
        <w:pStyle w:val="Titel"/>
      </w:pPr>
      <w:r>
        <w:t>Raman-Spektroskopie</w:t>
      </w:r>
    </w:p>
    <w:p w:rsidR="00E8473B" w:rsidRDefault="001A7B89" w:rsidP="00E8473B">
      <w:pPr>
        <w:pStyle w:val="Autor"/>
      </w:pPr>
      <w:r>
        <w:t xml:space="preserve">Christina </w:t>
      </w:r>
      <w:proofErr w:type="spellStart"/>
      <w:r>
        <w:t>Gräble</w:t>
      </w:r>
      <w:proofErr w:type="spellEnd"/>
      <w:r>
        <w:t>, WS 07/08</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494E4A"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5272500" w:history="1">
            <w:r w:rsidR="00494E4A" w:rsidRPr="0081544F">
              <w:rPr>
                <w:rStyle w:val="Hyperlink"/>
                <w:noProof/>
              </w:rPr>
              <w:t>1</w:t>
            </w:r>
            <w:r w:rsidR="00494E4A">
              <w:rPr>
                <w:rFonts w:asciiTheme="minorHAnsi" w:eastAsiaTheme="minorEastAsia" w:hAnsiTheme="minorHAnsi"/>
                <w:noProof/>
                <w:sz w:val="22"/>
                <w:lang w:eastAsia="de-DE"/>
              </w:rPr>
              <w:tab/>
            </w:r>
            <w:r w:rsidR="00494E4A" w:rsidRPr="0081544F">
              <w:rPr>
                <w:rStyle w:val="Hyperlink"/>
                <w:noProof/>
              </w:rPr>
              <w:t>Theoretische Grundlagen</w:t>
            </w:r>
            <w:r w:rsidR="00494E4A">
              <w:rPr>
                <w:noProof/>
                <w:webHidden/>
              </w:rPr>
              <w:tab/>
            </w:r>
            <w:r w:rsidR="00494E4A">
              <w:rPr>
                <w:noProof/>
                <w:webHidden/>
              </w:rPr>
              <w:fldChar w:fldCharType="begin"/>
            </w:r>
            <w:r w:rsidR="00494E4A">
              <w:rPr>
                <w:noProof/>
                <w:webHidden/>
              </w:rPr>
              <w:instrText xml:space="preserve"> PAGEREF _Toc45272500 \h </w:instrText>
            </w:r>
            <w:r w:rsidR="00494E4A">
              <w:rPr>
                <w:noProof/>
                <w:webHidden/>
              </w:rPr>
            </w:r>
            <w:r w:rsidR="00494E4A">
              <w:rPr>
                <w:noProof/>
                <w:webHidden/>
              </w:rPr>
              <w:fldChar w:fldCharType="separate"/>
            </w:r>
            <w:r w:rsidR="00634D44">
              <w:rPr>
                <w:noProof/>
                <w:webHidden/>
              </w:rPr>
              <w:t>1</w:t>
            </w:r>
            <w:r w:rsidR="00494E4A">
              <w:rPr>
                <w:noProof/>
                <w:webHidden/>
              </w:rPr>
              <w:fldChar w:fldCharType="end"/>
            </w:r>
          </w:hyperlink>
        </w:p>
        <w:p w:rsidR="00494E4A" w:rsidRDefault="00634D44">
          <w:pPr>
            <w:pStyle w:val="Verzeichnis2"/>
            <w:tabs>
              <w:tab w:val="left" w:pos="880"/>
              <w:tab w:val="right" w:leader="dot" w:pos="9344"/>
            </w:tabs>
            <w:rPr>
              <w:rFonts w:asciiTheme="minorHAnsi" w:eastAsiaTheme="minorEastAsia" w:hAnsiTheme="minorHAnsi"/>
              <w:noProof/>
              <w:sz w:val="22"/>
              <w:lang w:eastAsia="de-DE"/>
            </w:rPr>
          </w:pPr>
          <w:hyperlink w:anchor="_Toc45272501" w:history="1">
            <w:r w:rsidR="00494E4A" w:rsidRPr="0081544F">
              <w:rPr>
                <w:rStyle w:val="Hyperlink"/>
                <w:noProof/>
              </w:rPr>
              <w:t>1.1</w:t>
            </w:r>
            <w:r w:rsidR="00494E4A">
              <w:rPr>
                <w:rFonts w:asciiTheme="minorHAnsi" w:eastAsiaTheme="minorEastAsia" w:hAnsiTheme="minorHAnsi"/>
                <w:noProof/>
                <w:sz w:val="22"/>
                <w:lang w:eastAsia="de-DE"/>
              </w:rPr>
              <w:tab/>
            </w:r>
            <w:r w:rsidR="00494E4A" w:rsidRPr="0081544F">
              <w:rPr>
                <w:rStyle w:val="Hyperlink"/>
                <w:noProof/>
              </w:rPr>
              <w:t>Induktion des Dipols</w:t>
            </w:r>
            <w:r w:rsidR="00494E4A">
              <w:rPr>
                <w:noProof/>
                <w:webHidden/>
              </w:rPr>
              <w:tab/>
            </w:r>
            <w:r w:rsidR="00494E4A">
              <w:rPr>
                <w:noProof/>
                <w:webHidden/>
              </w:rPr>
              <w:fldChar w:fldCharType="begin"/>
            </w:r>
            <w:r w:rsidR="00494E4A">
              <w:rPr>
                <w:noProof/>
                <w:webHidden/>
              </w:rPr>
              <w:instrText xml:space="preserve"> PAGEREF _Toc45272501 \h </w:instrText>
            </w:r>
            <w:r w:rsidR="00494E4A">
              <w:rPr>
                <w:noProof/>
                <w:webHidden/>
              </w:rPr>
            </w:r>
            <w:r w:rsidR="00494E4A">
              <w:rPr>
                <w:noProof/>
                <w:webHidden/>
              </w:rPr>
              <w:fldChar w:fldCharType="separate"/>
            </w:r>
            <w:r>
              <w:rPr>
                <w:noProof/>
                <w:webHidden/>
              </w:rPr>
              <w:t>1</w:t>
            </w:r>
            <w:r w:rsidR="00494E4A">
              <w:rPr>
                <w:noProof/>
                <w:webHidden/>
              </w:rPr>
              <w:fldChar w:fldCharType="end"/>
            </w:r>
          </w:hyperlink>
        </w:p>
        <w:p w:rsidR="00494E4A" w:rsidRDefault="00634D44">
          <w:pPr>
            <w:pStyle w:val="Verzeichnis2"/>
            <w:tabs>
              <w:tab w:val="left" w:pos="880"/>
              <w:tab w:val="right" w:leader="dot" w:pos="9344"/>
            </w:tabs>
            <w:rPr>
              <w:rFonts w:asciiTheme="minorHAnsi" w:eastAsiaTheme="minorEastAsia" w:hAnsiTheme="minorHAnsi"/>
              <w:noProof/>
              <w:sz w:val="22"/>
              <w:lang w:eastAsia="de-DE"/>
            </w:rPr>
          </w:pPr>
          <w:hyperlink w:anchor="_Toc45272502" w:history="1">
            <w:r w:rsidR="00494E4A" w:rsidRPr="0081544F">
              <w:rPr>
                <w:rStyle w:val="Hyperlink"/>
                <w:noProof/>
              </w:rPr>
              <w:t>1.2</w:t>
            </w:r>
            <w:r w:rsidR="00494E4A">
              <w:rPr>
                <w:rFonts w:asciiTheme="minorHAnsi" w:eastAsiaTheme="minorEastAsia" w:hAnsiTheme="minorHAnsi"/>
                <w:noProof/>
                <w:sz w:val="22"/>
                <w:lang w:eastAsia="de-DE"/>
              </w:rPr>
              <w:tab/>
            </w:r>
            <w:r w:rsidR="00494E4A" w:rsidRPr="0081544F">
              <w:rPr>
                <w:rStyle w:val="Hyperlink"/>
                <w:noProof/>
              </w:rPr>
              <w:t>Raman-Frequenzverschiebung</w:t>
            </w:r>
            <w:r w:rsidR="00494E4A">
              <w:rPr>
                <w:noProof/>
                <w:webHidden/>
              </w:rPr>
              <w:tab/>
            </w:r>
            <w:r w:rsidR="00494E4A">
              <w:rPr>
                <w:noProof/>
                <w:webHidden/>
              </w:rPr>
              <w:fldChar w:fldCharType="begin"/>
            </w:r>
            <w:r w:rsidR="00494E4A">
              <w:rPr>
                <w:noProof/>
                <w:webHidden/>
              </w:rPr>
              <w:instrText xml:space="preserve"> PAGEREF _Toc45272502 \h </w:instrText>
            </w:r>
            <w:r w:rsidR="00494E4A">
              <w:rPr>
                <w:noProof/>
                <w:webHidden/>
              </w:rPr>
            </w:r>
            <w:r w:rsidR="00494E4A">
              <w:rPr>
                <w:noProof/>
                <w:webHidden/>
              </w:rPr>
              <w:fldChar w:fldCharType="separate"/>
            </w:r>
            <w:r>
              <w:rPr>
                <w:noProof/>
                <w:webHidden/>
              </w:rPr>
              <w:t>2</w:t>
            </w:r>
            <w:r w:rsidR="00494E4A">
              <w:rPr>
                <w:noProof/>
                <w:webHidden/>
              </w:rPr>
              <w:fldChar w:fldCharType="end"/>
            </w:r>
          </w:hyperlink>
        </w:p>
        <w:p w:rsidR="00494E4A" w:rsidRDefault="00634D44">
          <w:pPr>
            <w:pStyle w:val="Verzeichnis3"/>
            <w:tabs>
              <w:tab w:val="left" w:pos="1320"/>
              <w:tab w:val="right" w:leader="dot" w:pos="9344"/>
            </w:tabs>
            <w:rPr>
              <w:rFonts w:asciiTheme="minorHAnsi" w:eastAsiaTheme="minorEastAsia" w:hAnsiTheme="minorHAnsi"/>
              <w:noProof/>
              <w:sz w:val="22"/>
              <w:lang w:eastAsia="de-DE"/>
            </w:rPr>
          </w:pPr>
          <w:hyperlink w:anchor="_Toc45272503" w:history="1">
            <w:r w:rsidR="00494E4A" w:rsidRPr="0081544F">
              <w:rPr>
                <w:rStyle w:val="Hyperlink"/>
                <w:noProof/>
              </w:rPr>
              <w:t>1.2.1</w:t>
            </w:r>
            <w:r w:rsidR="00494E4A">
              <w:rPr>
                <w:rFonts w:asciiTheme="minorHAnsi" w:eastAsiaTheme="minorEastAsia" w:hAnsiTheme="minorHAnsi"/>
                <w:noProof/>
                <w:sz w:val="22"/>
                <w:lang w:eastAsia="de-DE"/>
              </w:rPr>
              <w:tab/>
            </w:r>
            <w:r w:rsidR="00494E4A" w:rsidRPr="0081544F">
              <w:rPr>
                <w:rStyle w:val="Hyperlink"/>
                <w:noProof/>
              </w:rPr>
              <w:t>Rayleigh-Streuung</w:t>
            </w:r>
            <w:r w:rsidR="00494E4A">
              <w:rPr>
                <w:noProof/>
                <w:webHidden/>
              </w:rPr>
              <w:tab/>
            </w:r>
            <w:r w:rsidR="00494E4A">
              <w:rPr>
                <w:noProof/>
                <w:webHidden/>
              </w:rPr>
              <w:fldChar w:fldCharType="begin"/>
            </w:r>
            <w:r w:rsidR="00494E4A">
              <w:rPr>
                <w:noProof/>
                <w:webHidden/>
              </w:rPr>
              <w:instrText xml:space="preserve"> PAGEREF _Toc45272503 \h </w:instrText>
            </w:r>
            <w:r w:rsidR="00494E4A">
              <w:rPr>
                <w:noProof/>
                <w:webHidden/>
              </w:rPr>
            </w:r>
            <w:r w:rsidR="00494E4A">
              <w:rPr>
                <w:noProof/>
                <w:webHidden/>
              </w:rPr>
              <w:fldChar w:fldCharType="separate"/>
            </w:r>
            <w:r>
              <w:rPr>
                <w:noProof/>
                <w:webHidden/>
              </w:rPr>
              <w:t>2</w:t>
            </w:r>
            <w:r w:rsidR="00494E4A">
              <w:rPr>
                <w:noProof/>
                <w:webHidden/>
              </w:rPr>
              <w:fldChar w:fldCharType="end"/>
            </w:r>
          </w:hyperlink>
        </w:p>
        <w:p w:rsidR="00494E4A" w:rsidRDefault="00634D44">
          <w:pPr>
            <w:pStyle w:val="Verzeichnis3"/>
            <w:tabs>
              <w:tab w:val="left" w:pos="1320"/>
              <w:tab w:val="right" w:leader="dot" w:pos="9344"/>
            </w:tabs>
            <w:rPr>
              <w:rFonts w:asciiTheme="minorHAnsi" w:eastAsiaTheme="minorEastAsia" w:hAnsiTheme="minorHAnsi"/>
              <w:noProof/>
              <w:sz w:val="22"/>
              <w:lang w:eastAsia="de-DE"/>
            </w:rPr>
          </w:pPr>
          <w:hyperlink w:anchor="_Toc45272504" w:history="1">
            <w:r w:rsidR="00494E4A" w:rsidRPr="0081544F">
              <w:rPr>
                <w:rStyle w:val="Hyperlink"/>
                <w:noProof/>
              </w:rPr>
              <w:t>1.2.2</w:t>
            </w:r>
            <w:r w:rsidR="00494E4A">
              <w:rPr>
                <w:rFonts w:asciiTheme="minorHAnsi" w:eastAsiaTheme="minorEastAsia" w:hAnsiTheme="minorHAnsi"/>
                <w:noProof/>
                <w:sz w:val="22"/>
                <w:lang w:eastAsia="de-DE"/>
              </w:rPr>
              <w:tab/>
            </w:r>
            <w:r w:rsidR="00494E4A" w:rsidRPr="0081544F">
              <w:rPr>
                <w:rStyle w:val="Hyperlink"/>
                <w:noProof/>
              </w:rPr>
              <w:t>Stokes-Streuung</w:t>
            </w:r>
            <w:r w:rsidR="00494E4A">
              <w:rPr>
                <w:noProof/>
                <w:webHidden/>
              </w:rPr>
              <w:tab/>
            </w:r>
            <w:r w:rsidR="00494E4A">
              <w:rPr>
                <w:noProof/>
                <w:webHidden/>
              </w:rPr>
              <w:fldChar w:fldCharType="begin"/>
            </w:r>
            <w:r w:rsidR="00494E4A">
              <w:rPr>
                <w:noProof/>
                <w:webHidden/>
              </w:rPr>
              <w:instrText xml:space="preserve"> PAGEREF _Toc45272504 \h </w:instrText>
            </w:r>
            <w:r w:rsidR="00494E4A">
              <w:rPr>
                <w:noProof/>
                <w:webHidden/>
              </w:rPr>
            </w:r>
            <w:r w:rsidR="00494E4A">
              <w:rPr>
                <w:noProof/>
                <w:webHidden/>
              </w:rPr>
              <w:fldChar w:fldCharType="separate"/>
            </w:r>
            <w:r>
              <w:rPr>
                <w:noProof/>
                <w:webHidden/>
              </w:rPr>
              <w:t>3</w:t>
            </w:r>
            <w:r w:rsidR="00494E4A">
              <w:rPr>
                <w:noProof/>
                <w:webHidden/>
              </w:rPr>
              <w:fldChar w:fldCharType="end"/>
            </w:r>
          </w:hyperlink>
        </w:p>
        <w:p w:rsidR="00494E4A" w:rsidRDefault="00634D44">
          <w:pPr>
            <w:pStyle w:val="Verzeichnis3"/>
            <w:tabs>
              <w:tab w:val="left" w:pos="1320"/>
              <w:tab w:val="right" w:leader="dot" w:pos="9344"/>
            </w:tabs>
            <w:rPr>
              <w:rFonts w:asciiTheme="minorHAnsi" w:eastAsiaTheme="minorEastAsia" w:hAnsiTheme="minorHAnsi"/>
              <w:noProof/>
              <w:sz w:val="22"/>
              <w:lang w:eastAsia="de-DE"/>
            </w:rPr>
          </w:pPr>
          <w:hyperlink w:anchor="_Toc45272505" w:history="1">
            <w:r w:rsidR="00494E4A" w:rsidRPr="0081544F">
              <w:rPr>
                <w:rStyle w:val="Hyperlink"/>
                <w:noProof/>
              </w:rPr>
              <w:t>1.2.3</w:t>
            </w:r>
            <w:r w:rsidR="00494E4A">
              <w:rPr>
                <w:rFonts w:asciiTheme="minorHAnsi" w:eastAsiaTheme="minorEastAsia" w:hAnsiTheme="minorHAnsi"/>
                <w:noProof/>
                <w:sz w:val="22"/>
                <w:lang w:eastAsia="de-DE"/>
              </w:rPr>
              <w:tab/>
            </w:r>
            <w:r w:rsidR="00494E4A" w:rsidRPr="0081544F">
              <w:rPr>
                <w:rStyle w:val="Hyperlink"/>
                <w:noProof/>
              </w:rPr>
              <w:t>Anti-Stokes-Streuung</w:t>
            </w:r>
            <w:r w:rsidR="00494E4A">
              <w:rPr>
                <w:noProof/>
                <w:webHidden/>
              </w:rPr>
              <w:tab/>
            </w:r>
            <w:r w:rsidR="00494E4A">
              <w:rPr>
                <w:noProof/>
                <w:webHidden/>
              </w:rPr>
              <w:fldChar w:fldCharType="begin"/>
            </w:r>
            <w:r w:rsidR="00494E4A">
              <w:rPr>
                <w:noProof/>
                <w:webHidden/>
              </w:rPr>
              <w:instrText xml:space="preserve"> PAGEREF _Toc45272505 \h </w:instrText>
            </w:r>
            <w:r w:rsidR="00494E4A">
              <w:rPr>
                <w:noProof/>
                <w:webHidden/>
              </w:rPr>
            </w:r>
            <w:r w:rsidR="00494E4A">
              <w:rPr>
                <w:noProof/>
                <w:webHidden/>
              </w:rPr>
              <w:fldChar w:fldCharType="separate"/>
            </w:r>
            <w:r>
              <w:rPr>
                <w:noProof/>
                <w:webHidden/>
              </w:rPr>
              <w:t>3</w:t>
            </w:r>
            <w:r w:rsidR="00494E4A">
              <w:rPr>
                <w:noProof/>
                <w:webHidden/>
              </w:rPr>
              <w:fldChar w:fldCharType="end"/>
            </w:r>
          </w:hyperlink>
        </w:p>
        <w:p w:rsidR="00494E4A" w:rsidRDefault="00634D44">
          <w:pPr>
            <w:pStyle w:val="Verzeichnis1"/>
            <w:tabs>
              <w:tab w:val="left" w:pos="480"/>
              <w:tab w:val="right" w:leader="dot" w:pos="9344"/>
            </w:tabs>
            <w:rPr>
              <w:rFonts w:asciiTheme="minorHAnsi" w:eastAsiaTheme="minorEastAsia" w:hAnsiTheme="minorHAnsi"/>
              <w:noProof/>
              <w:sz w:val="22"/>
              <w:lang w:eastAsia="de-DE"/>
            </w:rPr>
          </w:pPr>
          <w:hyperlink w:anchor="_Toc45272506" w:history="1">
            <w:r w:rsidR="00494E4A" w:rsidRPr="0081544F">
              <w:rPr>
                <w:rStyle w:val="Hyperlink"/>
                <w:noProof/>
              </w:rPr>
              <w:t>2</w:t>
            </w:r>
            <w:r w:rsidR="00494E4A">
              <w:rPr>
                <w:rFonts w:asciiTheme="minorHAnsi" w:eastAsiaTheme="minorEastAsia" w:hAnsiTheme="minorHAnsi"/>
                <w:noProof/>
                <w:sz w:val="22"/>
                <w:lang w:eastAsia="de-DE"/>
              </w:rPr>
              <w:tab/>
            </w:r>
            <w:r w:rsidR="00494E4A" w:rsidRPr="0081544F">
              <w:rPr>
                <w:rStyle w:val="Hyperlink"/>
                <w:noProof/>
              </w:rPr>
              <w:t>Anwendung</w:t>
            </w:r>
            <w:r w:rsidR="00494E4A">
              <w:rPr>
                <w:noProof/>
                <w:webHidden/>
              </w:rPr>
              <w:tab/>
            </w:r>
            <w:r w:rsidR="00494E4A">
              <w:rPr>
                <w:noProof/>
                <w:webHidden/>
              </w:rPr>
              <w:fldChar w:fldCharType="begin"/>
            </w:r>
            <w:r w:rsidR="00494E4A">
              <w:rPr>
                <w:noProof/>
                <w:webHidden/>
              </w:rPr>
              <w:instrText xml:space="preserve"> PAGEREF _Toc45272506 \h </w:instrText>
            </w:r>
            <w:r w:rsidR="00494E4A">
              <w:rPr>
                <w:noProof/>
                <w:webHidden/>
              </w:rPr>
            </w:r>
            <w:r w:rsidR="00494E4A">
              <w:rPr>
                <w:noProof/>
                <w:webHidden/>
              </w:rPr>
              <w:fldChar w:fldCharType="separate"/>
            </w:r>
            <w:r>
              <w:rPr>
                <w:noProof/>
                <w:webHidden/>
              </w:rPr>
              <w:t>3</w:t>
            </w:r>
            <w:r w:rsidR="00494E4A">
              <w:rPr>
                <w:noProof/>
                <w:webHidden/>
              </w:rPr>
              <w:fldChar w:fldCharType="end"/>
            </w:r>
          </w:hyperlink>
        </w:p>
        <w:p w:rsidR="006C46BC" w:rsidRDefault="006C46BC">
          <w:r>
            <w:rPr>
              <w:b/>
              <w:bCs/>
            </w:rPr>
            <w:fldChar w:fldCharType="end"/>
          </w:r>
        </w:p>
      </w:sdtContent>
    </w:sdt>
    <w:p w:rsidR="001A7B89" w:rsidRPr="001A7B89" w:rsidRDefault="00FD7888" w:rsidP="001A7B89">
      <w:pPr>
        <w:pStyle w:val="EinstiegAbschluss"/>
      </w:pPr>
      <w:bookmarkStart w:id="0" w:name="_Überschrift_1"/>
      <w:bookmarkEnd w:id="0"/>
      <w:r w:rsidRPr="001A7B89">
        <w:rPr>
          <w:rStyle w:val="Fett"/>
        </w:rPr>
        <w:t>Einstieg</w:t>
      </w:r>
      <w:r w:rsidRPr="001A7B89">
        <w:t>:</w:t>
      </w:r>
      <w:r w:rsidR="00C47CC6" w:rsidRPr="001A7B89">
        <w:t xml:space="preserve"> </w:t>
      </w:r>
      <w:r w:rsidR="001A7B89" w:rsidRPr="001A7B89">
        <w:t xml:space="preserve">Bei der Raman-Spektroskopie handelt es sich um eine Wechselwirkung zwischen elektromagnetischer Strahlung und Materie, die auf dem </w:t>
      </w:r>
      <w:proofErr w:type="spellStart"/>
      <w:r w:rsidR="001A7B89" w:rsidRPr="001A7B89">
        <w:t>inelastischen</w:t>
      </w:r>
      <w:proofErr w:type="spellEnd"/>
      <w:r w:rsidR="001A7B89" w:rsidRPr="001A7B89">
        <w:t xml:space="preserve"> Streu</w:t>
      </w:r>
      <w:r w:rsidR="001A7B89">
        <w:t>-P</w:t>
      </w:r>
      <w:r w:rsidR="001A7B89" w:rsidRPr="001A7B89">
        <w:t>rozess eines Photons an der zu untersuchenden Materie beruht. Diese Analyse</w:t>
      </w:r>
      <w:r w:rsidR="001A7B89">
        <w:t>-M</w:t>
      </w:r>
      <w:r w:rsidR="001A7B89" w:rsidRPr="001A7B89">
        <w:t>ethode lässt sich ergänzend zu optischen Absorptions- und Emissions-Spektroskopie</w:t>
      </w:r>
      <w:r w:rsidR="001A7B89">
        <w:t>-M</w:t>
      </w:r>
      <w:r w:rsidR="001A7B89" w:rsidRPr="001A7B89">
        <w:t>ethoden einsetzen, da sich z.</w:t>
      </w:r>
      <w:r w:rsidR="001A7B89">
        <w:t> </w:t>
      </w:r>
      <w:r w:rsidR="001A7B89" w:rsidRPr="001A7B89">
        <w:t>B. einfachste homonukleare Moleküle (H</w:t>
      </w:r>
      <w:r w:rsidR="001A7B89" w:rsidRPr="001A7B89">
        <w:rPr>
          <w:vertAlign w:val="subscript"/>
        </w:rPr>
        <w:t>2</w:t>
      </w:r>
      <w:r w:rsidR="001A7B89" w:rsidRPr="001A7B89">
        <w:t>, O</w:t>
      </w:r>
      <w:r w:rsidR="001A7B89" w:rsidRPr="001A7B89">
        <w:rPr>
          <w:vertAlign w:val="subscript"/>
        </w:rPr>
        <w:t>2</w:t>
      </w:r>
      <w:r w:rsidR="001A7B89" w:rsidRPr="001A7B89">
        <w:t>, N</w:t>
      </w:r>
      <w:r w:rsidR="001A7B89" w:rsidRPr="001A7B89">
        <w:rPr>
          <w:vertAlign w:val="subscript"/>
        </w:rPr>
        <w:t>2</w:t>
      </w:r>
      <w:r w:rsidR="001A7B89" w:rsidRPr="001A7B89">
        <w:t xml:space="preserve">,...) nicht mit diesen bezüglich ihrer Schwingungen untersuchen lassen, da solche Moleküle kein elektrisches Dipolmoment besitzen. </w:t>
      </w:r>
    </w:p>
    <w:p w:rsidR="001A7B89" w:rsidRPr="001A7B89" w:rsidRDefault="001A7B89" w:rsidP="001A7B89">
      <w:pPr>
        <w:pStyle w:val="EinstiegAbschluss"/>
      </w:pPr>
      <w:r w:rsidRPr="001A7B89">
        <w:t>Die Raman</w:t>
      </w:r>
      <w:r>
        <w:t>-S</w:t>
      </w:r>
      <w:r w:rsidRPr="001A7B89">
        <w:t>pektroskopie dient der Untersuchung der Struktur von Gasen, Flüssigkeiten und Kristallen. Der ihr zu Grunde liegende Raman-Effekt wurde 1923 von dem österreichischen Physiker Adolph Smekal in der Theorie vorausgesagt, um dann 1928 vom indischen Physiker C.V. Raman experimentell beobachtet und nachgewiesen zu werden.</w:t>
      </w:r>
    </w:p>
    <w:p w:rsidR="00FD7888" w:rsidRPr="001A7B89" w:rsidRDefault="00FD7888" w:rsidP="001A7B89">
      <w:pPr>
        <w:pStyle w:val="EinstiegAbschluss"/>
      </w:pPr>
    </w:p>
    <w:p w:rsidR="00E8473B" w:rsidRDefault="001A7B89" w:rsidP="008A524D">
      <w:pPr>
        <w:pStyle w:val="berschrift1"/>
      </w:pPr>
      <w:bookmarkStart w:id="1" w:name="_Toc45272500"/>
      <w:r>
        <w:t>Theoretische Grundlagen</w:t>
      </w:r>
      <w:bookmarkEnd w:id="1"/>
    </w:p>
    <w:p w:rsidR="001A7B89" w:rsidRDefault="001A7B89" w:rsidP="001A7B89">
      <w:r>
        <w:t>Wird eine Probe mit monochromatischem Licht (Laser) im sichtbaren Bereich bestrahlt, so resultiert hieraus einerseits die Induktion eines Dipols, woraus andererseits die zu beobachtenden und auszuwertenden Streuungseffekte resultieren.</w:t>
      </w:r>
    </w:p>
    <w:p w:rsidR="001A7B89" w:rsidRDefault="001A7B89" w:rsidP="001A7B89">
      <w:pPr>
        <w:pStyle w:val="berschrift2"/>
      </w:pPr>
      <w:bookmarkStart w:id="2" w:name="_Toc45272501"/>
      <w:r>
        <w:t>Induktion des Dipols</w:t>
      </w:r>
      <w:bookmarkEnd w:id="2"/>
    </w:p>
    <w:p w:rsidR="001A7B89" w:rsidRDefault="001A7B89" w:rsidP="001A7B89">
      <w:r w:rsidRPr="001A7B89">
        <w:t>Die Induktion des Dipol</w:t>
      </w:r>
      <w:r>
        <w:t>-M</w:t>
      </w:r>
      <w:r w:rsidRPr="001A7B89">
        <w:t>oments erfolgt durch das E-Feld des Lasers, da die Bindungselektronen des Moleküls entlang der Bindungsachse hin und her verschoben werden, oder anders ausgedrückt das Molekül in Schwingung versetzt wird. Somit kann von einer Verzerrung des Moleküls gesprochen werden, auf Grund der räumlichen Trennung der Ladungsschwerpunkte, da die Protonen vom negativen, die Elektronen vom positiven Pol angezogen werden. Auf diese Weise wurde ein Dipol</w:t>
      </w:r>
      <w:r>
        <w:t>-M</w:t>
      </w:r>
      <w:r w:rsidRPr="001A7B89">
        <w:t>oment erzeugt, das Molekül polarisiert. Dieses Dipol</w:t>
      </w:r>
      <w:r>
        <w:t>-M</w:t>
      </w:r>
      <w:r w:rsidRPr="001A7B89">
        <w:t xml:space="preserve">oment ist einerseits abhängig von der Stärke des E-Feldes, andererseits von der Polarisierbarkeit </w:t>
      </w:r>
      <w:r>
        <w:t>„</w:t>
      </w:r>
      <w:r>
        <w:rPr>
          <w:rFonts w:cs="Arial"/>
        </w:rPr>
        <w:t>α“</w:t>
      </w:r>
      <w:r w:rsidRPr="001A7B89">
        <w:t xml:space="preserve"> des Moleküls.</w:t>
      </w:r>
    </w:p>
    <w:p w:rsidR="001A7B89" w:rsidRPr="001A7B89" w:rsidRDefault="001A7B89" w:rsidP="001A7B89">
      <w:pPr>
        <w:pStyle w:val="Formeln"/>
      </w:pPr>
      <m:oMathPara>
        <m:oMath>
          <m:r>
            <m:rPr>
              <m:nor/>
            </m:rPr>
            <w:lastRenderedPageBreak/>
            <m:t>μ</m:t>
          </m:r>
          <m:r>
            <m:rPr>
              <m:nor/>
            </m:rPr>
            <w:rPr>
              <w:rFonts w:ascii="Cambria Math"/>
            </w:rPr>
            <m:t xml:space="preserve"> </m:t>
          </m:r>
          <m:r>
            <m:rPr>
              <m:nor/>
            </m:rPr>
            <m:t>= α</m:t>
          </m:r>
          <m:r>
            <m:rPr>
              <m:nor/>
            </m:rPr>
            <w:rPr>
              <w:rFonts w:ascii="Cambria Math"/>
            </w:rPr>
            <m:t xml:space="preserve"> </m:t>
          </m:r>
          <m:r>
            <m:rPr>
              <m:nor/>
            </m:rPr>
            <m:t>*</m:t>
          </m:r>
          <m:r>
            <m:rPr>
              <m:nor/>
            </m:rPr>
            <w:rPr>
              <w:rFonts w:ascii="Cambria Math"/>
            </w:rPr>
            <m:t xml:space="preserve"> </m:t>
          </m:r>
          <m:r>
            <m:rPr>
              <m:nor/>
            </m:rPr>
            <m:t>E</m:t>
          </m:r>
        </m:oMath>
      </m:oMathPara>
    </w:p>
    <w:p w:rsidR="001A7B89" w:rsidRDefault="001A7B89" w:rsidP="001A7B89">
      <w:r w:rsidRPr="001A7B89">
        <w:t xml:space="preserve">Die Polarisierbarkeit ihrerseits steht in einem Abhängigkeitsverhältnis zur Stärke des E-Feldes und zur Isotropie, bzw. Anisotropie des Moleküls. Im Allgemeinen ist </w:t>
      </w:r>
      <w:r>
        <w:t>„</w:t>
      </w:r>
      <w:r>
        <w:rPr>
          <w:rFonts w:cs="Arial"/>
        </w:rPr>
        <w:t>α“</w:t>
      </w:r>
      <w:r w:rsidRPr="001A7B89">
        <w:t xml:space="preserve"> durch einen symmetrischen Tensor (multilineare Abbildung, also Abbildung in der jede Variable linear ist) gegeben. Bei anisotrop polarisierbaren Molekülen erzielen Tensor-Rotationen eine Frequenz</w:t>
      </w:r>
      <w:r>
        <w:t>-M</w:t>
      </w:r>
      <w:r w:rsidRPr="001A7B89">
        <w:t>odulation des induzierten Dipol</w:t>
      </w:r>
      <w:r>
        <w:t>-M</w:t>
      </w:r>
      <w:r w:rsidRPr="001A7B89">
        <w:t xml:space="preserve">oments. Auf weitere spezifische Erläuterung wird hier verzichtet, da dies für das Verständnis der folgenden Ausführungen nicht notwendig ist (für spezifische Information siehe </w:t>
      </w:r>
      <w:proofErr w:type="spellStart"/>
      <w:r w:rsidRPr="001A7B89">
        <w:t>Grasselli</w:t>
      </w:r>
      <w:proofErr w:type="spellEnd"/>
      <w:r w:rsidRPr="001A7B89">
        <w:t xml:space="preserve"> [</w:t>
      </w:r>
      <w:r>
        <w:fldChar w:fldCharType="begin"/>
      </w:r>
      <w:r>
        <w:instrText xml:space="preserve"> REF _Ref45271803 \r \h </w:instrText>
      </w:r>
      <w:r>
        <w:fldChar w:fldCharType="separate"/>
      </w:r>
      <w:r w:rsidR="00634D44">
        <w:t>1</w:t>
      </w:r>
      <w:r>
        <w:fldChar w:fldCharType="end"/>
      </w:r>
      <w:r w:rsidRPr="001A7B89">
        <w:t>] und Pelletier [</w:t>
      </w:r>
      <w:r>
        <w:fldChar w:fldCharType="begin"/>
      </w:r>
      <w:r>
        <w:instrText xml:space="preserve"> REF _Ref45271808 \r \h </w:instrText>
      </w:r>
      <w:r>
        <w:fldChar w:fldCharType="separate"/>
      </w:r>
      <w:r w:rsidR="00634D44">
        <w:t>2</w:t>
      </w:r>
      <w:r>
        <w:fldChar w:fldCharType="end"/>
      </w:r>
      <w:r w:rsidRPr="001A7B89">
        <w:t>]).</w:t>
      </w:r>
    </w:p>
    <w:p w:rsidR="001A7B89" w:rsidRDefault="001A7B89" w:rsidP="001A7B89">
      <w:pPr>
        <w:pStyle w:val="berschrift2"/>
      </w:pPr>
      <w:bookmarkStart w:id="3" w:name="_Toc45272502"/>
      <w:r>
        <w:t>Raman-Frequenzverschiebung</w:t>
      </w:r>
      <w:bookmarkEnd w:id="3"/>
    </w:p>
    <w:p w:rsidR="001A7B89" w:rsidRDefault="001A7B89" w:rsidP="001A7B89">
      <w:r w:rsidRPr="001A7B89">
        <w:t>Die energetische Betrachtung zweier Teilchen sind für die folgenden Ausführungen, welchen das quanten</w:t>
      </w:r>
      <w:r>
        <w:t>-</w:t>
      </w:r>
      <w:r w:rsidRPr="001A7B89">
        <w:t xml:space="preserve">mechanische Modell des harmonischen Oszillators zu Grund liegt, wichtig, einerseits die energetische Betrachtung des Photons, andererseits die des Moleküls. Die Probe wird durch einen Laser mit monochromatischem Licht der Frequenz </w:t>
      </w:r>
      <w:r>
        <w:t>„</w:t>
      </w:r>
      <w:r w:rsidRPr="001A7B89">
        <w:t>v</w:t>
      </w:r>
      <w:r w:rsidRPr="001A7B89">
        <w:rPr>
          <w:vertAlign w:val="subscript"/>
        </w:rPr>
        <w:t>0</w:t>
      </w:r>
      <w:r>
        <w:t>“</w:t>
      </w:r>
      <w:r w:rsidRPr="001A7B89">
        <w:t xml:space="preserve"> bestrahlt. Die Energie eines Photons ergibt sich entsprechend. </w:t>
      </w:r>
    </w:p>
    <w:p w:rsidR="001A7B89" w:rsidRPr="001A7B89" w:rsidRDefault="00634D44" w:rsidP="001A7B89">
      <w:pPr>
        <w:pStyle w:val="Formeln"/>
        <w:rPr>
          <w:rFonts w:eastAsiaTheme="minorEastAsia"/>
        </w:rPr>
      </w:pPr>
      <m:oMathPara>
        <m:oMath>
          <m:sSub>
            <m:sSubPr>
              <m:ctrlPr>
                <w:rPr>
                  <w:rFonts w:ascii="Cambria Math" w:hAnsi="Cambria Math"/>
                </w:rPr>
              </m:ctrlPr>
            </m:sSubPr>
            <m:e>
              <m:r>
                <m:rPr>
                  <m:nor/>
                </m:rPr>
                <m:t>E</m:t>
              </m:r>
            </m:e>
            <m:sub>
              <m:r>
                <m:rPr>
                  <m:nor/>
                </m:rPr>
                <m:t>Photon</m:t>
              </m:r>
            </m:sub>
          </m:sSub>
          <m:r>
            <m:rPr>
              <m:nor/>
            </m:rPr>
            <m:t>=h*</m:t>
          </m:r>
          <m:sSub>
            <m:sSubPr>
              <m:ctrlPr>
                <w:rPr>
                  <w:rFonts w:ascii="Cambria Math" w:hAnsi="Cambria Math"/>
                </w:rPr>
              </m:ctrlPr>
            </m:sSubPr>
            <m:e>
              <m:r>
                <m:rPr>
                  <m:nor/>
                </m:rPr>
                <m:t>v</m:t>
              </m:r>
            </m:e>
            <m:sub>
              <m:r>
                <m:rPr>
                  <m:nor/>
                </m:rPr>
                <m:t>0</m:t>
              </m:r>
            </m:sub>
          </m:sSub>
        </m:oMath>
      </m:oMathPara>
    </w:p>
    <w:p w:rsidR="001A7B89" w:rsidRPr="001A7B89" w:rsidRDefault="001A7B89" w:rsidP="001A7B89">
      <w:pPr>
        <w:pStyle w:val="Beschriftung"/>
      </w:pPr>
      <w:r>
        <w:t>H= plancksches Wirkungsquantum</w:t>
      </w:r>
    </w:p>
    <w:p w:rsidR="001A7B89" w:rsidRDefault="001A7B89" w:rsidP="001A7B89">
      <w:r w:rsidRPr="001A7B89">
        <w:t>Das Molekül kann sich vor dem Stoß im energetischen Grund</w:t>
      </w:r>
      <w:r>
        <w:t>-Z</w:t>
      </w:r>
      <w:r w:rsidRPr="001A7B89">
        <w:t xml:space="preserve">ustand, dem ersten angeregten Zustand oder einem um Vielfache </w:t>
      </w:r>
      <w:r>
        <w:t>„</w:t>
      </w:r>
      <w:r w:rsidRPr="001A7B89">
        <w:t>n</w:t>
      </w:r>
      <w:r>
        <w:t>“</w:t>
      </w:r>
      <w:r w:rsidRPr="001A7B89">
        <w:t xml:space="preserve"> der Schwingungsenergie </w:t>
      </w:r>
      <w:r>
        <w:t>„</w:t>
      </w:r>
      <w:r w:rsidRPr="001A7B89">
        <w:t>h*</w:t>
      </w:r>
      <w:proofErr w:type="spellStart"/>
      <w:r w:rsidRPr="001A7B89">
        <w:t>v</w:t>
      </w:r>
      <w:r w:rsidRPr="001A7B89">
        <w:rPr>
          <w:vertAlign w:val="subscript"/>
        </w:rPr>
        <w:t>M</w:t>
      </w:r>
      <w:proofErr w:type="spellEnd"/>
      <w:r>
        <w:t>“</w:t>
      </w:r>
      <w:r w:rsidRPr="001A7B89">
        <w:t xml:space="preserve"> höheren angeregten Zustand befinden. Die Boltzmann-Verteilung gibt an wie viele Moleküle sich im jeweiligen Zustand befinden.</w:t>
      </w:r>
    </w:p>
    <w:p w:rsidR="001A7B89" w:rsidRPr="00494E4A" w:rsidRDefault="00634D44" w:rsidP="00494E4A">
      <w:pPr>
        <w:pStyle w:val="Formeln"/>
        <w:rPr>
          <w:rFonts w:eastAsiaTheme="minorEastAsia"/>
        </w:rPr>
      </w:pPr>
      <m:oMathPara>
        <m:oMath>
          <m:sSub>
            <m:sSubPr>
              <m:ctrlPr>
                <w:rPr>
                  <w:rFonts w:ascii="Cambria Math" w:hAnsi="Cambria Math"/>
                </w:rPr>
              </m:ctrlPr>
            </m:sSubPr>
            <m:e>
              <m:r>
                <m:rPr>
                  <m:nor/>
                </m:rPr>
                <m:t>N</m:t>
              </m:r>
            </m:e>
            <m:sub>
              <m:r>
                <m:rPr>
                  <m:nor/>
                </m:rPr>
                <m:t>i</m:t>
              </m:r>
            </m:sub>
          </m:sSub>
          <m:r>
            <m:rPr>
              <m:nor/>
            </m:rPr>
            <w:rPr>
              <w:rFonts w:ascii="Cambria Math"/>
            </w:rPr>
            <m:t xml:space="preserve"> </m:t>
          </m:r>
          <m:r>
            <m:rPr>
              <m:nor/>
            </m:rPr>
            <m:t xml:space="preserve">= </m:t>
          </m:r>
          <m:sSub>
            <m:sSubPr>
              <m:ctrlPr>
                <w:rPr>
                  <w:rFonts w:ascii="Cambria Math" w:hAnsi="Cambria Math"/>
                </w:rPr>
              </m:ctrlPr>
            </m:sSubPr>
            <m:e>
              <m:r>
                <m:rPr>
                  <m:nor/>
                </m:rPr>
                <m:t>N</m:t>
              </m:r>
            </m:e>
            <m:sub>
              <m:r>
                <m:rPr>
                  <m:nor/>
                </m:rPr>
                <m:t>0</m:t>
              </m:r>
            </m:sub>
          </m:sSub>
          <m:r>
            <m:rPr>
              <m:nor/>
            </m:rPr>
            <w:rPr>
              <w:rFonts w:ascii="Cambria Math"/>
            </w:rPr>
            <m:t xml:space="preserve"> </m:t>
          </m:r>
          <m:r>
            <m:rPr>
              <m:nor/>
            </m:rPr>
            <m:t>*</m:t>
          </m:r>
          <m:r>
            <m:rPr>
              <m:nor/>
            </m:rPr>
            <w:rPr>
              <w:rFonts w:ascii="Cambria Math"/>
            </w:rPr>
            <m:t xml:space="preserve"> </m:t>
          </m:r>
          <w:proofErr w:type="spellStart"/>
          <m:r>
            <m:rPr>
              <m:nor/>
            </m:rPr>
            <m:t>exp</m:t>
          </m:r>
          <w:proofErr w:type="spellEnd"/>
          <m:d>
            <m:dPr>
              <m:ctrlPr>
                <w:rPr>
                  <w:rFonts w:ascii="Cambria Math" w:hAnsi="Cambria Math"/>
                </w:rPr>
              </m:ctrlPr>
            </m:dPr>
            <m:e>
              <m:r>
                <m:rPr>
                  <m:nor/>
                </m:rPr>
                <m:t>-</m:t>
              </m:r>
              <m:r>
                <m:rPr>
                  <m:nor/>
                </m:rPr>
                <w:rPr>
                  <w:rFonts w:ascii="Cambria Math"/>
                </w:rPr>
                <m:t xml:space="preserve"> </m:t>
              </m:r>
              <m:f>
                <m:fPr>
                  <m:ctrlPr>
                    <w:rPr>
                      <w:rFonts w:ascii="Cambria Math" w:hAnsi="Cambria Math"/>
                    </w:rPr>
                  </m:ctrlPr>
                </m:fPr>
                <m:num>
                  <m:d>
                    <m:dPr>
                      <m:ctrlPr>
                        <w:rPr>
                          <w:rFonts w:ascii="Cambria Math" w:hAnsi="Cambria Math"/>
                        </w:rPr>
                      </m:ctrlPr>
                    </m:dPr>
                    <m:e>
                      <m:r>
                        <m:rPr>
                          <m:nor/>
                        </m:rPr>
                        <m:t>n</m:t>
                      </m:r>
                      <m:r>
                        <m:rPr>
                          <m:nor/>
                        </m:rPr>
                        <w:rPr>
                          <w:rFonts w:ascii="Cambria Math"/>
                        </w:rPr>
                        <m:t xml:space="preserve"> </m:t>
                      </m:r>
                      <m:r>
                        <m:rPr>
                          <m:nor/>
                        </m:rPr>
                        <m:t>*</m:t>
                      </m:r>
                      <m:r>
                        <m:rPr>
                          <m:nor/>
                        </m:rPr>
                        <w:rPr>
                          <w:rFonts w:ascii="Cambria Math"/>
                        </w:rPr>
                        <m:t xml:space="preserve"> </m:t>
                      </m:r>
                      <m:r>
                        <m:rPr>
                          <m:nor/>
                        </m:rPr>
                        <m:t>h</m:t>
                      </m:r>
                      <m:r>
                        <m:rPr>
                          <m:nor/>
                        </m:rPr>
                        <w:rPr>
                          <w:rFonts w:ascii="Cambria Math"/>
                        </w:rPr>
                        <m:t xml:space="preserve"> </m:t>
                      </m:r>
                      <m:r>
                        <m:rPr>
                          <m:nor/>
                        </m:rPr>
                        <m:t>*</m:t>
                      </m:r>
                      <m:r>
                        <m:rPr>
                          <m:nor/>
                        </m:rPr>
                        <w:rPr>
                          <w:rFonts w:ascii="Cambria Math"/>
                        </w:rPr>
                        <m:t xml:space="preserve"> </m:t>
                      </m:r>
                      <m:sSub>
                        <m:sSubPr>
                          <m:ctrlPr>
                            <w:rPr>
                              <w:rFonts w:ascii="Cambria Math" w:hAnsi="Cambria Math"/>
                            </w:rPr>
                          </m:ctrlPr>
                        </m:sSubPr>
                        <m:e>
                          <m:r>
                            <m:rPr>
                              <m:nor/>
                            </m:rPr>
                            <m:t>v</m:t>
                          </m:r>
                        </m:e>
                        <m:sub>
                          <m:r>
                            <m:rPr>
                              <m:nor/>
                            </m:rPr>
                            <m:t>M</m:t>
                          </m:r>
                        </m:sub>
                      </m:sSub>
                    </m:e>
                  </m:d>
                </m:num>
                <m:den>
                  <m:d>
                    <m:dPr>
                      <m:ctrlPr>
                        <w:rPr>
                          <w:rFonts w:ascii="Cambria Math" w:hAnsi="Cambria Math"/>
                        </w:rPr>
                      </m:ctrlPr>
                    </m:dPr>
                    <m:e>
                      <m:sSub>
                        <m:sSubPr>
                          <m:ctrlPr>
                            <w:rPr>
                              <w:rFonts w:ascii="Cambria Math" w:hAnsi="Cambria Math"/>
                            </w:rPr>
                          </m:ctrlPr>
                        </m:sSubPr>
                        <m:e>
                          <m:r>
                            <m:rPr>
                              <m:nor/>
                            </m:rPr>
                            <m:t>k</m:t>
                          </m:r>
                        </m:e>
                        <m:sub>
                          <m:r>
                            <m:rPr>
                              <m:nor/>
                            </m:rPr>
                            <m:t>B</m:t>
                          </m:r>
                        </m:sub>
                      </m:sSub>
                      <m:r>
                        <m:rPr>
                          <m:nor/>
                        </m:rPr>
                        <w:rPr>
                          <w:rFonts w:ascii="Cambria Math"/>
                        </w:rPr>
                        <m:t xml:space="preserve"> </m:t>
                      </m:r>
                      <m:r>
                        <m:rPr>
                          <m:nor/>
                        </m:rPr>
                        <m:t>*</m:t>
                      </m:r>
                      <m:r>
                        <m:rPr>
                          <m:nor/>
                        </m:rPr>
                        <w:rPr>
                          <w:rFonts w:ascii="Cambria Math"/>
                        </w:rPr>
                        <m:t xml:space="preserve"> </m:t>
                      </m:r>
                      <m:r>
                        <m:rPr>
                          <m:nor/>
                        </m:rPr>
                        <m:t>T</m:t>
                      </m:r>
                    </m:e>
                  </m:d>
                </m:den>
              </m:f>
            </m:e>
          </m:d>
        </m:oMath>
      </m:oMathPara>
    </w:p>
    <w:p w:rsidR="00494E4A" w:rsidRPr="00494E4A" w:rsidRDefault="00494E4A" w:rsidP="00494E4A">
      <w:pPr>
        <w:pStyle w:val="Beschriftung"/>
      </w:pPr>
      <w:r>
        <w:t>K</w:t>
      </w:r>
      <w:r>
        <w:rPr>
          <w:vertAlign w:val="subscript"/>
        </w:rPr>
        <w:t>B</w:t>
      </w:r>
      <w:r>
        <w:t>T = Boltzmann-Konstante</w:t>
      </w:r>
      <w:r>
        <w:br/>
        <w:t>n= natürliche Zahl</w:t>
      </w:r>
      <w:r>
        <w:br/>
        <w:t>T= absolute Temperatur</w:t>
      </w:r>
      <w:r>
        <w:br/>
        <w:t>N</w:t>
      </w:r>
      <w:r>
        <w:rPr>
          <w:vertAlign w:val="subscript"/>
        </w:rPr>
        <w:t>0</w:t>
      </w:r>
      <w:r>
        <w:t>= Anzahl Moleküle im Grund-Zustand</w:t>
      </w:r>
    </w:p>
    <w:p w:rsidR="001A7B89" w:rsidRPr="001A7B89" w:rsidRDefault="001A7B89" w:rsidP="001A7B89">
      <w:r w:rsidRPr="001A7B89">
        <w:t>Im Allgemeinen befinden sich deutlich mehr Moleküle im Grund</w:t>
      </w:r>
      <w:r w:rsidR="00494E4A">
        <w:t>-Z</w:t>
      </w:r>
      <w:r w:rsidRPr="001A7B89">
        <w:t xml:space="preserve">ustand als im ersten angeregten Zustand und vernachlässigbar wenige in höheren, angeregten Zuständen. Daher erfolgt eine Beschränkung auf diese beiden Zustände für die folgenden Betrachtungen. </w:t>
      </w:r>
    </w:p>
    <w:p w:rsidR="001A7B89" w:rsidRDefault="001A7B89" w:rsidP="001A7B89">
      <w:r w:rsidRPr="001A7B89">
        <w:t>Das Aufeinandertreffen von Photon und Molekül kann in unterschiedlichen Ergebnissen resultieren. Die im Folgenden aufgezeigten Energie</w:t>
      </w:r>
      <w:r w:rsidR="00494E4A">
        <w:t>-D</w:t>
      </w:r>
      <w:r w:rsidRPr="001A7B89">
        <w:t>ifferenzen zwischen eingestrahltem und gestreuten Photon bezeichnet man als Raman-Frequenzverschiebungen.</w:t>
      </w:r>
    </w:p>
    <w:p w:rsidR="00494E4A" w:rsidRDefault="00494E4A" w:rsidP="00494E4A">
      <w:pPr>
        <w:pStyle w:val="berschrift3"/>
      </w:pPr>
      <w:bookmarkStart w:id="4" w:name="_Toc45272503"/>
      <w:r>
        <w:t>Rayleigh-Streuung</w:t>
      </w:r>
      <w:bookmarkEnd w:id="4"/>
    </w:p>
    <w:p w:rsidR="00494E4A" w:rsidRPr="00494E4A" w:rsidRDefault="00494E4A" w:rsidP="00494E4A">
      <w:r w:rsidRPr="00494E4A">
        <w:t xml:space="preserve">Trifft ein Photon der mit der Energie </w:t>
      </w:r>
      <w:r>
        <w:t>„</w:t>
      </w:r>
      <w:r w:rsidRPr="00494E4A">
        <w:t>h*v</w:t>
      </w:r>
      <w:r w:rsidRPr="00494E4A">
        <w:rPr>
          <w:vertAlign w:val="subscript"/>
        </w:rPr>
        <w:t>0</w:t>
      </w:r>
      <w:r>
        <w:t>“</w:t>
      </w:r>
      <w:r w:rsidRPr="00494E4A">
        <w:t xml:space="preserve"> auf ein Molekül, wird dieses Molekül auf ein virtuelles Energie-Niveau (existent, aber nur für sehr kurze Zeit besetzbar) angehoben, um dann sofort wieder unter Aussendung eines neuen Photons mit ebenfalls der Energie </w:t>
      </w:r>
      <w:r>
        <w:t>„</w:t>
      </w:r>
      <w:r w:rsidRPr="00494E4A">
        <w:t>h*v</w:t>
      </w:r>
      <w:r w:rsidRPr="00494E4A">
        <w:rPr>
          <w:vertAlign w:val="subscript"/>
        </w:rPr>
        <w:t>0</w:t>
      </w:r>
      <w:r>
        <w:t>“</w:t>
      </w:r>
      <w:r w:rsidRPr="00494E4A">
        <w:t>. Die eingegangene Strahlung ist somit gleich der ausgehenden Streu</w:t>
      </w:r>
      <w:r>
        <w:t>-S</w:t>
      </w:r>
      <w:r w:rsidRPr="00494E4A">
        <w:t xml:space="preserve">trahlung und das Molekül fällt auf sein ursprüngliches Energie-Niveau zurück, wie in </w:t>
      </w:r>
      <w:r>
        <w:rPr>
          <w:color w:val="FF00FF" w:themeColor="accent4"/>
        </w:rPr>
        <w:fldChar w:fldCharType="begin"/>
      </w:r>
      <w:r>
        <w:instrText xml:space="preserve"> REF _Ref45272521 \h </w:instrText>
      </w:r>
      <w:r>
        <w:rPr>
          <w:color w:val="FF00FF" w:themeColor="accent4"/>
        </w:rPr>
      </w:r>
      <w:r>
        <w:rPr>
          <w:color w:val="FF00FF" w:themeColor="accent4"/>
        </w:rPr>
        <w:fldChar w:fldCharType="separate"/>
      </w:r>
      <w:r w:rsidR="00634D44">
        <w:t xml:space="preserve">Abb. </w:t>
      </w:r>
      <w:r w:rsidR="00634D44">
        <w:rPr>
          <w:noProof/>
        </w:rPr>
        <w:t>1</w:t>
      </w:r>
      <w:r>
        <w:rPr>
          <w:color w:val="FF00FF" w:themeColor="accent4"/>
        </w:rPr>
        <w:fldChar w:fldCharType="end"/>
      </w:r>
      <w:r w:rsidRPr="00494E4A">
        <w:t xml:space="preserve"> erkennbar. Es kommt zu keiner Frequenz</w:t>
      </w:r>
      <w:r>
        <w:t>-V</w:t>
      </w:r>
      <w:r w:rsidRPr="00494E4A">
        <w:t>erschiebung.</w:t>
      </w:r>
    </w:p>
    <w:p w:rsidR="00494E4A" w:rsidRDefault="00494E4A" w:rsidP="00494E4A">
      <w:pPr>
        <w:pStyle w:val="Bilder"/>
      </w:pPr>
      <w:r w:rsidRPr="00494E4A">
        <w:rPr>
          <w:lang w:eastAsia="de-DE"/>
        </w:rPr>
        <w:lastRenderedPageBreak/>
        <w:drawing>
          <wp:inline distT="0" distB="0" distL="0" distR="0">
            <wp:extent cx="4486910" cy="2319020"/>
            <wp:effectExtent l="0" t="0" r="889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910" cy="2319020"/>
                    </a:xfrm>
                    <a:prstGeom prst="rect">
                      <a:avLst/>
                    </a:prstGeom>
                    <a:noFill/>
                    <a:ln>
                      <a:noFill/>
                    </a:ln>
                  </pic:spPr>
                </pic:pic>
              </a:graphicData>
            </a:graphic>
          </wp:inline>
        </w:drawing>
      </w:r>
    </w:p>
    <w:p w:rsidR="00494E4A" w:rsidRPr="00494E4A" w:rsidRDefault="00494E4A" w:rsidP="00494E4A">
      <w:pPr>
        <w:pStyle w:val="Beschriftung"/>
      </w:pPr>
      <w:bookmarkStart w:id="5" w:name="_Ref45272521"/>
      <w:r>
        <w:t xml:space="preserve">Abb. </w:t>
      </w:r>
      <w:r w:rsidR="00634D44">
        <w:fldChar w:fldCharType="begin"/>
      </w:r>
      <w:r w:rsidR="00634D44">
        <w:instrText xml:space="preserve"> SEQ Abb. \* ARABIC </w:instrText>
      </w:r>
      <w:r w:rsidR="00634D44">
        <w:fldChar w:fldCharType="separate"/>
      </w:r>
      <w:r w:rsidR="00634D44">
        <w:rPr>
          <w:noProof/>
        </w:rPr>
        <w:t>1</w:t>
      </w:r>
      <w:r w:rsidR="00634D44">
        <w:rPr>
          <w:noProof/>
        </w:rPr>
        <w:fldChar w:fldCharType="end"/>
      </w:r>
      <w:bookmarkEnd w:id="5"/>
      <w:r w:rsidRPr="00494E4A">
        <w:t>: Schematische Darstellung der energetischen Zustände eines Moleküls hinsichtlich der Rayleigh-Streuung und der zwei möglichen Raman-Streuungen;</w:t>
      </w:r>
      <w:r>
        <w:br/>
      </w:r>
      <w:r w:rsidRPr="00494E4A">
        <w:rPr>
          <w:rStyle w:val="BlauZchn"/>
        </w:rPr>
        <w:t>blau</w:t>
      </w:r>
      <w:r w:rsidRPr="00494E4A">
        <w:t xml:space="preserve"> steht für energiereichere Zustände, </w:t>
      </w:r>
      <w:r w:rsidRPr="00494E4A">
        <w:rPr>
          <w:rStyle w:val="RotZchn"/>
        </w:rPr>
        <w:t>rot</w:t>
      </w:r>
      <w:r w:rsidRPr="00494E4A">
        <w:t xml:space="preserve"> für energieärmere Zustände [</w:t>
      </w:r>
      <w:r>
        <w:fldChar w:fldCharType="begin"/>
      </w:r>
      <w:r>
        <w:instrText xml:space="preserve"> REF _Ref45272296 \r \h </w:instrText>
      </w:r>
      <w:r>
        <w:fldChar w:fldCharType="separate"/>
      </w:r>
      <w:r w:rsidR="00634D44">
        <w:t>3</w:t>
      </w:r>
      <w:r>
        <w:fldChar w:fldCharType="end"/>
      </w:r>
      <w:r w:rsidRPr="00494E4A">
        <w:t>].</w:t>
      </w:r>
    </w:p>
    <w:p w:rsidR="00494E4A" w:rsidRDefault="00494E4A" w:rsidP="00494E4A">
      <w:pPr>
        <w:pStyle w:val="berschrift3"/>
      </w:pPr>
      <w:bookmarkStart w:id="6" w:name="_Toc45272504"/>
      <w:r>
        <w:t>Stokes-Streuung</w:t>
      </w:r>
      <w:bookmarkEnd w:id="6"/>
    </w:p>
    <w:p w:rsidR="00494E4A" w:rsidRPr="00494E4A" w:rsidRDefault="00494E4A" w:rsidP="00494E4A">
      <w:r>
        <w:rPr>
          <w:rFonts w:cs="Arial"/>
        </w:rPr>
        <w:t>Auch hier trifft das Photon mit der Energie „h*v</w:t>
      </w:r>
      <w:r>
        <w:rPr>
          <w:rFonts w:cs="Arial"/>
          <w:vertAlign w:val="subscript"/>
        </w:rPr>
        <w:t>0</w:t>
      </w:r>
      <w:r>
        <w:rPr>
          <w:rFonts w:cs="Arial"/>
        </w:rPr>
        <w:t>“ auf ein Molekül, welches resultierend auf ein virtuelles Energie-Niveau angehoben wird. In diesem Fall jedoch fällt es auf ein höheres Energie-Niveau als das Ausgangs-Niveau zurück unter Aussendung eines Photons mit „h*v</w:t>
      </w:r>
      <w:r>
        <w:rPr>
          <w:rFonts w:cs="Arial"/>
          <w:vertAlign w:val="subscript"/>
        </w:rPr>
        <w:t>1</w:t>
      </w:r>
      <w:r>
        <w:rPr>
          <w:rFonts w:cs="Arial"/>
        </w:rPr>
        <w:t>“ kleiner als „h*v</w:t>
      </w:r>
      <w:r>
        <w:rPr>
          <w:rFonts w:cs="Arial"/>
          <w:vertAlign w:val="subscript"/>
        </w:rPr>
        <w:t>0</w:t>
      </w:r>
      <w:r>
        <w:rPr>
          <w:rFonts w:cs="Arial"/>
        </w:rPr>
        <w:t xml:space="preserve">“. Die nun ausgesendete Streu-Strahlung hat daher eine niedrigere Frequenz als die Eingangsstrahlung. Durch die Energie-Übertragung von Photon auf Molekül kommt es zu einer Schwingungsanregung, somit zu höherer Schwingungsenergie. Diese Frequenz-Verschiebung ist in </w:t>
      </w:r>
      <w:r>
        <w:rPr>
          <w:rFonts w:cs="Arial"/>
          <w:color w:val="FF00FF" w:themeColor="accent4"/>
        </w:rPr>
        <w:fldChar w:fldCharType="begin"/>
      </w:r>
      <w:r>
        <w:rPr>
          <w:rFonts w:cs="Arial"/>
        </w:rPr>
        <w:instrText xml:space="preserve"> REF _Ref45272521 \h </w:instrText>
      </w:r>
      <w:r>
        <w:rPr>
          <w:rFonts w:cs="Arial"/>
          <w:color w:val="FF00FF" w:themeColor="accent4"/>
        </w:rPr>
      </w:r>
      <w:r>
        <w:rPr>
          <w:rFonts w:cs="Arial"/>
          <w:color w:val="FF00FF" w:themeColor="accent4"/>
        </w:rPr>
        <w:fldChar w:fldCharType="separate"/>
      </w:r>
      <w:r w:rsidR="00634D44">
        <w:t xml:space="preserve">Abb. </w:t>
      </w:r>
      <w:r w:rsidR="00634D44">
        <w:rPr>
          <w:noProof/>
        </w:rPr>
        <w:t>1</w:t>
      </w:r>
      <w:r>
        <w:rPr>
          <w:rFonts w:cs="Arial"/>
          <w:color w:val="FF00FF" w:themeColor="accent4"/>
        </w:rPr>
        <w:fldChar w:fldCharType="end"/>
      </w:r>
      <w:r w:rsidR="00634D44">
        <w:rPr>
          <w:rFonts w:cs="Arial"/>
          <w:color w:val="FF00FF" w:themeColor="accent4"/>
        </w:rPr>
        <w:t xml:space="preserve"> </w:t>
      </w:r>
      <w:r>
        <w:rPr>
          <w:rFonts w:cs="Arial"/>
        </w:rPr>
        <w:t>verdeutlicht.</w:t>
      </w:r>
    </w:p>
    <w:p w:rsidR="001A7B89" w:rsidRDefault="00494E4A" w:rsidP="00494E4A">
      <w:pPr>
        <w:pStyle w:val="berschrift3"/>
      </w:pPr>
      <w:bookmarkStart w:id="7" w:name="_Toc45272505"/>
      <w:r>
        <w:t>Anti-Stokes-Streuung</w:t>
      </w:r>
      <w:bookmarkEnd w:id="7"/>
    </w:p>
    <w:p w:rsidR="00494E4A" w:rsidRDefault="00494E4A" w:rsidP="00494E4A">
      <w:pPr>
        <w:rPr>
          <w:rFonts w:cs="Arial"/>
        </w:rPr>
      </w:pPr>
      <w:r>
        <w:rPr>
          <w:rFonts w:cs="Arial"/>
        </w:rPr>
        <w:t>Trifft das Photon mit der Energie „h*v</w:t>
      </w:r>
      <w:r>
        <w:rPr>
          <w:rFonts w:cs="Arial"/>
          <w:vertAlign w:val="subscript"/>
        </w:rPr>
        <w:t>0</w:t>
      </w:r>
      <w:r>
        <w:rPr>
          <w:rFonts w:cs="Arial"/>
        </w:rPr>
        <w:t>“ auf ein Molekül, das sich schon in einem angeregten Zustand befindet, ist auch folgendes Resultat möglich. Das Molekül wird ebenso auf ein virtuelles Energie-Niveau angehoben und fällt jedoch in diesem Fall auf ein niedrigeres Energie-Niveau zurück. Dies geschieht unter Aussendung eines Photons mit „h*v</w:t>
      </w:r>
      <w:r>
        <w:rPr>
          <w:rFonts w:cs="Arial"/>
          <w:vertAlign w:val="subscript"/>
        </w:rPr>
        <w:t>1</w:t>
      </w:r>
      <w:r>
        <w:rPr>
          <w:rFonts w:cs="Arial"/>
        </w:rPr>
        <w:t>“ größer als „h*v</w:t>
      </w:r>
      <w:r>
        <w:rPr>
          <w:rFonts w:cs="Arial"/>
          <w:vertAlign w:val="subscript"/>
        </w:rPr>
        <w:t>0</w:t>
      </w:r>
      <w:r>
        <w:rPr>
          <w:rFonts w:cs="Arial"/>
        </w:rPr>
        <w:t xml:space="preserve">“. Die Streu-Strahlung hat resultierend eine höhere Frequenz als die Eingangsstrahlung, während das Molekül eine niedrigeren energetischen Zustand, also niedrigere Schwingungsenergie erreicht. Es kommt in diesem Fall somit zu einem Energie-Übertrag von Molekül auf Photon. Auch diese Frequenz-Verschiebung ist in </w:t>
      </w:r>
      <w:r>
        <w:rPr>
          <w:rFonts w:cs="Arial"/>
          <w:color w:val="FF00FF" w:themeColor="accent4"/>
        </w:rPr>
        <w:fldChar w:fldCharType="begin"/>
      </w:r>
      <w:r>
        <w:rPr>
          <w:rFonts w:cs="Arial"/>
        </w:rPr>
        <w:instrText xml:space="preserve"> REF _Ref45272521 \h </w:instrText>
      </w:r>
      <w:r>
        <w:rPr>
          <w:rFonts w:cs="Arial"/>
          <w:color w:val="FF00FF" w:themeColor="accent4"/>
        </w:rPr>
      </w:r>
      <w:r>
        <w:rPr>
          <w:rFonts w:cs="Arial"/>
          <w:color w:val="FF00FF" w:themeColor="accent4"/>
        </w:rPr>
        <w:fldChar w:fldCharType="separate"/>
      </w:r>
      <w:r w:rsidR="00634D44">
        <w:t xml:space="preserve">Abb. </w:t>
      </w:r>
      <w:r w:rsidR="00634D44">
        <w:rPr>
          <w:noProof/>
        </w:rPr>
        <w:t>1</w:t>
      </w:r>
      <w:r>
        <w:rPr>
          <w:rFonts w:cs="Arial"/>
          <w:color w:val="FF00FF" w:themeColor="accent4"/>
        </w:rPr>
        <w:fldChar w:fldCharType="end"/>
      </w:r>
      <w:r>
        <w:rPr>
          <w:rFonts w:cs="Arial"/>
        </w:rPr>
        <w:t xml:space="preserve"> verdeutlicht.</w:t>
      </w:r>
    </w:p>
    <w:p w:rsidR="00494E4A" w:rsidRDefault="00494E4A" w:rsidP="00494E4A">
      <w:pPr>
        <w:pStyle w:val="berschrift1"/>
      </w:pPr>
      <w:bookmarkStart w:id="8" w:name="_Toc45272506"/>
      <w:r>
        <w:t>Anwendung</w:t>
      </w:r>
      <w:bookmarkEnd w:id="8"/>
    </w:p>
    <w:p w:rsidR="00494E4A" w:rsidRPr="00494E4A" w:rsidRDefault="00494E4A" w:rsidP="00494E4A">
      <w:r w:rsidRPr="00494E4A">
        <w:t xml:space="preserve">Bei der Raman-Spektroskopie handelt es sich um eine spektroskopische Untersuchung der </w:t>
      </w:r>
      <w:proofErr w:type="spellStart"/>
      <w:r w:rsidRPr="00494E4A">
        <w:t>inelastischen</w:t>
      </w:r>
      <w:proofErr w:type="spellEnd"/>
      <w:r w:rsidRPr="00494E4A">
        <w:t xml:space="preserve"> Streuung von Licht an Molekülen und Festkörpern, somit um eine Untersuchung der Energie-Niveaus, an Hand der Streuungsprozesse am Molekül. Frequenz-Unterschiede entsprechen molekül-charakteristischen Energien von einerseits Schwingungen und Rotationen, andererseits dem Phonon-Prozess und dem Spin-Flip-Prozess.</w:t>
      </w:r>
    </w:p>
    <w:p w:rsidR="00494E4A" w:rsidRPr="00494E4A" w:rsidRDefault="00494E4A" w:rsidP="00494E4A">
      <w:r w:rsidRPr="00494E4A">
        <w:t>An Hand von Frequenz, Intensität, Spektrum und Polarisation des gestreuten Lichts können unterschiedliche Material</w:t>
      </w:r>
      <w:r>
        <w:t>-E</w:t>
      </w:r>
      <w:r w:rsidRPr="00494E4A">
        <w:t xml:space="preserve">igenschaften, wie Kristallinität, Orientierung, Zusammensetzung, Verspannung, Temperatur und Dotierung abgeleitet werden. Auch können Rückschlüsse auf die Bindungskräfte gezogen werden. </w:t>
      </w:r>
    </w:p>
    <w:p w:rsidR="00634D44" w:rsidRDefault="00634D44">
      <w:pPr>
        <w:spacing w:before="0"/>
        <w:jc w:val="left"/>
        <w:rPr>
          <w:b/>
          <w:bCs/>
        </w:rPr>
      </w:pPr>
      <w:r>
        <w:rPr>
          <w:b/>
          <w:bCs/>
        </w:rPr>
        <w:br w:type="page"/>
      </w:r>
    </w:p>
    <w:p w:rsidR="00931B30" w:rsidRPr="000E61E0" w:rsidRDefault="00931B30" w:rsidP="00931B30">
      <w:pPr>
        <w:rPr>
          <w:b/>
          <w:bCs/>
        </w:rPr>
      </w:pPr>
      <w:bookmarkStart w:id="9" w:name="_GoBack"/>
      <w:bookmarkEnd w:id="9"/>
      <w:r w:rsidRPr="000E61E0">
        <w:rPr>
          <w:b/>
          <w:bCs/>
        </w:rPr>
        <w:lastRenderedPageBreak/>
        <w:t>Quellen:</w:t>
      </w:r>
    </w:p>
    <w:p w:rsidR="00931B30" w:rsidRPr="00634D44" w:rsidRDefault="001A7B89" w:rsidP="00F0263F">
      <w:pPr>
        <w:pStyle w:val="AufzhlungStandard"/>
        <w:rPr>
          <w:lang w:val="en-US"/>
        </w:rPr>
      </w:pPr>
      <w:bookmarkStart w:id="10" w:name="_Ref45271803"/>
      <w:proofErr w:type="spellStart"/>
      <w:r w:rsidRPr="00634D44">
        <w:rPr>
          <w:rFonts w:cs="Arial"/>
          <w:lang w:val="en-US"/>
        </w:rPr>
        <w:t>Grasselli</w:t>
      </w:r>
      <w:proofErr w:type="spellEnd"/>
      <w:r w:rsidRPr="00634D44">
        <w:rPr>
          <w:rFonts w:cs="Arial"/>
          <w:lang w:val="en-US"/>
        </w:rPr>
        <w:t xml:space="preserve">, J.G. (1991): Analytical Raman </w:t>
      </w:r>
      <w:proofErr w:type="spellStart"/>
      <w:r w:rsidRPr="00634D44">
        <w:rPr>
          <w:rFonts w:cs="Arial"/>
          <w:lang w:val="en-US"/>
        </w:rPr>
        <w:t>Spectroskopy</w:t>
      </w:r>
      <w:proofErr w:type="spellEnd"/>
      <w:r w:rsidRPr="00634D44">
        <w:rPr>
          <w:rFonts w:cs="Arial"/>
          <w:lang w:val="en-US"/>
        </w:rPr>
        <w:t xml:space="preserve"> (Chemical Analysis); WILEY </w:t>
      </w:r>
      <w:proofErr w:type="spellStart"/>
      <w:r w:rsidRPr="00634D44">
        <w:rPr>
          <w:rFonts w:cs="Arial"/>
          <w:lang w:val="en-US"/>
        </w:rPr>
        <w:t>Interscience</w:t>
      </w:r>
      <w:proofErr w:type="spellEnd"/>
      <w:r w:rsidRPr="00634D44">
        <w:rPr>
          <w:rFonts w:cs="Arial"/>
          <w:lang w:val="en-US"/>
        </w:rPr>
        <w:t>, New York</w:t>
      </w:r>
      <w:bookmarkEnd w:id="10"/>
    </w:p>
    <w:p w:rsidR="001A7B89" w:rsidRPr="00634D44" w:rsidRDefault="001A7B89" w:rsidP="00F0263F">
      <w:pPr>
        <w:pStyle w:val="AufzhlungStandard"/>
        <w:rPr>
          <w:lang w:val="en-US"/>
        </w:rPr>
      </w:pPr>
      <w:bookmarkStart w:id="11" w:name="_Ref45271808"/>
      <w:r w:rsidRPr="00634D44">
        <w:rPr>
          <w:rFonts w:cs="Arial"/>
          <w:lang w:val="en-US"/>
        </w:rPr>
        <w:t>Pelletier, M.J. (1999): Analytical Applications of Raman Spectroscopy; Blackwell Publishing Ltd, Oxford</w:t>
      </w:r>
      <w:bookmarkEnd w:id="11"/>
    </w:p>
    <w:p w:rsidR="001A7B89" w:rsidRPr="001A7B89" w:rsidRDefault="001A7B89" w:rsidP="00F0263F">
      <w:pPr>
        <w:pStyle w:val="AufzhlungStandard"/>
      </w:pPr>
      <w:bookmarkStart w:id="12" w:name="_Ref45272296"/>
      <w:r w:rsidRPr="001A7B89">
        <w:t>verändert nach Reuter, R. (2008): LIDAR - Versuch im Fortgeschrittenenpraktikum, WS 2008/09 (Skript), Abb.3; Arbeitsgruppe Meeresphysik, Universität Oldenburg</w:t>
      </w:r>
      <w:r>
        <w:rPr>
          <w:rFonts w:cs="Arial"/>
        </w:rPr>
        <w:t xml:space="preserve">; </w:t>
      </w:r>
      <w:hyperlink r:id="rId10" w:history="1">
        <w:r>
          <w:rPr>
            <w:rStyle w:val="Hyperlink"/>
            <w:rFonts w:cs="Arial"/>
          </w:rPr>
          <w:t>http://las.physik.uni-oldenburg.de/teaching/FPr_Lidar_Anleitung.htm</w:t>
        </w:r>
      </w:hyperlink>
      <w:r>
        <w:rPr>
          <w:rFonts w:cs="Arial"/>
        </w:rPr>
        <w:t>, 28.05.2010 (</w:t>
      </w:r>
      <w:r w:rsidR="00634D44" w:rsidRPr="00634D44">
        <w:rPr>
          <w:rFonts w:cs="Arial"/>
        </w:rPr>
        <w:t>Quelle verschollen</w:t>
      </w:r>
      <w:r w:rsidRPr="00634D44">
        <w:rPr>
          <w:rFonts w:cs="Arial"/>
        </w:rPr>
        <w:t>, 10.07.2020</w:t>
      </w:r>
      <w:r>
        <w:rPr>
          <w:rFonts w:cs="Arial"/>
        </w:rPr>
        <w:t>)</w:t>
      </w:r>
      <w:bookmarkEnd w:id="12"/>
    </w:p>
    <w:p w:rsidR="001A7B89" w:rsidRPr="001A7B89" w:rsidRDefault="001A7B89" w:rsidP="00F0263F">
      <w:pPr>
        <w:pStyle w:val="AufzhlungStandard"/>
      </w:pPr>
      <w:proofErr w:type="spellStart"/>
      <w:r>
        <w:rPr>
          <w:rFonts w:cs="Arial"/>
        </w:rPr>
        <w:t>Schnepel</w:t>
      </w:r>
      <w:proofErr w:type="spellEnd"/>
      <w:r>
        <w:rPr>
          <w:rFonts w:cs="Arial"/>
        </w:rPr>
        <w:t>, F.M. (2008): Raman-Spektroskopie; In: Physikalische Methoden in der Chemie; Hrsg. Schröder, S. und Rudolph, J.; VCH Verlagsgesellschaft mbH, Weinheim; S. 19-36</w:t>
      </w:r>
    </w:p>
    <w:p w:rsidR="001A7B89" w:rsidRPr="00F0263F" w:rsidRDefault="001A7B89" w:rsidP="00F0263F">
      <w:pPr>
        <w:pStyle w:val="AufzhlungStandard"/>
      </w:pPr>
      <w:r>
        <w:rPr>
          <w:rFonts w:cs="Arial"/>
        </w:rPr>
        <w:t xml:space="preserve">Atkins, P.W. (2001): Physikalische Chemie; 3.Aufl., WILEY-VCH, Weinheim, </w:t>
      </w:r>
      <w:proofErr w:type="spellStart"/>
      <w:r>
        <w:rPr>
          <w:rFonts w:cs="Arial"/>
        </w:rPr>
        <w:t>NewYork</w:t>
      </w:r>
      <w:proofErr w:type="spellEnd"/>
    </w:p>
    <w:sectPr w:rsidR="001A7B89" w:rsidRPr="00F0263F" w:rsidSect="00931B30">
      <w:footerReference w:type="default" r:id="rId11"/>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B89" w:rsidRDefault="001A7B89" w:rsidP="005A7DCE">
      <w:pPr>
        <w:spacing w:before="0"/>
      </w:pPr>
      <w:r>
        <w:separator/>
      </w:r>
    </w:p>
  </w:endnote>
  <w:endnote w:type="continuationSeparator" w:id="0">
    <w:p w:rsidR="001A7B89" w:rsidRDefault="001A7B89"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1A7B89" w:rsidRDefault="001A7B89">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1A7B89" w:rsidRDefault="001A7B89">
        <w:pPr>
          <w:pStyle w:val="Fuzeile"/>
          <w:jc w:val="center"/>
        </w:pPr>
        <w:r>
          <w:fldChar w:fldCharType="begin"/>
        </w:r>
        <w:r>
          <w:instrText>PAGE    \* MERGEFORMAT</w:instrText>
        </w:r>
        <w:r>
          <w:fldChar w:fldCharType="separate"/>
        </w:r>
        <w:r w:rsidR="00634D44">
          <w:rPr>
            <w:noProof/>
          </w:rPr>
          <w:t>3</w:t>
        </w:r>
        <w:r>
          <w:fldChar w:fldCharType="end"/>
        </w:r>
      </w:p>
    </w:sdtContent>
  </w:sdt>
  <w:p w:rsidR="001A7B89" w:rsidRDefault="001A7B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B89" w:rsidRDefault="001A7B89" w:rsidP="005A7DCE">
      <w:pPr>
        <w:spacing w:before="0"/>
      </w:pPr>
      <w:r>
        <w:separator/>
      </w:r>
    </w:p>
  </w:footnote>
  <w:footnote w:type="continuationSeparator" w:id="0">
    <w:p w:rsidR="001A7B89" w:rsidRDefault="001A7B89"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3"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3"/>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0"/>
  </w:num>
  <w:num w:numId="7">
    <w:abstractNumId w:val="6"/>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5"/>
  </w:num>
  <w:num w:numId="20">
    <w:abstractNumId w:val="12"/>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543D"/>
    <w:rsid w:val="001A7B89"/>
    <w:rsid w:val="001D6942"/>
    <w:rsid w:val="002005EF"/>
    <w:rsid w:val="0033663A"/>
    <w:rsid w:val="0036111E"/>
    <w:rsid w:val="00494E4A"/>
    <w:rsid w:val="004D0FAE"/>
    <w:rsid w:val="005633FE"/>
    <w:rsid w:val="0058690D"/>
    <w:rsid w:val="005A7DCE"/>
    <w:rsid w:val="00634D44"/>
    <w:rsid w:val="006C46BC"/>
    <w:rsid w:val="006D1EEB"/>
    <w:rsid w:val="007161D1"/>
    <w:rsid w:val="00783295"/>
    <w:rsid w:val="007B2C80"/>
    <w:rsid w:val="007F18E1"/>
    <w:rsid w:val="008117E4"/>
    <w:rsid w:val="00825BFE"/>
    <w:rsid w:val="00850560"/>
    <w:rsid w:val="00883728"/>
    <w:rsid w:val="008A524D"/>
    <w:rsid w:val="00931B30"/>
    <w:rsid w:val="00945ED7"/>
    <w:rsid w:val="009710A6"/>
    <w:rsid w:val="00A21130"/>
    <w:rsid w:val="00A5383F"/>
    <w:rsid w:val="00AA5678"/>
    <w:rsid w:val="00AA5D66"/>
    <w:rsid w:val="00AB7E4B"/>
    <w:rsid w:val="00AE53F0"/>
    <w:rsid w:val="00AF7672"/>
    <w:rsid w:val="00C47CC6"/>
    <w:rsid w:val="00C6611D"/>
    <w:rsid w:val="00D97908"/>
    <w:rsid w:val="00DB7964"/>
    <w:rsid w:val="00E14DE1"/>
    <w:rsid w:val="00E20AF3"/>
    <w:rsid w:val="00E37534"/>
    <w:rsid w:val="00E46BE8"/>
    <w:rsid w:val="00E54A99"/>
    <w:rsid w:val="00E8473B"/>
    <w:rsid w:val="00F0263F"/>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B370B6"/>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BesuchterLink">
    <w:name w:val="FollowedHyperlink"/>
    <w:basedOn w:val="Absatz-Standardschriftart"/>
    <w:uiPriority w:val="99"/>
    <w:semiHidden/>
    <w:unhideWhenUsed/>
    <w:rsid w:val="001A7B89"/>
    <w:rPr>
      <w:color w:val="0000FF" w:themeColor="followedHyperlink"/>
      <w:u w:val="single"/>
    </w:rPr>
  </w:style>
  <w:style w:type="character" w:styleId="Platzhaltertext">
    <w:name w:val="Placeholder Text"/>
    <w:basedOn w:val="Absatz-Standardschriftart"/>
    <w:uiPriority w:val="99"/>
    <w:semiHidden/>
    <w:rsid w:val="001A7B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830099">
      <w:bodyDiv w:val="1"/>
      <w:marLeft w:val="0"/>
      <w:marRight w:val="0"/>
      <w:marTop w:val="0"/>
      <w:marBottom w:val="0"/>
      <w:divBdr>
        <w:top w:val="none" w:sz="0" w:space="0" w:color="auto"/>
        <w:left w:val="none" w:sz="0" w:space="0" w:color="auto"/>
        <w:bottom w:val="none" w:sz="0" w:space="0" w:color="auto"/>
        <w:right w:val="none" w:sz="0" w:space="0" w:color="auto"/>
      </w:divBdr>
    </w:div>
    <w:div w:id="1617637822">
      <w:bodyDiv w:val="1"/>
      <w:marLeft w:val="0"/>
      <w:marRight w:val="0"/>
      <w:marTop w:val="0"/>
      <w:marBottom w:val="0"/>
      <w:divBdr>
        <w:top w:val="none" w:sz="0" w:space="0" w:color="auto"/>
        <w:left w:val="none" w:sz="0" w:space="0" w:color="auto"/>
        <w:bottom w:val="none" w:sz="0" w:space="0" w:color="auto"/>
        <w:right w:val="none" w:sz="0" w:space="0" w:color="auto"/>
      </w:divBdr>
    </w:div>
    <w:div w:id="1640040094">
      <w:bodyDiv w:val="1"/>
      <w:marLeft w:val="0"/>
      <w:marRight w:val="0"/>
      <w:marTop w:val="0"/>
      <w:marBottom w:val="0"/>
      <w:divBdr>
        <w:top w:val="none" w:sz="0" w:space="0" w:color="auto"/>
        <w:left w:val="none" w:sz="0" w:space="0" w:color="auto"/>
        <w:bottom w:val="none" w:sz="0" w:space="0" w:color="auto"/>
        <w:right w:val="none" w:sz="0" w:space="0" w:color="auto"/>
      </w:divBdr>
    </w:div>
    <w:div w:id="1735663280">
      <w:bodyDiv w:val="1"/>
      <w:marLeft w:val="0"/>
      <w:marRight w:val="0"/>
      <w:marTop w:val="0"/>
      <w:marBottom w:val="0"/>
      <w:divBdr>
        <w:top w:val="none" w:sz="0" w:space="0" w:color="auto"/>
        <w:left w:val="none" w:sz="0" w:space="0" w:color="auto"/>
        <w:bottom w:val="none" w:sz="0" w:space="0" w:color="auto"/>
        <w:right w:val="none" w:sz="0" w:space="0" w:color="auto"/>
      </w:divBdr>
    </w:div>
    <w:div w:id="18561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as.physik.uni-oldenburg.de/teaching/FPr_Lidar_Anleitung.htm" TargetMode="External"/><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3685F-40A9-43E9-B7CF-715620228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4CD6C507.dotm</Template>
  <TotalTime>0</TotalTime>
  <Pages>4</Pages>
  <Words>1148</Words>
  <Characters>7233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2020-07-15T09:23:00Z</cp:lastPrinted>
  <dcterms:created xsi:type="dcterms:W3CDTF">2020-07-10T09:03:00Z</dcterms:created>
  <dcterms:modified xsi:type="dcterms:W3CDTF">2020-07-15T09:23:00Z</dcterms:modified>
</cp:coreProperties>
</file>