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8468A3" w:rsidRDefault="008468A3"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8468A3" w:rsidRDefault="008468A3"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04F01D68" w:rsidR="00AE53F0" w:rsidRPr="005F265D" w:rsidRDefault="00E8473B" w:rsidP="005F265D">
      <w:pPr>
        <w:pStyle w:val="Seminar"/>
      </w:pPr>
      <w:r w:rsidRPr="005F265D">
        <w:t>Seminar</w:t>
      </w:r>
      <w:r w:rsidR="00FD7888" w:rsidRPr="005F265D">
        <w:t xml:space="preserve"> „Übungen im Vortragen –</w:t>
      </w:r>
      <w:r w:rsidR="0029716A" w:rsidRPr="005F265D">
        <w:t xml:space="preserve"> </w:t>
      </w:r>
      <w:r w:rsidR="00480635" w:rsidRPr="005F265D">
        <w:t>AC</w:t>
      </w:r>
      <w:r w:rsidR="00FD7888" w:rsidRPr="005F265D">
        <w:t>“</w:t>
      </w:r>
    </w:p>
    <w:p w14:paraId="61C6F5BC" w14:textId="77A41FFB" w:rsidR="00E8473B" w:rsidRPr="005F265D" w:rsidRDefault="005F265D" w:rsidP="005633FE">
      <w:pPr>
        <w:pStyle w:val="Titel"/>
        <w:rPr>
          <w:sz w:val="44"/>
          <w:szCs w:val="44"/>
        </w:rPr>
      </w:pPr>
      <w:r>
        <w:t>PSE</w:t>
      </w:r>
      <w:r>
        <w:br/>
      </w:r>
      <w:r w:rsidRPr="005F265D">
        <w:rPr>
          <w:sz w:val="44"/>
          <w:szCs w:val="44"/>
        </w:rPr>
        <w:t>Organisation, historische Formen, Schräg-Beziehungen, Unregelmäßigkeiten, Besonderheiten</w:t>
      </w:r>
    </w:p>
    <w:p w14:paraId="28CE20D7" w14:textId="050B79C6" w:rsidR="00E8473B" w:rsidRPr="00517825" w:rsidRDefault="005F265D" w:rsidP="00E8473B">
      <w:pPr>
        <w:pStyle w:val="Autor"/>
        <w:rPr>
          <w:lang w:val="en-US"/>
        </w:rPr>
      </w:pPr>
      <w:r w:rsidRPr="00517825">
        <w:rPr>
          <w:lang w:val="en-US"/>
        </w:rPr>
        <w:t xml:space="preserve">Simone </w:t>
      </w:r>
      <w:proofErr w:type="spellStart"/>
      <w:r w:rsidRPr="00517825">
        <w:rPr>
          <w:lang w:val="en-US"/>
        </w:rPr>
        <w:t>Pöllot</w:t>
      </w:r>
      <w:proofErr w:type="spellEnd"/>
      <w:r w:rsidRPr="00517825">
        <w:rPr>
          <w:lang w:val="en-US"/>
        </w:rPr>
        <w:t xml:space="preserve">, WS 07/08; Andreas </w:t>
      </w:r>
      <w:proofErr w:type="spellStart"/>
      <w:r w:rsidRPr="00517825">
        <w:rPr>
          <w:lang w:val="en-US"/>
        </w:rPr>
        <w:t>Gebauer</w:t>
      </w:r>
      <w:proofErr w:type="spellEnd"/>
      <w:r w:rsidRPr="00517825">
        <w:rPr>
          <w:lang w:val="en-US"/>
        </w:rPr>
        <w:t>, WS 12/13</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0E0A6B60" w14:textId="368DC901" w:rsidR="00663741"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7627800" w:history="1">
            <w:r w:rsidR="00663741" w:rsidRPr="00D66013">
              <w:rPr>
                <w:rStyle w:val="Hyperlink"/>
                <w:noProof/>
              </w:rPr>
              <w:t>1</w:t>
            </w:r>
            <w:r w:rsidR="00663741">
              <w:rPr>
                <w:rFonts w:asciiTheme="minorHAnsi" w:eastAsiaTheme="minorEastAsia" w:hAnsiTheme="minorHAnsi"/>
                <w:noProof/>
                <w:sz w:val="22"/>
                <w:lang w:eastAsia="de-DE"/>
              </w:rPr>
              <w:tab/>
            </w:r>
            <w:r w:rsidR="00663741" w:rsidRPr="00D66013">
              <w:rPr>
                <w:rStyle w:val="Hyperlink"/>
                <w:noProof/>
              </w:rPr>
              <w:t>Historische Formen</w:t>
            </w:r>
            <w:r w:rsidR="00663741">
              <w:rPr>
                <w:noProof/>
                <w:webHidden/>
              </w:rPr>
              <w:tab/>
            </w:r>
            <w:r w:rsidR="00663741">
              <w:rPr>
                <w:noProof/>
                <w:webHidden/>
              </w:rPr>
              <w:fldChar w:fldCharType="begin"/>
            </w:r>
            <w:r w:rsidR="00663741">
              <w:rPr>
                <w:noProof/>
                <w:webHidden/>
              </w:rPr>
              <w:instrText xml:space="preserve"> PAGEREF _Toc57627800 \h </w:instrText>
            </w:r>
            <w:r w:rsidR="00663741">
              <w:rPr>
                <w:noProof/>
                <w:webHidden/>
              </w:rPr>
            </w:r>
            <w:r w:rsidR="00663741">
              <w:rPr>
                <w:noProof/>
                <w:webHidden/>
              </w:rPr>
              <w:fldChar w:fldCharType="separate"/>
            </w:r>
            <w:r w:rsidR="00517825">
              <w:rPr>
                <w:noProof/>
                <w:webHidden/>
              </w:rPr>
              <w:t>1</w:t>
            </w:r>
            <w:r w:rsidR="00663741">
              <w:rPr>
                <w:noProof/>
                <w:webHidden/>
              </w:rPr>
              <w:fldChar w:fldCharType="end"/>
            </w:r>
          </w:hyperlink>
        </w:p>
        <w:p w14:paraId="40C5EF5B" w14:textId="7D9B8138" w:rsidR="00663741" w:rsidRDefault="00517825">
          <w:pPr>
            <w:pStyle w:val="Verzeichnis2"/>
            <w:tabs>
              <w:tab w:val="left" w:pos="880"/>
              <w:tab w:val="right" w:leader="dot" w:pos="9344"/>
            </w:tabs>
            <w:rPr>
              <w:rFonts w:asciiTheme="minorHAnsi" w:eastAsiaTheme="minorEastAsia" w:hAnsiTheme="minorHAnsi"/>
              <w:noProof/>
              <w:sz w:val="22"/>
              <w:lang w:eastAsia="de-DE"/>
            </w:rPr>
          </w:pPr>
          <w:hyperlink w:anchor="_Toc57627801" w:history="1">
            <w:r w:rsidR="00663741" w:rsidRPr="00D66013">
              <w:rPr>
                <w:rStyle w:val="Hyperlink"/>
                <w:noProof/>
              </w:rPr>
              <w:t>1.1</w:t>
            </w:r>
            <w:r w:rsidR="00663741">
              <w:rPr>
                <w:rFonts w:asciiTheme="minorHAnsi" w:eastAsiaTheme="minorEastAsia" w:hAnsiTheme="minorHAnsi"/>
                <w:noProof/>
                <w:sz w:val="22"/>
                <w:lang w:eastAsia="de-DE"/>
              </w:rPr>
              <w:tab/>
            </w:r>
            <w:r w:rsidR="00663741" w:rsidRPr="00D66013">
              <w:rPr>
                <w:rStyle w:val="Hyperlink"/>
                <w:noProof/>
              </w:rPr>
              <w:t>J. W. Döbereiner</w:t>
            </w:r>
            <w:r w:rsidR="00663741">
              <w:rPr>
                <w:noProof/>
                <w:webHidden/>
              </w:rPr>
              <w:tab/>
            </w:r>
            <w:r w:rsidR="00663741">
              <w:rPr>
                <w:noProof/>
                <w:webHidden/>
              </w:rPr>
              <w:fldChar w:fldCharType="begin"/>
            </w:r>
            <w:r w:rsidR="00663741">
              <w:rPr>
                <w:noProof/>
                <w:webHidden/>
              </w:rPr>
              <w:instrText xml:space="preserve"> PAGEREF _Toc57627801 \h </w:instrText>
            </w:r>
            <w:r w:rsidR="00663741">
              <w:rPr>
                <w:noProof/>
                <w:webHidden/>
              </w:rPr>
            </w:r>
            <w:r w:rsidR="00663741">
              <w:rPr>
                <w:noProof/>
                <w:webHidden/>
              </w:rPr>
              <w:fldChar w:fldCharType="separate"/>
            </w:r>
            <w:r>
              <w:rPr>
                <w:noProof/>
                <w:webHidden/>
              </w:rPr>
              <w:t>1</w:t>
            </w:r>
            <w:r w:rsidR="00663741">
              <w:rPr>
                <w:noProof/>
                <w:webHidden/>
              </w:rPr>
              <w:fldChar w:fldCharType="end"/>
            </w:r>
          </w:hyperlink>
        </w:p>
        <w:p w14:paraId="047C59B8" w14:textId="48684863" w:rsidR="00663741" w:rsidRDefault="00517825">
          <w:pPr>
            <w:pStyle w:val="Verzeichnis2"/>
            <w:tabs>
              <w:tab w:val="left" w:pos="880"/>
              <w:tab w:val="right" w:leader="dot" w:pos="9344"/>
            </w:tabs>
            <w:rPr>
              <w:rFonts w:asciiTheme="minorHAnsi" w:eastAsiaTheme="minorEastAsia" w:hAnsiTheme="minorHAnsi"/>
              <w:noProof/>
              <w:sz w:val="22"/>
              <w:lang w:eastAsia="de-DE"/>
            </w:rPr>
          </w:pPr>
          <w:hyperlink w:anchor="_Toc57627802" w:history="1">
            <w:r w:rsidR="00663741" w:rsidRPr="00D66013">
              <w:rPr>
                <w:rStyle w:val="Hyperlink"/>
                <w:noProof/>
              </w:rPr>
              <w:t>1.2</w:t>
            </w:r>
            <w:r w:rsidR="00663741">
              <w:rPr>
                <w:rFonts w:asciiTheme="minorHAnsi" w:eastAsiaTheme="minorEastAsia" w:hAnsiTheme="minorHAnsi"/>
                <w:noProof/>
                <w:sz w:val="22"/>
                <w:lang w:eastAsia="de-DE"/>
              </w:rPr>
              <w:tab/>
            </w:r>
            <w:r w:rsidR="00663741" w:rsidRPr="00D66013">
              <w:rPr>
                <w:rStyle w:val="Hyperlink"/>
                <w:noProof/>
              </w:rPr>
              <w:t>Dimitrij Mendelejew und Lothar Meyer</w:t>
            </w:r>
            <w:r w:rsidR="00663741">
              <w:rPr>
                <w:noProof/>
                <w:webHidden/>
              </w:rPr>
              <w:tab/>
            </w:r>
            <w:r w:rsidR="00663741">
              <w:rPr>
                <w:noProof/>
                <w:webHidden/>
              </w:rPr>
              <w:fldChar w:fldCharType="begin"/>
            </w:r>
            <w:r w:rsidR="00663741">
              <w:rPr>
                <w:noProof/>
                <w:webHidden/>
              </w:rPr>
              <w:instrText xml:space="preserve"> PAGEREF _Toc57627802 \h </w:instrText>
            </w:r>
            <w:r w:rsidR="00663741">
              <w:rPr>
                <w:noProof/>
                <w:webHidden/>
              </w:rPr>
            </w:r>
            <w:r w:rsidR="00663741">
              <w:rPr>
                <w:noProof/>
                <w:webHidden/>
              </w:rPr>
              <w:fldChar w:fldCharType="separate"/>
            </w:r>
            <w:r>
              <w:rPr>
                <w:noProof/>
                <w:webHidden/>
              </w:rPr>
              <w:t>3</w:t>
            </w:r>
            <w:r w:rsidR="00663741">
              <w:rPr>
                <w:noProof/>
                <w:webHidden/>
              </w:rPr>
              <w:fldChar w:fldCharType="end"/>
            </w:r>
          </w:hyperlink>
        </w:p>
        <w:p w14:paraId="318A8B49" w14:textId="1DB8BCF8" w:rsidR="00663741" w:rsidRDefault="00517825">
          <w:pPr>
            <w:pStyle w:val="Verzeichnis1"/>
            <w:tabs>
              <w:tab w:val="left" w:pos="480"/>
              <w:tab w:val="right" w:leader="dot" w:pos="9344"/>
            </w:tabs>
            <w:rPr>
              <w:rFonts w:asciiTheme="minorHAnsi" w:eastAsiaTheme="minorEastAsia" w:hAnsiTheme="minorHAnsi"/>
              <w:noProof/>
              <w:sz w:val="22"/>
              <w:lang w:eastAsia="de-DE"/>
            </w:rPr>
          </w:pPr>
          <w:hyperlink w:anchor="_Toc57627803" w:history="1">
            <w:r w:rsidR="00663741" w:rsidRPr="00D66013">
              <w:rPr>
                <w:rStyle w:val="Hyperlink"/>
                <w:noProof/>
              </w:rPr>
              <w:t>2</w:t>
            </w:r>
            <w:r w:rsidR="00663741">
              <w:rPr>
                <w:rFonts w:asciiTheme="minorHAnsi" w:eastAsiaTheme="minorEastAsia" w:hAnsiTheme="minorHAnsi"/>
                <w:noProof/>
                <w:sz w:val="22"/>
                <w:lang w:eastAsia="de-DE"/>
              </w:rPr>
              <w:tab/>
            </w:r>
            <w:r w:rsidR="00663741" w:rsidRPr="00D66013">
              <w:rPr>
                <w:rStyle w:val="Hyperlink"/>
                <w:noProof/>
              </w:rPr>
              <w:t>Unregelmäßigkeiten</w:t>
            </w:r>
            <w:r w:rsidR="00663741">
              <w:rPr>
                <w:noProof/>
                <w:webHidden/>
              </w:rPr>
              <w:tab/>
            </w:r>
            <w:r w:rsidR="00663741">
              <w:rPr>
                <w:noProof/>
                <w:webHidden/>
              </w:rPr>
              <w:fldChar w:fldCharType="begin"/>
            </w:r>
            <w:r w:rsidR="00663741">
              <w:rPr>
                <w:noProof/>
                <w:webHidden/>
              </w:rPr>
              <w:instrText xml:space="preserve"> PAGEREF _Toc57627803 \h </w:instrText>
            </w:r>
            <w:r w:rsidR="00663741">
              <w:rPr>
                <w:noProof/>
                <w:webHidden/>
              </w:rPr>
            </w:r>
            <w:r w:rsidR="00663741">
              <w:rPr>
                <w:noProof/>
                <w:webHidden/>
              </w:rPr>
              <w:fldChar w:fldCharType="separate"/>
            </w:r>
            <w:r>
              <w:rPr>
                <w:noProof/>
                <w:webHidden/>
              </w:rPr>
              <w:t>4</w:t>
            </w:r>
            <w:r w:rsidR="00663741">
              <w:rPr>
                <w:noProof/>
                <w:webHidden/>
              </w:rPr>
              <w:fldChar w:fldCharType="end"/>
            </w:r>
          </w:hyperlink>
        </w:p>
        <w:p w14:paraId="2B0E4623" w14:textId="62B71740" w:rsidR="00663741" w:rsidRDefault="00517825">
          <w:pPr>
            <w:pStyle w:val="Verzeichnis2"/>
            <w:tabs>
              <w:tab w:val="left" w:pos="880"/>
              <w:tab w:val="right" w:leader="dot" w:pos="9344"/>
            </w:tabs>
            <w:rPr>
              <w:rFonts w:asciiTheme="minorHAnsi" w:eastAsiaTheme="minorEastAsia" w:hAnsiTheme="minorHAnsi"/>
              <w:noProof/>
              <w:sz w:val="22"/>
              <w:lang w:eastAsia="de-DE"/>
            </w:rPr>
          </w:pPr>
          <w:hyperlink w:anchor="_Toc57627804" w:history="1">
            <w:r w:rsidR="00663741" w:rsidRPr="00D66013">
              <w:rPr>
                <w:rStyle w:val="Hyperlink"/>
                <w:noProof/>
              </w:rPr>
              <w:t>2.1</w:t>
            </w:r>
            <w:r w:rsidR="00663741">
              <w:rPr>
                <w:rFonts w:asciiTheme="minorHAnsi" w:eastAsiaTheme="minorEastAsia" w:hAnsiTheme="minorHAnsi"/>
                <w:noProof/>
                <w:sz w:val="22"/>
                <w:lang w:eastAsia="de-DE"/>
              </w:rPr>
              <w:tab/>
            </w:r>
            <w:r w:rsidR="00663741" w:rsidRPr="00D66013">
              <w:rPr>
                <w:rStyle w:val="Hyperlink"/>
                <w:noProof/>
              </w:rPr>
              <w:t>Kopf-Elemente</w:t>
            </w:r>
            <w:r w:rsidR="00663741">
              <w:rPr>
                <w:noProof/>
                <w:webHidden/>
              </w:rPr>
              <w:tab/>
            </w:r>
            <w:r w:rsidR="00663741">
              <w:rPr>
                <w:noProof/>
                <w:webHidden/>
              </w:rPr>
              <w:fldChar w:fldCharType="begin"/>
            </w:r>
            <w:r w:rsidR="00663741">
              <w:rPr>
                <w:noProof/>
                <w:webHidden/>
              </w:rPr>
              <w:instrText xml:space="preserve"> PAGEREF _Toc57627804 \h </w:instrText>
            </w:r>
            <w:r w:rsidR="00663741">
              <w:rPr>
                <w:noProof/>
                <w:webHidden/>
              </w:rPr>
            </w:r>
            <w:r w:rsidR="00663741">
              <w:rPr>
                <w:noProof/>
                <w:webHidden/>
              </w:rPr>
              <w:fldChar w:fldCharType="separate"/>
            </w:r>
            <w:r>
              <w:rPr>
                <w:noProof/>
                <w:webHidden/>
              </w:rPr>
              <w:t>4</w:t>
            </w:r>
            <w:r w:rsidR="00663741">
              <w:rPr>
                <w:noProof/>
                <w:webHidden/>
              </w:rPr>
              <w:fldChar w:fldCharType="end"/>
            </w:r>
          </w:hyperlink>
        </w:p>
        <w:p w14:paraId="5DA585A7" w14:textId="1DDEBE59" w:rsidR="00663741" w:rsidRDefault="00517825">
          <w:pPr>
            <w:pStyle w:val="Verzeichnis2"/>
            <w:tabs>
              <w:tab w:val="left" w:pos="880"/>
              <w:tab w:val="right" w:leader="dot" w:pos="9344"/>
            </w:tabs>
            <w:rPr>
              <w:rFonts w:asciiTheme="minorHAnsi" w:eastAsiaTheme="minorEastAsia" w:hAnsiTheme="minorHAnsi"/>
              <w:noProof/>
              <w:sz w:val="22"/>
              <w:lang w:eastAsia="de-DE"/>
            </w:rPr>
          </w:pPr>
          <w:hyperlink w:anchor="_Toc57627805" w:history="1">
            <w:r w:rsidR="00663741" w:rsidRPr="00D66013">
              <w:rPr>
                <w:rStyle w:val="Hyperlink"/>
                <w:noProof/>
              </w:rPr>
              <w:t>2.2</w:t>
            </w:r>
            <w:r w:rsidR="00663741">
              <w:rPr>
                <w:rFonts w:asciiTheme="minorHAnsi" w:eastAsiaTheme="minorEastAsia" w:hAnsiTheme="minorHAnsi"/>
                <w:noProof/>
                <w:sz w:val="22"/>
                <w:lang w:eastAsia="de-DE"/>
              </w:rPr>
              <w:tab/>
            </w:r>
            <w:r w:rsidR="00663741" w:rsidRPr="00D66013">
              <w:rPr>
                <w:rStyle w:val="Hyperlink"/>
                <w:noProof/>
              </w:rPr>
              <w:t>Eigenschaftsverlauf</w:t>
            </w:r>
            <w:r w:rsidR="00663741">
              <w:rPr>
                <w:noProof/>
                <w:webHidden/>
              </w:rPr>
              <w:tab/>
            </w:r>
            <w:r w:rsidR="00663741">
              <w:rPr>
                <w:noProof/>
                <w:webHidden/>
              </w:rPr>
              <w:fldChar w:fldCharType="begin"/>
            </w:r>
            <w:r w:rsidR="00663741">
              <w:rPr>
                <w:noProof/>
                <w:webHidden/>
              </w:rPr>
              <w:instrText xml:space="preserve"> PAGEREF _Toc57627805 \h </w:instrText>
            </w:r>
            <w:r w:rsidR="00663741">
              <w:rPr>
                <w:noProof/>
                <w:webHidden/>
              </w:rPr>
            </w:r>
            <w:r w:rsidR="00663741">
              <w:rPr>
                <w:noProof/>
                <w:webHidden/>
              </w:rPr>
              <w:fldChar w:fldCharType="separate"/>
            </w:r>
            <w:r>
              <w:rPr>
                <w:noProof/>
                <w:webHidden/>
              </w:rPr>
              <w:t>6</w:t>
            </w:r>
            <w:r w:rsidR="00663741">
              <w:rPr>
                <w:noProof/>
                <w:webHidden/>
              </w:rPr>
              <w:fldChar w:fldCharType="end"/>
            </w:r>
          </w:hyperlink>
        </w:p>
        <w:p w14:paraId="320548D0" w14:textId="7C8742AF" w:rsidR="00663741" w:rsidRDefault="00517825">
          <w:pPr>
            <w:pStyle w:val="Verzeichnis1"/>
            <w:tabs>
              <w:tab w:val="left" w:pos="480"/>
              <w:tab w:val="right" w:leader="dot" w:pos="9344"/>
            </w:tabs>
            <w:rPr>
              <w:rFonts w:asciiTheme="minorHAnsi" w:eastAsiaTheme="minorEastAsia" w:hAnsiTheme="minorHAnsi"/>
              <w:noProof/>
              <w:sz w:val="22"/>
              <w:lang w:eastAsia="de-DE"/>
            </w:rPr>
          </w:pPr>
          <w:hyperlink w:anchor="_Toc57627806" w:history="1">
            <w:r w:rsidR="00663741" w:rsidRPr="00D66013">
              <w:rPr>
                <w:rStyle w:val="Hyperlink"/>
                <w:noProof/>
              </w:rPr>
              <w:t>3</w:t>
            </w:r>
            <w:r w:rsidR="00663741">
              <w:rPr>
                <w:rFonts w:asciiTheme="minorHAnsi" w:eastAsiaTheme="minorEastAsia" w:hAnsiTheme="minorHAnsi"/>
                <w:noProof/>
                <w:sz w:val="22"/>
                <w:lang w:eastAsia="de-DE"/>
              </w:rPr>
              <w:tab/>
            </w:r>
            <w:r w:rsidR="00663741" w:rsidRPr="00D66013">
              <w:rPr>
                <w:rStyle w:val="Hyperlink"/>
                <w:noProof/>
              </w:rPr>
              <w:t>Schräg-Beziehungen</w:t>
            </w:r>
            <w:r w:rsidR="00663741">
              <w:rPr>
                <w:noProof/>
                <w:webHidden/>
              </w:rPr>
              <w:tab/>
            </w:r>
            <w:r w:rsidR="00663741">
              <w:rPr>
                <w:noProof/>
                <w:webHidden/>
              </w:rPr>
              <w:fldChar w:fldCharType="begin"/>
            </w:r>
            <w:r w:rsidR="00663741">
              <w:rPr>
                <w:noProof/>
                <w:webHidden/>
              </w:rPr>
              <w:instrText xml:space="preserve"> PAGEREF _Toc57627806 \h </w:instrText>
            </w:r>
            <w:r w:rsidR="00663741">
              <w:rPr>
                <w:noProof/>
                <w:webHidden/>
              </w:rPr>
            </w:r>
            <w:r w:rsidR="00663741">
              <w:rPr>
                <w:noProof/>
                <w:webHidden/>
              </w:rPr>
              <w:fldChar w:fldCharType="separate"/>
            </w:r>
            <w:r>
              <w:rPr>
                <w:noProof/>
                <w:webHidden/>
              </w:rPr>
              <w:t>6</w:t>
            </w:r>
            <w:r w:rsidR="00663741">
              <w:rPr>
                <w:noProof/>
                <w:webHidden/>
              </w:rPr>
              <w:fldChar w:fldCharType="end"/>
            </w:r>
          </w:hyperlink>
        </w:p>
        <w:p w14:paraId="5AC765BB" w14:textId="0FC711AE" w:rsidR="009B4835" w:rsidRDefault="009B4835">
          <w:r>
            <w:rPr>
              <w:b/>
              <w:bCs/>
            </w:rPr>
            <w:fldChar w:fldCharType="end"/>
          </w:r>
        </w:p>
      </w:sdtContent>
    </w:sdt>
    <w:p w14:paraId="0E877E49" w14:textId="2F2DAC4A" w:rsidR="005F265D" w:rsidRPr="005F265D" w:rsidRDefault="00FD7888" w:rsidP="007E0C9F">
      <w:pPr>
        <w:pStyle w:val="EinstiegAbschluss"/>
      </w:pPr>
      <w:bookmarkStart w:id="0" w:name="_Überschrift_1"/>
      <w:bookmarkEnd w:id="0"/>
      <w:r w:rsidRPr="0029716A">
        <w:rPr>
          <w:rStyle w:val="Fett"/>
        </w:rPr>
        <w:t>Einstieg</w:t>
      </w:r>
      <w:r>
        <w:t>:</w:t>
      </w:r>
      <w:r w:rsidR="0029716A">
        <w:t xml:space="preserve"> </w:t>
      </w:r>
      <w:r w:rsidR="005F265D" w:rsidRPr="00517825">
        <w:rPr>
          <w:rFonts w:cs="Arial"/>
        </w:rPr>
        <w:t>Mit der zunehmenden Anzahl bekannter chemischer Elemente zu Beginn des 19. Jahrhunderts stellte sich ein grundlegendes Problem:</w:t>
      </w:r>
      <w:r w:rsidR="00517825" w:rsidRPr="00517825">
        <w:rPr>
          <w:rFonts w:cs="Arial"/>
        </w:rPr>
        <w:t xml:space="preserve"> </w:t>
      </w:r>
      <w:r w:rsidR="005F265D" w:rsidRPr="00517825">
        <w:rPr>
          <w:rFonts w:cs="Arial"/>
        </w:rPr>
        <w:t>Wie sollte diese Vielfalt der Elemente und ihrer Verbindungen sinnvoll angeordnet werden?</w:t>
      </w:r>
    </w:p>
    <w:p w14:paraId="06CE8F08" w14:textId="3F535235" w:rsidR="00480635" w:rsidRPr="005F265D" w:rsidRDefault="005F265D" w:rsidP="00480635">
      <w:pPr>
        <w:pStyle w:val="EinstiegAbschluss"/>
      </w:pPr>
      <w:r>
        <w:rPr>
          <w:rFonts w:cs="Arial"/>
        </w:rPr>
        <w:t>Und auch heute noch stehen Referendare und engagierte Chemie-Lehrer vor dem Problem, die Chemie-Sammlung einer Schule zu sortieren. Ziel sollte eine logische und ökonomische Einordnung sein; einen sinnvollen Ansatz bietet dabei die Einordnung der Elemente nach chemischen Eigenschaften.</w:t>
      </w:r>
    </w:p>
    <w:p w14:paraId="7A859B9C" w14:textId="26712D4D" w:rsidR="005F265D" w:rsidRDefault="005F265D" w:rsidP="005F265D">
      <w:pPr>
        <w:pStyle w:val="Bilder"/>
      </w:pPr>
      <w:r>
        <w:rPr>
          <w:lang w:eastAsia="de-DE"/>
        </w:rPr>
        <w:drawing>
          <wp:inline distT="0" distB="0" distL="0" distR="0" wp14:anchorId="5490A366" wp14:editId="050BDF9B">
            <wp:extent cx="2405172"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5172" cy="1800000"/>
                    </a:xfrm>
                    <a:prstGeom prst="rect">
                      <a:avLst/>
                    </a:prstGeom>
                    <a:noFill/>
                    <a:ln>
                      <a:noFill/>
                    </a:ln>
                  </pic:spPr>
                </pic:pic>
              </a:graphicData>
            </a:graphic>
          </wp:inline>
        </w:drawing>
      </w:r>
    </w:p>
    <w:p w14:paraId="5EE39972" w14:textId="29F2BB37" w:rsidR="005F265D" w:rsidRPr="0029716A" w:rsidRDefault="005F265D" w:rsidP="005F265D">
      <w:pPr>
        <w:pStyle w:val="Beschriftung"/>
      </w:pPr>
      <w:r>
        <w:t xml:space="preserve">Abb. </w:t>
      </w:r>
      <w:r w:rsidR="00517825">
        <w:fldChar w:fldCharType="begin"/>
      </w:r>
      <w:r w:rsidR="00517825">
        <w:instrText xml:space="preserve"> SEQ Abb. \* ARABIC </w:instrText>
      </w:r>
      <w:r w:rsidR="00517825">
        <w:fldChar w:fldCharType="separate"/>
      </w:r>
      <w:r w:rsidR="00517825">
        <w:rPr>
          <w:noProof/>
        </w:rPr>
        <w:t>1</w:t>
      </w:r>
      <w:r w:rsidR="00517825">
        <w:rPr>
          <w:noProof/>
        </w:rPr>
        <w:fldChar w:fldCharType="end"/>
      </w:r>
      <w:r>
        <w:t>: So sollte eine Chemie-Sammlung natürlich nicht aussehen… [</w:t>
      </w:r>
      <w:r>
        <w:fldChar w:fldCharType="begin"/>
      </w:r>
      <w:r>
        <w:instrText xml:space="preserve"> REF _Ref57624872 \r \h </w:instrText>
      </w:r>
      <w:r>
        <w:fldChar w:fldCharType="separate"/>
      </w:r>
      <w:r w:rsidR="00517825">
        <w:t>1</w:t>
      </w:r>
      <w:r>
        <w:fldChar w:fldCharType="end"/>
      </w:r>
      <w:r>
        <w:t>]</w:t>
      </w:r>
    </w:p>
    <w:p w14:paraId="3D51DEDA" w14:textId="38083928" w:rsidR="00E8473B" w:rsidRDefault="005F265D" w:rsidP="008A524D">
      <w:pPr>
        <w:pStyle w:val="berschrift1"/>
      </w:pPr>
      <w:bookmarkStart w:id="1" w:name="_Toc57627800"/>
      <w:r>
        <w:lastRenderedPageBreak/>
        <w:t>Historische Formen</w:t>
      </w:r>
      <w:bookmarkEnd w:id="1"/>
    </w:p>
    <w:p w14:paraId="2E857D90" w14:textId="05456E55" w:rsidR="005F265D" w:rsidRDefault="005F265D" w:rsidP="005F265D">
      <w:pPr>
        <w:pStyle w:val="berschrift2"/>
      </w:pPr>
      <w:bookmarkStart w:id="2" w:name="_Toc57627801"/>
      <w:r>
        <w:t>J. W. Döbereiner</w:t>
      </w:r>
      <w:bookmarkEnd w:id="2"/>
    </w:p>
    <w:p w14:paraId="53A66D9F" w14:textId="45450CAE" w:rsidR="005F265D" w:rsidRDefault="005F265D" w:rsidP="005F265D">
      <w:pPr>
        <w:rPr>
          <w:rFonts w:cs="Arial"/>
        </w:rPr>
      </w:pPr>
      <w:r>
        <w:rPr>
          <w:rFonts w:cs="Arial"/>
        </w:rPr>
        <w:t>Der erste Versuch einer Ordnung von Elementen rührt von J. W. Döbereiner. Zwischen 1817 und 1829 veröffentlichte er Vergleiche über die Eigenschaften von Element-Gruppen, die er Triaden nannte (z. B. Calcium-Strontium-Barium, Schwefel-Selen-Tellur, Chlor-Brom-Iod). Die Elemente jeder Triade sind sich in ihren Eigenschaften ähnlich und die relative Atom-Masse des jeweils zweiten Elements ist ungefähr der Mittelwert aus den Atom-Massen der beiden anderen. Hier wurde zum ersten Mal der Gedanke eines Zusammenhangs zwischen den Eigenschaften und der relativen Atom-Massen eingeführt.</w:t>
      </w:r>
    </w:p>
    <w:p w14:paraId="05044981" w14:textId="77777777" w:rsidR="005F265D" w:rsidRDefault="005F265D" w:rsidP="005F265D">
      <w:pPr>
        <w:rPr>
          <w:rFonts w:cs="Arial"/>
        </w:rPr>
      </w:pPr>
    </w:p>
    <w:p w14:paraId="398308A7" w14:textId="77777777" w:rsidR="00F80211" w:rsidRDefault="00F80211" w:rsidP="005F265D">
      <w:pPr>
        <w:pStyle w:val="Bilder"/>
        <w:spacing w:before="0"/>
        <w:sectPr w:rsidR="00F80211" w:rsidSect="005F265D">
          <w:footerReference w:type="default" r:id="rId10"/>
          <w:type w:val="continuous"/>
          <w:pgSz w:w="11906" w:h="16838"/>
          <w:pgMar w:top="851" w:right="1134" w:bottom="851" w:left="1418" w:header="0" w:footer="0" w:gutter="0"/>
          <w:cols w:space="708"/>
          <w:titlePg/>
          <w:docGrid w:linePitch="360"/>
        </w:sectPr>
      </w:pPr>
    </w:p>
    <w:p w14:paraId="394D1D8C" w14:textId="616D4F2B" w:rsidR="005F265D" w:rsidRDefault="005F265D" w:rsidP="005F265D">
      <w:pPr>
        <w:pStyle w:val="Bilder"/>
        <w:spacing w:before="0"/>
      </w:pPr>
      <w:r>
        <w:rPr>
          <w:lang w:eastAsia="de-DE"/>
        </w:rPr>
        <w:lastRenderedPageBreak/>
        <w:drawing>
          <wp:inline distT="0" distB="0" distL="0" distR="0" wp14:anchorId="28D63217" wp14:editId="2DD5B212">
            <wp:extent cx="1428520" cy="18000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520" cy="1800000"/>
                    </a:xfrm>
                    <a:prstGeom prst="rect">
                      <a:avLst/>
                    </a:prstGeom>
                    <a:noFill/>
                    <a:ln>
                      <a:noFill/>
                    </a:ln>
                  </pic:spPr>
                </pic:pic>
              </a:graphicData>
            </a:graphic>
          </wp:inline>
        </w:drawing>
      </w:r>
    </w:p>
    <w:p w14:paraId="4746DD60" w14:textId="798216F8" w:rsidR="005F265D" w:rsidRDefault="005F265D" w:rsidP="005F265D">
      <w:pPr>
        <w:pStyle w:val="Beschriftung"/>
      </w:pPr>
      <w:r>
        <w:t xml:space="preserve">Abb. </w:t>
      </w:r>
      <w:r w:rsidR="00517825">
        <w:fldChar w:fldCharType="begin"/>
      </w:r>
      <w:r w:rsidR="00517825">
        <w:instrText xml:space="preserve"> SEQ Abb. \* ARABIC </w:instrText>
      </w:r>
      <w:r w:rsidR="00517825">
        <w:fldChar w:fldCharType="separate"/>
      </w:r>
      <w:r w:rsidR="00517825">
        <w:rPr>
          <w:noProof/>
        </w:rPr>
        <w:t>2</w:t>
      </w:r>
      <w:r w:rsidR="00517825">
        <w:rPr>
          <w:noProof/>
        </w:rPr>
        <w:fldChar w:fldCharType="end"/>
      </w:r>
      <w:r>
        <w:t>: J. W. </w:t>
      </w:r>
      <w:proofErr w:type="spellStart"/>
      <w:r>
        <w:t>Döbereiner</w:t>
      </w:r>
      <w:proofErr w:type="spellEnd"/>
      <w:r>
        <w:t xml:space="preserve"> [</w:t>
      </w:r>
      <w:r>
        <w:fldChar w:fldCharType="begin"/>
      </w:r>
      <w:r>
        <w:instrText xml:space="preserve"> REF _Ref57624994 \r \h </w:instrText>
      </w:r>
      <w:r>
        <w:fldChar w:fldCharType="separate"/>
      </w:r>
      <w:r w:rsidR="00517825">
        <w:t>2</w:t>
      </w:r>
      <w:r>
        <w:fldChar w:fldCharType="end"/>
      </w:r>
      <w:r>
        <w:t>]</w:t>
      </w:r>
    </w:p>
    <w:p w14:paraId="6FF9D943" w14:textId="527FB593" w:rsidR="005F265D" w:rsidRDefault="005F265D" w:rsidP="00F80211">
      <w:pPr>
        <w:pStyle w:val="Bilder"/>
        <w:spacing w:before="480"/>
      </w:pPr>
      <w:r>
        <w:rPr>
          <w:lang w:eastAsia="de-DE"/>
        </w:rPr>
        <w:lastRenderedPageBreak/>
        <w:drawing>
          <wp:inline distT="0" distB="0" distL="0" distR="0" wp14:anchorId="163BD2CF" wp14:editId="1D649F85">
            <wp:extent cx="3166298"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6298" cy="1440000"/>
                    </a:xfrm>
                    <a:prstGeom prst="rect">
                      <a:avLst/>
                    </a:prstGeom>
                    <a:noFill/>
                    <a:ln>
                      <a:noFill/>
                    </a:ln>
                  </pic:spPr>
                </pic:pic>
              </a:graphicData>
            </a:graphic>
          </wp:inline>
        </w:drawing>
      </w:r>
    </w:p>
    <w:p w14:paraId="515BDD04" w14:textId="6FDE5039" w:rsidR="005F265D" w:rsidRDefault="005F265D" w:rsidP="00F80211">
      <w:pPr>
        <w:pStyle w:val="Beschriftung"/>
      </w:pPr>
      <w:r>
        <w:t xml:space="preserve">Abb. </w:t>
      </w:r>
      <w:r w:rsidR="00517825">
        <w:fldChar w:fldCharType="begin"/>
      </w:r>
      <w:r w:rsidR="00517825">
        <w:instrText xml:space="preserve"> SEQ Abb. \* ARABIC </w:instrText>
      </w:r>
      <w:r w:rsidR="00517825">
        <w:fldChar w:fldCharType="separate"/>
      </w:r>
      <w:r w:rsidR="00517825">
        <w:rPr>
          <w:noProof/>
        </w:rPr>
        <w:t>3</w:t>
      </w:r>
      <w:r w:rsidR="00517825">
        <w:rPr>
          <w:noProof/>
        </w:rPr>
        <w:fldChar w:fldCharType="end"/>
      </w:r>
      <w:r>
        <w:t>: Triaden-Regel [</w:t>
      </w:r>
      <w:r>
        <w:fldChar w:fldCharType="begin"/>
      </w:r>
      <w:r>
        <w:instrText xml:space="preserve"> REF _Ref57625001 \r \h </w:instrText>
      </w:r>
      <w:r>
        <w:fldChar w:fldCharType="separate"/>
      </w:r>
      <w:r w:rsidR="00517825">
        <w:t>3</w:t>
      </w:r>
      <w:r>
        <w:fldChar w:fldCharType="end"/>
      </w:r>
      <w:r>
        <w:t>]John A. R. </w:t>
      </w:r>
      <w:proofErr w:type="spellStart"/>
      <w:r>
        <w:t>Newlands</w:t>
      </w:r>
      <w:proofErr w:type="spellEnd"/>
    </w:p>
    <w:p w14:paraId="70FDB6A6" w14:textId="77777777" w:rsidR="00F80211" w:rsidRDefault="00F80211" w:rsidP="005F265D">
      <w:pPr>
        <w:rPr>
          <w:rFonts w:cs="Arial"/>
        </w:rPr>
        <w:sectPr w:rsidR="00F80211" w:rsidSect="00F80211">
          <w:type w:val="continuous"/>
          <w:pgSz w:w="11906" w:h="16838"/>
          <w:pgMar w:top="851" w:right="1134" w:bottom="851" w:left="1418" w:header="0" w:footer="0" w:gutter="0"/>
          <w:cols w:num="2" w:space="723" w:equalWidth="0">
            <w:col w:w="2552" w:space="723"/>
            <w:col w:w="6079"/>
          </w:cols>
          <w:titlePg/>
          <w:docGrid w:linePitch="360"/>
        </w:sectPr>
      </w:pPr>
    </w:p>
    <w:p w14:paraId="365DAF6F" w14:textId="72EFB4F3" w:rsidR="005F265D" w:rsidRDefault="005F265D" w:rsidP="005F265D">
      <w:pPr>
        <w:rPr>
          <w:rFonts w:cs="Arial"/>
        </w:rPr>
      </w:pPr>
      <w:r>
        <w:rPr>
          <w:rFonts w:cs="Arial"/>
        </w:rPr>
        <w:lastRenderedPageBreak/>
        <w:t>Eine Weiter-Entwicklung dieses Gedankens war erst nach Erweiterung der Kenntnis der relativen Atom-Massen möglich. So schlug erst 1864 der englische Chemiker John A. R. </w:t>
      </w:r>
      <w:proofErr w:type="spellStart"/>
      <w:r>
        <w:rPr>
          <w:rFonts w:cs="Arial"/>
        </w:rPr>
        <w:t>Newlands</w:t>
      </w:r>
      <w:proofErr w:type="spellEnd"/>
      <w:r>
        <w:rPr>
          <w:rFonts w:cs="Arial"/>
        </w:rPr>
        <w:t xml:space="preserve"> das Oktaven-Gesetz vor. Er fand heraus, dass wenn man die Elemente nach steigender relativer Atom-Masse ordnet, ist das achte Element dem ersten ähnlich, das neunte dem zweiten usw. Weil die tatsächlichen Verhältnisse damals jedoch komplizierter erschienen, wirkte das Oktaven-Gesetz gekünstelt und wurde zunächst nicht ernst genommen.</w:t>
      </w:r>
    </w:p>
    <w:p w14:paraId="09E84EA2" w14:textId="301D452A" w:rsidR="005F265D" w:rsidRDefault="005F265D" w:rsidP="005F265D">
      <w:pPr>
        <w:rPr>
          <w:rFonts w:cs="Arial"/>
        </w:rPr>
      </w:pPr>
    </w:p>
    <w:p w14:paraId="1D16C72A" w14:textId="77777777" w:rsidR="00F80211" w:rsidRDefault="00F80211" w:rsidP="00F80211">
      <w:pPr>
        <w:pStyle w:val="Bilder"/>
        <w:sectPr w:rsidR="00F80211" w:rsidSect="005F265D">
          <w:type w:val="continuous"/>
          <w:pgSz w:w="11906" w:h="16838"/>
          <w:pgMar w:top="851" w:right="1134" w:bottom="851" w:left="1418" w:header="0" w:footer="0" w:gutter="0"/>
          <w:cols w:space="708"/>
          <w:titlePg/>
          <w:docGrid w:linePitch="360"/>
        </w:sectPr>
      </w:pPr>
    </w:p>
    <w:p w14:paraId="6DF32B74" w14:textId="1170526D" w:rsidR="005F265D" w:rsidRDefault="005F265D" w:rsidP="00F80211">
      <w:pPr>
        <w:pStyle w:val="Bilder"/>
        <w:spacing w:before="60"/>
      </w:pPr>
      <w:r>
        <w:rPr>
          <w:lang w:eastAsia="de-DE"/>
        </w:rPr>
        <w:lastRenderedPageBreak/>
        <w:drawing>
          <wp:inline distT="0" distB="0" distL="0" distR="0" wp14:anchorId="1F1ABB0F" wp14:editId="1D510549">
            <wp:extent cx="1333748" cy="180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748" cy="1800000"/>
                    </a:xfrm>
                    <a:prstGeom prst="rect">
                      <a:avLst/>
                    </a:prstGeom>
                    <a:noFill/>
                    <a:ln>
                      <a:noFill/>
                    </a:ln>
                  </pic:spPr>
                </pic:pic>
              </a:graphicData>
            </a:graphic>
          </wp:inline>
        </w:drawing>
      </w:r>
    </w:p>
    <w:p w14:paraId="2474EBCD" w14:textId="1EAF3AEB" w:rsidR="00F80211" w:rsidRPr="00517825" w:rsidRDefault="00F80211" w:rsidP="00F80211">
      <w:pPr>
        <w:pStyle w:val="Beschriftung"/>
        <w:rPr>
          <w:lang w:val="en-US"/>
        </w:rPr>
      </w:pPr>
      <w:r w:rsidRPr="00517825">
        <w:rPr>
          <w:lang w:val="en-US"/>
        </w:rPr>
        <w:t xml:space="preserve">Abb. </w:t>
      </w:r>
      <w:r w:rsidR="00517825">
        <w:fldChar w:fldCharType="begin"/>
      </w:r>
      <w:r w:rsidR="00517825" w:rsidRPr="00517825">
        <w:rPr>
          <w:lang w:val="en-US"/>
        </w:rPr>
        <w:instrText xml:space="preserve"> SEQ Abb. \* ARABIC </w:instrText>
      </w:r>
      <w:r w:rsidR="00517825">
        <w:fldChar w:fldCharType="separate"/>
      </w:r>
      <w:r w:rsidR="00517825">
        <w:rPr>
          <w:noProof/>
          <w:lang w:val="en-US"/>
        </w:rPr>
        <w:t>4</w:t>
      </w:r>
      <w:r w:rsidR="00517825">
        <w:rPr>
          <w:noProof/>
        </w:rPr>
        <w:fldChar w:fldCharType="end"/>
      </w:r>
      <w:r w:rsidRPr="00517825">
        <w:rPr>
          <w:lang w:val="en-US"/>
        </w:rPr>
        <w:t>: John A. R. Newlands [</w:t>
      </w:r>
      <w:r>
        <w:fldChar w:fldCharType="begin"/>
      </w:r>
      <w:r w:rsidRPr="00517825">
        <w:rPr>
          <w:lang w:val="en-US"/>
        </w:rPr>
        <w:instrText xml:space="preserve"> REF _Ref57625212 \r \h </w:instrText>
      </w:r>
      <w:r>
        <w:fldChar w:fldCharType="separate"/>
      </w:r>
      <w:r w:rsidR="00517825">
        <w:rPr>
          <w:lang w:val="en-US"/>
        </w:rPr>
        <w:t>4</w:t>
      </w:r>
      <w:r>
        <w:fldChar w:fldCharType="end"/>
      </w:r>
      <w:r w:rsidRPr="00517825">
        <w:rPr>
          <w:lang w:val="en-US"/>
        </w:rPr>
        <w:t>]</w:t>
      </w:r>
    </w:p>
    <w:p w14:paraId="7C333BDA" w14:textId="0CC962BC" w:rsidR="00F80211" w:rsidRDefault="00F80211" w:rsidP="00F80211">
      <w:pPr>
        <w:pStyle w:val="Bilder"/>
        <w:spacing w:before="840"/>
      </w:pPr>
      <w:r w:rsidRPr="00517825">
        <w:rPr>
          <w:lang w:val="en-US"/>
        </w:rPr>
        <w:br w:type="column"/>
      </w:r>
      <w:r>
        <w:rPr>
          <w:lang w:eastAsia="de-DE"/>
        </w:rPr>
        <w:lastRenderedPageBreak/>
        <w:drawing>
          <wp:inline distT="0" distB="0" distL="0" distR="0" wp14:anchorId="356745F2" wp14:editId="4379B862">
            <wp:extent cx="4140000" cy="1136656"/>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0000" cy="1136656"/>
                    </a:xfrm>
                    <a:prstGeom prst="rect">
                      <a:avLst/>
                    </a:prstGeom>
                    <a:noFill/>
                    <a:ln>
                      <a:noFill/>
                    </a:ln>
                  </pic:spPr>
                </pic:pic>
              </a:graphicData>
            </a:graphic>
          </wp:inline>
        </w:drawing>
      </w:r>
    </w:p>
    <w:p w14:paraId="1477ED3F" w14:textId="4FB0DC12" w:rsidR="00F80211" w:rsidRDefault="00F80211" w:rsidP="00F80211">
      <w:pPr>
        <w:pStyle w:val="Beschriftung"/>
      </w:pPr>
      <w:r>
        <w:t xml:space="preserve">Abb. </w:t>
      </w:r>
      <w:r w:rsidR="00517825">
        <w:fldChar w:fldCharType="begin"/>
      </w:r>
      <w:r w:rsidR="00517825">
        <w:instrText xml:space="preserve"> SEQ Abb. \* ARABIC </w:instrText>
      </w:r>
      <w:r w:rsidR="00517825">
        <w:fldChar w:fldCharType="separate"/>
      </w:r>
      <w:r w:rsidR="00517825">
        <w:rPr>
          <w:noProof/>
        </w:rPr>
        <w:t>5</w:t>
      </w:r>
      <w:r w:rsidR="00517825">
        <w:rPr>
          <w:noProof/>
        </w:rPr>
        <w:fldChar w:fldCharType="end"/>
      </w:r>
      <w:r>
        <w:t>: Oktaven-Gesetz [</w:t>
      </w:r>
      <w:r>
        <w:fldChar w:fldCharType="begin"/>
      </w:r>
      <w:r>
        <w:instrText xml:space="preserve"> REF _Ref57625243 \r \h </w:instrText>
      </w:r>
      <w:r>
        <w:fldChar w:fldCharType="separate"/>
      </w:r>
      <w:r w:rsidR="00517825">
        <w:t>5</w:t>
      </w:r>
      <w:r>
        <w:fldChar w:fldCharType="end"/>
      </w:r>
      <w:r>
        <w:t>]</w:t>
      </w:r>
    </w:p>
    <w:p w14:paraId="6306892D" w14:textId="77777777" w:rsidR="00F80211" w:rsidRDefault="00F80211" w:rsidP="00F80211">
      <w:pPr>
        <w:pStyle w:val="berschrift2"/>
        <w:sectPr w:rsidR="00F80211" w:rsidSect="00F80211">
          <w:type w:val="continuous"/>
          <w:pgSz w:w="11906" w:h="16838"/>
          <w:pgMar w:top="851" w:right="1134" w:bottom="851" w:left="1418" w:header="0" w:footer="0" w:gutter="0"/>
          <w:cols w:num="2" w:space="710" w:equalWidth="0">
            <w:col w:w="2552" w:space="710"/>
            <w:col w:w="6092"/>
          </w:cols>
          <w:titlePg/>
          <w:docGrid w:linePitch="360"/>
        </w:sectPr>
      </w:pPr>
    </w:p>
    <w:p w14:paraId="474B44FD" w14:textId="77777777" w:rsidR="00663741" w:rsidRDefault="00663741">
      <w:pPr>
        <w:spacing w:before="0"/>
        <w:jc w:val="left"/>
        <w:rPr>
          <w:rFonts w:asciiTheme="majorHAnsi" w:eastAsiaTheme="majorEastAsia" w:hAnsiTheme="majorHAnsi" w:cstheme="majorBidi"/>
          <w:b/>
          <w:color w:val="000000" w:themeColor="text1"/>
          <w:sz w:val="28"/>
          <w:szCs w:val="26"/>
        </w:rPr>
      </w:pPr>
      <w:bookmarkStart w:id="3" w:name="_Toc57627802"/>
      <w:r>
        <w:lastRenderedPageBreak/>
        <w:br w:type="page"/>
      </w:r>
    </w:p>
    <w:p w14:paraId="04BE9EA8" w14:textId="5096E13A" w:rsidR="00F80211" w:rsidRDefault="00F80211" w:rsidP="00F80211">
      <w:pPr>
        <w:pStyle w:val="berschrift2"/>
      </w:pPr>
      <w:r>
        <w:lastRenderedPageBreak/>
        <w:t>Dimitrij Mendelejew und Lothar Meyer</w:t>
      </w:r>
      <w:bookmarkEnd w:id="3"/>
    </w:p>
    <w:p w14:paraId="7818DCD6" w14:textId="7ED78ABB" w:rsidR="00F80211" w:rsidRDefault="00F80211" w:rsidP="00F80211">
      <w:pPr>
        <w:rPr>
          <w:rFonts w:cs="Arial"/>
        </w:rPr>
      </w:pPr>
      <w:r>
        <w:rPr>
          <w:rFonts w:cs="Arial"/>
        </w:rPr>
        <w:t>1869 haben der russische Chemiker Dimitrij Mendelejew und der deutsche Forscher Lothar Meyer unabhängig voneinander diese Beziehungen schärfer formuliert und zu einem „periodischen System der Elemente" zusammengefasst. Beide stellten ebenfalls fest, dass wenn man die Elemente nach zunehmender relativer Atom-Masse ordnet, tauchen Ähnlichkeiten in den Eigenschaften periodisch auf. Sie ordneten die Elemente entsprechend ihrer ähnlichen Eigenschaften in senkrechten Spalten. Auf diese PSE gehen letztlich alle heute in Gebrauch befindlichen Formen des Periodensystem zurück.</w:t>
      </w:r>
    </w:p>
    <w:p w14:paraId="2DF21867" w14:textId="77777777" w:rsidR="00F80211" w:rsidRDefault="00F80211" w:rsidP="00F80211"/>
    <w:p w14:paraId="722292C4" w14:textId="77777777" w:rsidR="00F80211" w:rsidRDefault="00F80211" w:rsidP="00F80211">
      <w:pPr>
        <w:pStyle w:val="Bilder"/>
        <w:sectPr w:rsidR="00F80211" w:rsidSect="005F265D">
          <w:type w:val="continuous"/>
          <w:pgSz w:w="11906" w:h="16838"/>
          <w:pgMar w:top="851" w:right="1134" w:bottom="851" w:left="1418" w:header="0" w:footer="0" w:gutter="0"/>
          <w:cols w:space="708"/>
          <w:titlePg/>
          <w:docGrid w:linePitch="360"/>
        </w:sectPr>
      </w:pPr>
    </w:p>
    <w:p w14:paraId="76AD8BB9" w14:textId="41ABAD42" w:rsidR="00F80211" w:rsidRDefault="00F80211" w:rsidP="00F80211">
      <w:pPr>
        <w:pStyle w:val="Bilder"/>
        <w:spacing w:before="60"/>
      </w:pPr>
      <w:r>
        <w:rPr>
          <w:lang w:eastAsia="de-DE"/>
        </w:rPr>
        <w:lastRenderedPageBreak/>
        <w:drawing>
          <wp:inline distT="0" distB="0" distL="0" distR="0" wp14:anchorId="3F053E7F" wp14:editId="39496561">
            <wp:extent cx="1280773" cy="180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0773" cy="1800000"/>
                    </a:xfrm>
                    <a:prstGeom prst="rect">
                      <a:avLst/>
                    </a:prstGeom>
                    <a:noFill/>
                    <a:ln>
                      <a:noFill/>
                    </a:ln>
                  </pic:spPr>
                </pic:pic>
              </a:graphicData>
            </a:graphic>
          </wp:inline>
        </w:drawing>
      </w:r>
    </w:p>
    <w:p w14:paraId="19931541" w14:textId="4A41A270" w:rsidR="00F80211" w:rsidRDefault="00F80211" w:rsidP="00F80211">
      <w:pPr>
        <w:pStyle w:val="Beschriftung"/>
      </w:pPr>
      <w:r>
        <w:t xml:space="preserve">Abb. </w:t>
      </w:r>
      <w:r w:rsidR="00517825">
        <w:fldChar w:fldCharType="begin"/>
      </w:r>
      <w:r w:rsidR="00517825">
        <w:instrText xml:space="preserve"> SEQ Abb. \* ARABIC </w:instrText>
      </w:r>
      <w:r w:rsidR="00517825">
        <w:fldChar w:fldCharType="separate"/>
      </w:r>
      <w:r w:rsidR="00517825">
        <w:rPr>
          <w:noProof/>
        </w:rPr>
        <w:t>6</w:t>
      </w:r>
      <w:r w:rsidR="00517825">
        <w:rPr>
          <w:noProof/>
        </w:rPr>
        <w:fldChar w:fldCharType="end"/>
      </w:r>
      <w:r>
        <w:t xml:space="preserve">: </w:t>
      </w:r>
      <w:r>
        <w:rPr>
          <w:rFonts w:cs="Arial"/>
        </w:rPr>
        <w:t xml:space="preserve">Dimitrij </w:t>
      </w:r>
      <w:proofErr w:type="spellStart"/>
      <w:r>
        <w:rPr>
          <w:rFonts w:cs="Arial"/>
        </w:rPr>
        <w:t>Mendelejew</w:t>
      </w:r>
      <w:proofErr w:type="spellEnd"/>
      <w:r>
        <w:rPr>
          <w:rFonts w:cs="Arial"/>
        </w:rPr>
        <w:t xml:space="preserve"> [</w:t>
      </w:r>
      <w:r>
        <w:rPr>
          <w:rFonts w:cs="Arial"/>
        </w:rPr>
        <w:fldChar w:fldCharType="begin"/>
      </w:r>
      <w:r>
        <w:rPr>
          <w:rFonts w:cs="Arial"/>
        </w:rPr>
        <w:instrText xml:space="preserve"> REF _Ref57625447 \r \h </w:instrText>
      </w:r>
      <w:r>
        <w:rPr>
          <w:rFonts w:cs="Arial"/>
        </w:rPr>
        <w:fldChar w:fldCharType="separate"/>
      </w:r>
      <w:r w:rsidR="00517825">
        <w:rPr>
          <w:rFonts w:cs="Arial"/>
          <w:b/>
          <w:bCs/>
        </w:rPr>
        <w:t>Fehler! Verweisquelle konnte nicht gefunden werden.</w:t>
      </w:r>
      <w:r>
        <w:rPr>
          <w:rFonts w:cs="Arial"/>
        </w:rPr>
        <w:fldChar w:fldCharType="end"/>
      </w:r>
      <w:r>
        <w:rPr>
          <w:rFonts w:cs="Arial"/>
        </w:rPr>
        <w:t>]</w:t>
      </w:r>
    </w:p>
    <w:p w14:paraId="04BB02DD" w14:textId="4BAD7500" w:rsidR="00F80211" w:rsidRDefault="00F80211" w:rsidP="00F80211">
      <w:pPr>
        <w:pStyle w:val="Bilder"/>
      </w:pPr>
      <w:r>
        <w:rPr>
          <w:lang w:eastAsia="de-DE"/>
        </w:rPr>
        <w:lastRenderedPageBreak/>
        <w:drawing>
          <wp:inline distT="0" distB="0" distL="0" distR="0" wp14:anchorId="74EBF563" wp14:editId="31B3A6D0">
            <wp:extent cx="1457820" cy="1800000"/>
            <wp:effectExtent l="0" t="0" r="952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7820" cy="1800000"/>
                    </a:xfrm>
                    <a:prstGeom prst="rect">
                      <a:avLst/>
                    </a:prstGeom>
                    <a:noFill/>
                    <a:ln>
                      <a:noFill/>
                    </a:ln>
                  </pic:spPr>
                </pic:pic>
              </a:graphicData>
            </a:graphic>
          </wp:inline>
        </w:drawing>
      </w:r>
    </w:p>
    <w:p w14:paraId="586E5452" w14:textId="2296BC71" w:rsidR="00F80211" w:rsidRDefault="00F80211" w:rsidP="00F80211">
      <w:pPr>
        <w:pStyle w:val="Beschriftung"/>
      </w:pPr>
      <w:r>
        <w:t xml:space="preserve">Abb. </w:t>
      </w:r>
      <w:r w:rsidR="00517825">
        <w:fldChar w:fldCharType="begin"/>
      </w:r>
      <w:r w:rsidR="00517825">
        <w:instrText xml:space="preserve"> SEQ Abb. \* ARABIC </w:instrText>
      </w:r>
      <w:r w:rsidR="00517825">
        <w:fldChar w:fldCharType="separate"/>
      </w:r>
      <w:r w:rsidR="00517825">
        <w:rPr>
          <w:noProof/>
        </w:rPr>
        <w:t>7</w:t>
      </w:r>
      <w:r w:rsidR="00517825">
        <w:rPr>
          <w:noProof/>
        </w:rPr>
        <w:fldChar w:fldCharType="end"/>
      </w:r>
      <w:r>
        <w:t>: Lothar Meyer [</w:t>
      </w:r>
      <w:r>
        <w:fldChar w:fldCharType="begin"/>
      </w:r>
      <w:r>
        <w:instrText xml:space="preserve"> REF _Ref57625553 \r \h </w:instrText>
      </w:r>
      <w:r>
        <w:fldChar w:fldCharType="separate"/>
      </w:r>
      <w:r w:rsidR="00517825">
        <w:rPr>
          <w:b/>
          <w:bCs/>
        </w:rPr>
        <w:t>Fehler! Verweisquelle konnte nicht gefunden werden.</w:t>
      </w:r>
      <w:r>
        <w:fldChar w:fldCharType="end"/>
      </w:r>
      <w:r>
        <w:t>]</w:t>
      </w:r>
    </w:p>
    <w:p w14:paraId="5469EDE0" w14:textId="77777777" w:rsidR="00F80211" w:rsidRDefault="00F80211" w:rsidP="00F80211">
      <w:pPr>
        <w:sectPr w:rsidR="00F80211" w:rsidSect="00F80211">
          <w:type w:val="continuous"/>
          <w:pgSz w:w="11906" w:h="16838"/>
          <w:pgMar w:top="851" w:right="1134" w:bottom="851" w:left="1418" w:header="0" w:footer="0" w:gutter="0"/>
          <w:cols w:num="2" w:space="708"/>
          <w:titlePg/>
          <w:docGrid w:linePitch="360"/>
        </w:sectPr>
      </w:pPr>
    </w:p>
    <w:p w14:paraId="1F48E2C2" w14:textId="61229037" w:rsidR="00F80211" w:rsidRDefault="00F80211" w:rsidP="00F80211">
      <w:pPr>
        <w:pStyle w:val="Bilder"/>
      </w:pPr>
      <w:r>
        <w:rPr>
          <w:lang w:eastAsia="de-DE"/>
        </w:rPr>
        <w:lastRenderedPageBreak/>
        <w:drawing>
          <wp:inline distT="0" distB="0" distL="0" distR="0" wp14:anchorId="62ADBACA" wp14:editId="184FDD7C">
            <wp:extent cx="4910478" cy="3600000"/>
            <wp:effectExtent l="0" t="0" r="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0478" cy="3600000"/>
                    </a:xfrm>
                    <a:prstGeom prst="rect">
                      <a:avLst/>
                    </a:prstGeom>
                    <a:noFill/>
                    <a:ln>
                      <a:noFill/>
                    </a:ln>
                  </pic:spPr>
                </pic:pic>
              </a:graphicData>
            </a:graphic>
          </wp:inline>
        </w:drawing>
      </w:r>
    </w:p>
    <w:p w14:paraId="060380B3" w14:textId="29BE2BD0" w:rsidR="00F80211" w:rsidRDefault="00F80211" w:rsidP="00F80211">
      <w:pPr>
        <w:pStyle w:val="Beschriftung"/>
      </w:pPr>
      <w:r>
        <w:t xml:space="preserve">Abb. </w:t>
      </w:r>
      <w:r w:rsidR="00517825">
        <w:fldChar w:fldCharType="begin"/>
      </w:r>
      <w:r w:rsidR="00517825">
        <w:instrText xml:space="preserve"> SEQ Abb. \* ARABIC </w:instrText>
      </w:r>
      <w:r w:rsidR="00517825">
        <w:fldChar w:fldCharType="separate"/>
      </w:r>
      <w:r w:rsidR="00517825">
        <w:rPr>
          <w:noProof/>
        </w:rPr>
        <w:t>8</w:t>
      </w:r>
      <w:r w:rsidR="00517825">
        <w:rPr>
          <w:noProof/>
        </w:rPr>
        <w:fldChar w:fldCharType="end"/>
      </w:r>
      <w:r>
        <w:t>: Periodensystem [</w:t>
      </w:r>
      <w:r>
        <w:fldChar w:fldCharType="begin"/>
      </w:r>
      <w:r>
        <w:instrText xml:space="preserve"> REF _Ref57625001 \r \h </w:instrText>
      </w:r>
      <w:r>
        <w:fldChar w:fldCharType="separate"/>
      </w:r>
      <w:r w:rsidR="00517825">
        <w:t>3</w:t>
      </w:r>
      <w:r>
        <w:fldChar w:fldCharType="end"/>
      </w:r>
      <w:r>
        <w:t>]</w:t>
      </w:r>
    </w:p>
    <w:p w14:paraId="4763851A" w14:textId="3B3E733E" w:rsidR="00663741" w:rsidRDefault="00F80211" w:rsidP="00F80211">
      <w:pPr>
        <w:spacing w:after="240"/>
        <w:rPr>
          <w:rFonts w:cs="Arial"/>
        </w:rPr>
      </w:pPr>
      <w:r>
        <w:rPr>
          <w:rFonts w:cs="Arial"/>
        </w:rPr>
        <w:t>Da zur Zeit der Aufstellung des PSE noch eine Reihe von Elementen unbekannt waren, blieben in diesem System seinerzeit verschiedene Lücken, wie z. B. beim Germanium, aus denen Mendelejew auf die Existenz und die Eigenschaften von hierher gehörenden Elementen schloss. Mendelejew sagte mit erstaunlicher Genauigkeit die Eigenschaften des vermuteten Elements voraus.</w:t>
      </w:r>
    </w:p>
    <w:p w14:paraId="65D7F387" w14:textId="77777777" w:rsidR="00663741" w:rsidRDefault="00663741">
      <w:pPr>
        <w:spacing w:before="0"/>
        <w:jc w:val="left"/>
        <w:rPr>
          <w:rFonts w:cs="Arial"/>
        </w:rPr>
      </w:pPr>
      <w:r>
        <w:rPr>
          <w:rFonts w:cs="Arial"/>
        </w:rPr>
        <w:br w:type="page"/>
      </w:r>
    </w:p>
    <w:p w14:paraId="4B23E614" w14:textId="77777777" w:rsidR="00F80211" w:rsidRDefault="00F80211" w:rsidP="00F80211">
      <w:pPr>
        <w:spacing w:after="240"/>
        <w:rPr>
          <w:rFonts w:cs="Arial"/>
        </w:rPr>
      </w:pPr>
    </w:p>
    <w:tbl>
      <w:tblPr>
        <w:tblStyle w:val="Tabellenraster"/>
        <w:tblW w:w="0" w:type="auto"/>
        <w:jc w:val="center"/>
        <w:tblLook w:val="04A0" w:firstRow="1" w:lastRow="0" w:firstColumn="1" w:lastColumn="0" w:noHBand="0" w:noVBand="1"/>
      </w:tblPr>
      <w:tblGrid>
        <w:gridCol w:w="2268"/>
        <w:gridCol w:w="2268"/>
        <w:gridCol w:w="2268"/>
      </w:tblGrid>
      <w:tr w:rsidR="00F80211" w:rsidRPr="00F80211" w14:paraId="1AD8AB63" w14:textId="77777777" w:rsidTr="00F80211">
        <w:trPr>
          <w:jc w:val="center"/>
        </w:trPr>
        <w:tc>
          <w:tcPr>
            <w:tcW w:w="2268" w:type="dxa"/>
            <w:shd w:val="clear" w:color="auto" w:fill="DDDDDD" w:themeFill="background2"/>
            <w:hideMark/>
          </w:tcPr>
          <w:p w14:paraId="3679A89D" w14:textId="77777777" w:rsidR="00F80211" w:rsidRPr="00F80211" w:rsidRDefault="00F80211" w:rsidP="00F80211">
            <w:pPr>
              <w:spacing w:before="60" w:after="60"/>
              <w:jc w:val="center"/>
              <w:rPr>
                <w:rStyle w:val="Fett"/>
              </w:rPr>
            </w:pPr>
            <w:r w:rsidRPr="00F80211">
              <w:rPr>
                <w:rStyle w:val="Fett"/>
              </w:rPr>
              <w:t>Eigenschaft</w:t>
            </w:r>
          </w:p>
        </w:tc>
        <w:tc>
          <w:tcPr>
            <w:tcW w:w="2268" w:type="dxa"/>
            <w:shd w:val="clear" w:color="auto" w:fill="DDDDDD" w:themeFill="background2"/>
            <w:hideMark/>
          </w:tcPr>
          <w:p w14:paraId="74464E7F" w14:textId="77777777" w:rsidR="00F80211" w:rsidRPr="00F80211" w:rsidRDefault="00F80211" w:rsidP="00F80211">
            <w:pPr>
              <w:spacing w:before="60" w:after="60"/>
              <w:jc w:val="center"/>
              <w:rPr>
                <w:rStyle w:val="Fett"/>
              </w:rPr>
            </w:pPr>
            <w:r w:rsidRPr="00F80211">
              <w:rPr>
                <w:rStyle w:val="Fett"/>
              </w:rPr>
              <w:t>vorausgesagt</w:t>
            </w:r>
          </w:p>
        </w:tc>
        <w:tc>
          <w:tcPr>
            <w:tcW w:w="2268" w:type="dxa"/>
            <w:shd w:val="clear" w:color="auto" w:fill="DDDDDD" w:themeFill="background2"/>
            <w:hideMark/>
          </w:tcPr>
          <w:p w14:paraId="483E5892" w14:textId="77777777" w:rsidR="00F80211" w:rsidRPr="00F80211" w:rsidRDefault="00F80211" w:rsidP="00F80211">
            <w:pPr>
              <w:spacing w:before="60" w:after="60"/>
              <w:jc w:val="center"/>
              <w:rPr>
                <w:rStyle w:val="Fett"/>
              </w:rPr>
            </w:pPr>
            <w:r w:rsidRPr="00F80211">
              <w:rPr>
                <w:rStyle w:val="Fett"/>
              </w:rPr>
              <w:t>gefunden</w:t>
            </w:r>
          </w:p>
        </w:tc>
      </w:tr>
      <w:tr w:rsidR="00F80211" w:rsidRPr="00F80211" w14:paraId="0902BE7E" w14:textId="77777777" w:rsidTr="00F80211">
        <w:trPr>
          <w:jc w:val="center"/>
        </w:trPr>
        <w:tc>
          <w:tcPr>
            <w:tcW w:w="2268" w:type="dxa"/>
            <w:shd w:val="clear" w:color="auto" w:fill="DDDDDD" w:themeFill="background2"/>
            <w:hideMark/>
          </w:tcPr>
          <w:p w14:paraId="0533C059" w14:textId="77777777" w:rsidR="00F80211" w:rsidRPr="00F80211" w:rsidRDefault="00F80211" w:rsidP="00F80211">
            <w:pPr>
              <w:spacing w:before="60" w:after="60"/>
              <w:rPr>
                <w:rStyle w:val="Fett"/>
              </w:rPr>
            </w:pPr>
            <w:r w:rsidRPr="00F80211">
              <w:rPr>
                <w:rStyle w:val="Fett"/>
              </w:rPr>
              <w:t>Atommasse</w:t>
            </w:r>
          </w:p>
        </w:tc>
        <w:tc>
          <w:tcPr>
            <w:tcW w:w="2268" w:type="dxa"/>
            <w:hideMark/>
          </w:tcPr>
          <w:p w14:paraId="2D66BF78" w14:textId="77777777" w:rsidR="00F80211" w:rsidRPr="00F80211" w:rsidRDefault="00F80211" w:rsidP="00F80211">
            <w:pPr>
              <w:spacing w:before="60" w:after="60"/>
              <w:rPr>
                <w:rFonts w:ascii="Times New Roman" w:hAnsi="Times New Roman" w:cs="Times New Roman"/>
                <w:lang w:eastAsia="de-DE"/>
              </w:rPr>
            </w:pPr>
            <w:r w:rsidRPr="00F80211">
              <w:rPr>
                <w:lang w:eastAsia="de-DE"/>
              </w:rPr>
              <w:t>72</w:t>
            </w:r>
          </w:p>
        </w:tc>
        <w:tc>
          <w:tcPr>
            <w:tcW w:w="2268" w:type="dxa"/>
            <w:hideMark/>
          </w:tcPr>
          <w:p w14:paraId="59CC2DB7" w14:textId="77777777" w:rsidR="00F80211" w:rsidRPr="00F80211" w:rsidRDefault="00F80211" w:rsidP="00F80211">
            <w:pPr>
              <w:spacing w:before="60" w:after="60"/>
              <w:rPr>
                <w:rFonts w:ascii="Times New Roman" w:hAnsi="Times New Roman" w:cs="Times New Roman"/>
                <w:lang w:eastAsia="de-DE"/>
              </w:rPr>
            </w:pPr>
            <w:r w:rsidRPr="00F80211">
              <w:rPr>
                <w:lang w:eastAsia="de-DE"/>
              </w:rPr>
              <w:t>72,2</w:t>
            </w:r>
          </w:p>
        </w:tc>
      </w:tr>
      <w:tr w:rsidR="00F80211" w:rsidRPr="00F80211" w14:paraId="12305827" w14:textId="77777777" w:rsidTr="00F80211">
        <w:trPr>
          <w:jc w:val="center"/>
        </w:trPr>
        <w:tc>
          <w:tcPr>
            <w:tcW w:w="2268" w:type="dxa"/>
            <w:shd w:val="clear" w:color="auto" w:fill="DDDDDD" w:themeFill="background2"/>
            <w:hideMark/>
          </w:tcPr>
          <w:p w14:paraId="4952A8A9" w14:textId="77777777" w:rsidR="00F80211" w:rsidRPr="00F80211" w:rsidRDefault="00F80211" w:rsidP="00F80211">
            <w:pPr>
              <w:spacing w:before="60" w:after="60"/>
              <w:rPr>
                <w:rStyle w:val="Fett"/>
              </w:rPr>
            </w:pPr>
            <w:r w:rsidRPr="00F80211">
              <w:rPr>
                <w:rStyle w:val="Fett"/>
              </w:rPr>
              <w:t>Atomvolumen</w:t>
            </w:r>
          </w:p>
        </w:tc>
        <w:tc>
          <w:tcPr>
            <w:tcW w:w="2268" w:type="dxa"/>
            <w:hideMark/>
          </w:tcPr>
          <w:p w14:paraId="031D40C7" w14:textId="77777777" w:rsidR="00F80211" w:rsidRPr="00F80211" w:rsidRDefault="00F80211" w:rsidP="00F80211">
            <w:pPr>
              <w:spacing w:before="60" w:after="60"/>
              <w:rPr>
                <w:rFonts w:ascii="Times New Roman" w:hAnsi="Times New Roman" w:cs="Times New Roman"/>
                <w:lang w:eastAsia="de-DE"/>
              </w:rPr>
            </w:pPr>
            <w:r w:rsidRPr="00F80211">
              <w:rPr>
                <w:lang w:eastAsia="de-DE"/>
              </w:rPr>
              <w:t>13</w:t>
            </w:r>
          </w:p>
        </w:tc>
        <w:tc>
          <w:tcPr>
            <w:tcW w:w="2268" w:type="dxa"/>
            <w:hideMark/>
          </w:tcPr>
          <w:p w14:paraId="144ABC8E" w14:textId="77777777" w:rsidR="00F80211" w:rsidRPr="00F80211" w:rsidRDefault="00F80211" w:rsidP="00F80211">
            <w:pPr>
              <w:spacing w:before="60" w:after="60"/>
              <w:rPr>
                <w:rFonts w:ascii="Times New Roman" w:hAnsi="Times New Roman" w:cs="Times New Roman"/>
                <w:lang w:eastAsia="de-DE"/>
              </w:rPr>
            </w:pPr>
            <w:r w:rsidRPr="00F80211">
              <w:rPr>
                <w:lang w:eastAsia="de-DE"/>
              </w:rPr>
              <w:t>13,4</w:t>
            </w:r>
          </w:p>
        </w:tc>
      </w:tr>
      <w:tr w:rsidR="00F80211" w:rsidRPr="00F80211" w14:paraId="2C19C124" w14:textId="77777777" w:rsidTr="00F80211">
        <w:trPr>
          <w:jc w:val="center"/>
        </w:trPr>
        <w:tc>
          <w:tcPr>
            <w:tcW w:w="2268" w:type="dxa"/>
            <w:shd w:val="clear" w:color="auto" w:fill="DDDDDD" w:themeFill="background2"/>
            <w:hideMark/>
          </w:tcPr>
          <w:p w14:paraId="63B27C00" w14:textId="77777777" w:rsidR="00F80211" w:rsidRPr="00F80211" w:rsidRDefault="00F80211" w:rsidP="00F80211">
            <w:pPr>
              <w:spacing w:before="60" w:after="60"/>
              <w:rPr>
                <w:rStyle w:val="Fett"/>
              </w:rPr>
            </w:pPr>
            <w:r w:rsidRPr="00F80211">
              <w:rPr>
                <w:rStyle w:val="Fett"/>
              </w:rPr>
              <w:t>Dichte</w:t>
            </w:r>
          </w:p>
        </w:tc>
        <w:tc>
          <w:tcPr>
            <w:tcW w:w="2268" w:type="dxa"/>
            <w:hideMark/>
          </w:tcPr>
          <w:p w14:paraId="514BEFCE" w14:textId="77777777" w:rsidR="00F80211" w:rsidRPr="00F80211" w:rsidRDefault="00F80211" w:rsidP="00F80211">
            <w:pPr>
              <w:spacing w:before="60" w:after="60"/>
              <w:rPr>
                <w:rFonts w:ascii="Times New Roman" w:hAnsi="Times New Roman" w:cs="Times New Roman"/>
                <w:lang w:eastAsia="de-DE"/>
              </w:rPr>
            </w:pPr>
            <w:r w:rsidRPr="00F80211">
              <w:rPr>
                <w:lang w:eastAsia="de-DE"/>
              </w:rPr>
              <w:t>5,5</w:t>
            </w:r>
          </w:p>
        </w:tc>
        <w:tc>
          <w:tcPr>
            <w:tcW w:w="2268" w:type="dxa"/>
            <w:hideMark/>
          </w:tcPr>
          <w:p w14:paraId="693B8993" w14:textId="77777777" w:rsidR="00F80211" w:rsidRPr="00F80211" w:rsidRDefault="00F80211" w:rsidP="00F80211">
            <w:pPr>
              <w:spacing w:before="60" w:after="60"/>
              <w:rPr>
                <w:rFonts w:ascii="Times New Roman" w:hAnsi="Times New Roman" w:cs="Times New Roman"/>
                <w:lang w:eastAsia="de-DE"/>
              </w:rPr>
            </w:pPr>
            <w:r w:rsidRPr="00F80211">
              <w:rPr>
                <w:lang w:eastAsia="de-DE"/>
              </w:rPr>
              <w:t>5,35</w:t>
            </w:r>
          </w:p>
        </w:tc>
      </w:tr>
      <w:tr w:rsidR="00F80211" w:rsidRPr="00F80211" w14:paraId="7575FEC8" w14:textId="77777777" w:rsidTr="00F80211">
        <w:trPr>
          <w:jc w:val="center"/>
        </w:trPr>
        <w:tc>
          <w:tcPr>
            <w:tcW w:w="2268" w:type="dxa"/>
            <w:shd w:val="clear" w:color="auto" w:fill="DDDDDD" w:themeFill="background2"/>
            <w:hideMark/>
          </w:tcPr>
          <w:p w14:paraId="73135BC4" w14:textId="77777777" w:rsidR="00F80211" w:rsidRPr="00F80211" w:rsidRDefault="00F80211" w:rsidP="00F80211">
            <w:pPr>
              <w:spacing w:before="60" w:after="60"/>
              <w:rPr>
                <w:rStyle w:val="Fett"/>
              </w:rPr>
            </w:pPr>
            <w:r w:rsidRPr="00F80211">
              <w:rPr>
                <w:rStyle w:val="Fett"/>
              </w:rPr>
              <w:t>Farbe</w:t>
            </w:r>
          </w:p>
        </w:tc>
        <w:tc>
          <w:tcPr>
            <w:tcW w:w="2268" w:type="dxa"/>
            <w:hideMark/>
          </w:tcPr>
          <w:p w14:paraId="48B4584D" w14:textId="77777777" w:rsidR="00F80211" w:rsidRPr="00F80211" w:rsidRDefault="00F80211" w:rsidP="00F80211">
            <w:pPr>
              <w:spacing w:before="60" w:after="60"/>
              <w:rPr>
                <w:rFonts w:ascii="Times New Roman" w:hAnsi="Times New Roman" w:cs="Times New Roman"/>
                <w:lang w:eastAsia="de-DE"/>
              </w:rPr>
            </w:pPr>
            <w:r w:rsidRPr="00F80211">
              <w:rPr>
                <w:lang w:eastAsia="de-DE"/>
              </w:rPr>
              <w:t>dunkelgrau</w:t>
            </w:r>
          </w:p>
        </w:tc>
        <w:tc>
          <w:tcPr>
            <w:tcW w:w="2268" w:type="dxa"/>
            <w:hideMark/>
          </w:tcPr>
          <w:p w14:paraId="49AC639B" w14:textId="77777777" w:rsidR="00F80211" w:rsidRPr="00F80211" w:rsidRDefault="00F80211" w:rsidP="00F80211">
            <w:pPr>
              <w:spacing w:before="60" w:after="60"/>
              <w:rPr>
                <w:rFonts w:ascii="Times New Roman" w:hAnsi="Times New Roman" w:cs="Times New Roman"/>
                <w:lang w:eastAsia="de-DE"/>
              </w:rPr>
            </w:pPr>
            <w:r w:rsidRPr="00F80211">
              <w:rPr>
                <w:lang w:eastAsia="de-DE"/>
              </w:rPr>
              <w:t>grauweiß</w:t>
            </w:r>
          </w:p>
        </w:tc>
      </w:tr>
      <w:tr w:rsidR="00F80211" w:rsidRPr="00F80211" w14:paraId="348B4CBB" w14:textId="77777777" w:rsidTr="00F80211">
        <w:trPr>
          <w:trHeight w:val="360"/>
          <w:jc w:val="center"/>
        </w:trPr>
        <w:tc>
          <w:tcPr>
            <w:tcW w:w="2268" w:type="dxa"/>
            <w:shd w:val="clear" w:color="auto" w:fill="DDDDDD" w:themeFill="background2"/>
            <w:hideMark/>
          </w:tcPr>
          <w:p w14:paraId="4ABC37D1" w14:textId="77777777" w:rsidR="00F80211" w:rsidRPr="00F80211" w:rsidRDefault="00F80211" w:rsidP="00F80211">
            <w:pPr>
              <w:spacing w:before="60" w:after="60"/>
              <w:rPr>
                <w:rStyle w:val="Fett"/>
              </w:rPr>
            </w:pPr>
            <w:r w:rsidRPr="00F80211">
              <w:rPr>
                <w:rStyle w:val="Fett"/>
              </w:rPr>
              <w:t>Wertigkeit</w:t>
            </w:r>
          </w:p>
        </w:tc>
        <w:tc>
          <w:tcPr>
            <w:tcW w:w="2268" w:type="dxa"/>
            <w:hideMark/>
          </w:tcPr>
          <w:p w14:paraId="31B61BD4" w14:textId="77777777" w:rsidR="00F80211" w:rsidRPr="00F80211" w:rsidRDefault="00F80211" w:rsidP="00F80211">
            <w:pPr>
              <w:spacing w:before="60" w:after="60"/>
              <w:rPr>
                <w:rFonts w:ascii="Times New Roman" w:hAnsi="Times New Roman" w:cs="Times New Roman"/>
                <w:lang w:eastAsia="de-DE"/>
              </w:rPr>
            </w:pPr>
            <w:r w:rsidRPr="00F80211">
              <w:rPr>
                <w:lang w:eastAsia="de-DE"/>
              </w:rPr>
              <w:t>4</w:t>
            </w:r>
          </w:p>
        </w:tc>
        <w:tc>
          <w:tcPr>
            <w:tcW w:w="2268" w:type="dxa"/>
            <w:hideMark/>
          </w:tcPr>
          <w:p w14:paraId="325651C2" w14:textId="77777777" w:rsidR="00F80211" w:rsidRPr="00F80211" w:rsidRDefault="00F80211" w:rsidP="00F80211">
            <w:pPr>
              <w:spacing w:before="60" w:after="60"/>
              <w:rPr>
                <w:rFonts w:ascii="Times New Roman" w:hAnsi="Times New Roman" w:cs="Times New Roman"/>
                <w:lang w:eastAsia="de-DE"/>
              </w:rPr>
            </w:pPr>
            <w:r w:rsidRPr="00F80211">
              <w:rPr>
                <w:lang w:eastAsia="de-DE"/>
              </w:rPr>
              <w:t>4</w:t>
            </w:r>
          </w:p>
        </w:tc>
      </w:tr>
      <w:tr w:rsidR="00F80211" w:rsidRPr="00F80211" w14:paraId="281A7AD6" w14:textId="77777777" w:rsidTr="00F80211">
        <w:trPr>
          <w:jc w:val="center"/>
        </w:trPr>
        <w:tc>
          <w:tcPr>
            <w:tcW w:w="2268" w:type="dxa"/>
            <w:shd w:val="clear" w:color="auto" w:fill="DDDDDD" w:themeFill="background2"/>
            <w:hideMark/>
          </w:tcPr>
          <w:p w14:paraId="5F0B5FD3" w14:textId="77777777" w:rsidR="00F80211" w:rsidRPr="00F80211" w:rsidRDefault="00F80211" w:rsidP="00F80211">
            <w:pPr>
              <w:spacing w:before="60" w:after="60"/>
              <w:rPr>
                <w:rStyle w:val="Fett"/>
              </w:rPr>
            </w:pPr>
            <w:r w:rsidRPr="00F80211">
              <w:rPr>
                <w:rStyle w:val="Fett"/>
              </w:rPr>
              <w:t>Molares Volumen</w:t>
            </w:r>
          </w:p>
        </w:tc>
        <w:tc>
          <w:tcPr>
            <w:tcW w:w="2268" w:type="dxa"/>
            <w:hideMark/>
          </w:tcPr>
          <w:p w14:paraId="5267FCD7" w14:textId="77777777" w:rsidR="00F80211" w:rsidRPr="00F80211" w:rsidRDefault="00F80211" w:rsidP="00F80211">
            <w:pPr>
              <w:spacing w:before="60" w:after="60"/>
              <w:rPr>
                <w:rFonts w:ascii="Times New Roman" w:hAnsi="Times New Roman" w:cs="Times New Roman"/>
                <w:lang w:eastAsia="de-DE"/>
              </w:rPr>
            </w:pPr>
            <w:r w:rsidRPr="00F80211">
              <w:rPr>
                <w:lang w:eastAsia="de-DE"/>
              </w:rPr>
              <w:t>22</w:t>
            </w:r>
          </w:p>
        </w:tc>
        <w:tc>
          <w:tcPr>
            <w:tcW w:w="2268" w:type="dxa"/>
            <w:hideMark/>
          </w:tcPr>
          <w:p w14:paraId="7A5BA01D" w14:textId="77777777" w:rsidR="00F80211" w:rsidRPr="00F80211" w:rsidRDefault="00F80211" w:rsidP="00F80211">
            <w:pPr>
              <w:spacing w:before="60" w:after="60"/>
              <w:rPr>
                <w:rFonts w:ascii="Times New Roman" w:hAnsi="Times New Roman" w:cs="Times New Roman"/>
                <w:lang w:eastAsia="de-DE"/>
              </w:rPr>
            </w:pPr>
            <w:r w:rsidRPr="00F80211">
              <w:rPr>
                <w:lang w:eastAsia="de-DE"/>
              </w:rPr>
              <w:t>22,2</w:t>
            </w:r>
          </w:p>
        </w:tc>
      </w:tr>
      <w:tr w:rsidR="00F80211" w:rsidRPr="00F80211" w14:paraId="6F88CA88" w14:textId="77777777" w:rsidTr="00F80211">
        <w:trPr>
          <w:jc w:val="center"/>
        </w:trPr>
        <w:tc>
          <w:tcPr>
            <w:tcW w:w="2268" w:type="dxa"/>
            <w:shd w:val="clear" w:color="auto" w:fill="DDDDDD" w:themeFill="background2"/>
            <w:hideMark/>
          </w:tcPr>
          <w:p w14:paraId="1AE738CA" w14:textId="77777777" w:rsidR="00F80211" w:rsidRPr="00F80211" w:rsidRDefault="00F80211" w:rsidP="00F80211">
            <w:pPr>
              <w:spacing w:before="60" w:after="60"/>
              <w:rPr>
                <w:rStyle w:val="Fett"/>
              </w:rPr>
            </w:pPr>
            <w:r w:rsidRPr="00F80211">
              <w:rPr>
                <w:rStyle w:val="Fett"/>
              </w:rPr>
              <w:t>Siedetemperatur</w:t>
            </w:r>
          </w:p>
        </w:tc>
        <w:tc>
          <w:tcPr>
            <w:tcW w:w="2268" w:type="dxa"/>
            <w:hideMark/>
          </w:tcPr>
          <w:p w14:paraId="337A5714" w14:textId="77777777" w:rsidR="00F80211" w:rsidRPr="00F80211" w:rsidRDefault="00F80211" w:rsidP="00F80211">
            <w:pPr>
              <w:spacing w:before="60" w:after="60"/>
              <w:rPr>
                <w:rFonts w:ascii="Times New Roman" w:hAnsi="Times New Roman" w:cs="Times New Roman"/>
                <w:lang w:eastAsia="de-DE"/>
              </w:rPr>
            </w:pPr>
            <w:r w:rsidRPr="00F80211">
              <w:rPr>
                <w:lang w:eastAsia="de-DE"/>
              </w:rPr>
              <w:t>90°C</w:t>
            </w:r>
          </w:p>
        </w:tc>
        <w:tc>
          <w:tcPr>
            <w:tcW w:w="2268" w:type="dxa"/>
            <w:hideMark/>
          </w:tcPr>
          <w:p w14:paraId="776B6EDB" w14:textId="77777777" w:rsidR="00F80211" w:rsidRPr="00F80211" w:rsidRDefault="00F80211" w:rsidP="00F80211">
            <w:pPr>
              <w:spacing w:before="60" w:after="60"/>
              <w:rPr>
                <w:rFonts w:ascii="Times New Roman" w:hAnsi="Times New Roman" w:cs="Times New Roman"/>
                <w:lang w:eastAsia="de-DE"/>
              </w:rPr>
            </w:pPr>
            <w:r w:rsidRPr="00F80211">
              <w:rPr>
                <w:lang w:eastAsia="de-DE"/>
              </w:rPr>
              <w:t>85°C</w:t>
            </w:r>
          </w:p>
        </w:tc>
      </w:tr>
    </w:tbl>
    <w:p w14:paraId="3444F61E" w14:textId="26C1F936" w:rsidR="00F80211" w:rsidRDefault="00F80211" w:rsidP="00F80211">
      <w:pPr>
        <w:pStyle w:val="Beschriftung"/>
      </w:pPr>
      <w:r>
        <w:t xml:space="preserve">Abb. </w:t>
      </w:r>
      <w:r w:rsidR="00517825">
        <w:fldChar w:fldCharType="begin"/>
      </w:r>
      <w:r w:rsidR="00517825">
        <w:instrText xml:space="preserve"> SEQ Abb. \* ARABIC </w:instrText>
      </w:r>
      <w:r w:rsidR="00517825">
        <w:fldChar w:fldCharType="separate"/>
      </w:r>
      <w:r w:rsidR="00517825">
        <w:rPr>
          <w:noProof/>
        </w:rPr>
        <w:t>9</w:t>
      </w:r>
      <w:r w:rsidR="00517825">
        <w:rPr>
          <w:noProof/>
        </w:rPr>
        <w:fldChar w:fldCharType="end"/>
      </w:r>
      <w:r>
        <w:t>: Beispiele vorausgesagter Eigenschaften [</w:t>
      </w:r>
      <w:r>
        <w:fldChar w:fldCharType="begin"/>
      </w:r>
      <w:r>
        <w:instrText xml:space="preserve"> REF _Ref57625725 \r \h </w:instrText>
      </w:r>
      <w:r>
        <w:fldChar w:fldCharType="separate"/>
      </w:r>
      <w:r w:rsidR="00517825">
        <w:t>8</w:t>
      </w:r>
      <w:r>
        <w:fldChar w:fldCharType="end"/>
      </w:r>
      <w:r>
        <w:t>]</w:t>
      </w:r>
    </w:p>
    <w:p w14:paraId="3331858A" w14:textId="73CCB212" w:rsidR="00F80211" w:rsidRDefault="00F80211" w:rsidP="00F80211">
      <w:pPr>
        <w:rPr>
          <w:rFonts w:cs="Arial"/>
        </w:rPr>
      </w:pPr>
      <w:r>
        <w:rPr>
          <w:rFonts w:cs="Arial"/>
        </w:rPr>
        <w:t xml:space="preserve">Deren bald darauf erfolgende Entdeckung hat dem </w:t>
      </w:r>
      <w:proofErr w:type="spellStart"/>
      <w:r w:rsidR="00742260">
        <w:rPr>
          <w:rFonts w:cs="Arial"/>
        </w:rPr>
        <w:t>Mendelejew‘</w:t>
      </w:r>
      <w:r>
        <w:rPr>
          <w:rFonts w:cs="Arial"/>
        </w:rPr>
        <w:t>schen</w:t>
      </w:r>
      <w:proofErr w:type="spellEnd"/>
      <w:r>
        <w:rPr>
          <w:rFonts w:cs="Arial"/>
        </w:rPr>
        <w:t xml:space="preserve"> PSE wesentlich zum Durchbruch verholfen. Die Existenz der Edel</w:t>
      </w:r>
      <w:r w:rsidR="00742260">
        <w:rPr>
          <w:rFonts w:cs="Arial"/>
        </w:rPr>
        <w:t>-G</w:t>
      </w:r>
      <w:r>
        <w:rPr>
          <w:rFonts w:cs="Arial"/>
        </w:rPr>
        <w:t xml:space="preserve">ase wurde von Mendelejew nicht vorhergesehen. Als diese später entdeckt wurden, fügten sie sich jedoch zwanglos in das </w:t>
      </w:r>
      <w:proofErr w:type="spellStart"/>
      <w:r>
        <w:rPr>
          <w:rFonts w:cs="Arial"/>
        </w:rPr>
        <w:t>Mendelejew</w:t>
      </w:r>
      <w:r w:rsidR="00742260">
        <w:rPr>
          <w:rFonts w:cs="Arial"/>
        </w:rPr>
        <w:t>‘</w:t>
      </w:r>
      <w:r>
        <w:rPr>
          <w:rFonts w:cs="Arial"/>
        </w:rPr>
        <w:t>sche</w:t>
      </w:r>
      <w:proofErr w:type="spellEnd"/>
      <w:r>
        <w:rPr>
          <w:rFonts w:cs="Arial"/>
        </w:rPr>
        <w:t xml:space="preserve"> PSE ein und verdeutlichten erneut die Richtigkeit seines Systems.</w:t>
      </w:r>
    </w:p>
    <w:p w14:paraId="4F29EF4D" w14:textId="31A79C50" w:rsidR="00742260" w:rsidRPr="00F80211" w:rsidRDefault="00742260" w:rsidP="00742260">
      <w:pPr>
        <w:pStyle w:val="berschrift1"/>
      </w:pPr>
      <w:bookmarkStart w:id="4" w:name="_Toc57627803"/>
      <w:r>
        <w:t>Unregelmäßigkeiten</w:t>
      </w:r>
      <w:bookmarkEnd w:id="4"/>
    </w:p>
    <w:p w14:paraId="0E7C79FF" w14:textId="192A81D5" w:rsidR="00F80211" w:rsidRDefault="00742260" w:rsidP="00F80211">
      <w:pPr>
        <w:rPr>
          <w:rFonts w:cs="Arial"/>
        </w:rPr>
      </w:pPr>
      <w:r>
        <w:rPr>
          <w:rFonts w:cs="Arial"/>
        </w:rPr>
        <w:t>Trotz des Versuchs, die Elemente entsprechend ihrer ähnlichen Eigenschaften zu ordnen tauchen Unregelmäßigkeiten im Periodensystem auf. Eine davon ist die Sonder-Stellung der Kopf-Elemente.</w:t>
      </w:r>
    </w:p>
    <w:p w14:paraId="0EC38C1E" w14:textId="7B9DC570" w:rsidR="00742260" w:rsidRDefault="00742260" w:rsidP="00742260">
      <w:pPr>
        <w:pStyle w:val="berschrift2"/>
      </w:pPr>
      <w:bookmarkStart w:id="5" w:name="_Toc57627804"/>
      <w:r>
        <w:t>Kopf-Elemente</w:t>
      </w:r>
      <w:bookmarkEnd w:id="5"/>
    </w:p>
    <w:p w14:paraId="6EAC5E4F" w14:textId="3145BCF0" w:rsidR="00742260" w:rsidRDefault="00742260" w:rsidP="00742260">
      <w:pPr>
        <w:rPr>
          <w:rFonts w:cs="Arial"/>
        </w:rPr>
      </w:pPr>
      <w:r>
        <w:rPr>
          <w:rFonts w:cs="Arial"/>
        </w:rPr>
        <w:t xml:space="preserve">Die Kopf-Elemente der Haupt-Gruppen sind mit ihren zugehörigen schwereren Homologen weniger verwandt als diese unter sich. Dies beruht unter anderem darauf, dass sie - anders als die Gruppen-Homologen - ein Elektronen-Oktett in der Außen-Schale nicht überschreiten können. Auch weisen die Atome der Kopf-Elemente besonders kleine </w:t>
      </w:r>
      <w:r w:rsidRPr="00742260">
        <w:rPr>
          <w:rStyle w:val="Fett"/>
        </w:rPr>
        <w:t>Atom-Radien</w:t>
      </w:r>
      <w:r>
        <w:rPr>
          <w:rFonts w:cs="Arial"/>
        </w:rPr>
        <w:t xml:space="preserve"> innerhalb der einzelnen Element-Gruppen auf, so dass die Außen-Elektronen an die betreffenden Atom-Kerne sehr stark gebunden werden.</w:t>
      </w:r>
    </w:p>
    <w:p w14:paraId="5B6E020D" w14:textId="1EF8057A" w:rsidR="00742260" w:rsidRDefault="00742260" w:rsidP="00742260">
      <w:pPr>
        <w:pStyle w:val="Bilder"/>
      </w:pPr>
      <w:r>
        <w:rPr>
          <w:lang w:eastAsia="de-DE"/>
        </w:rPr>
        <w:drawing>
          <wp:inline distT="0" distB="0" distL="0" distR="0" wp14:anchorId="0494C69D" wp14:editId="15640C33">
            <wp:extent cx="2824124" cy="3456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4124" cy="3456000"/>
                    </a:xfrm>
                    <a:prstGeom prst="rect">
                      <a:avLst/>
                    </a:prstGeom>
                    <a:noFill/>
                    <a:ln>
                      <a:noFill/>
                    </a:ln>
                  </pic:spPr>
                </pic:pic>
              </a:graphicData>
            </a:graphic>
          </wp:inline>
        </w:drawing>
      </w:r>
    </w:p>
    <w:p w14:paraId="2BF6CFA5" w14:textId="2C29BDFB" w:rsidR="00742260" w:rsidRDefault="00742260" w:rsidP="00742260">
      <w:pPr>
        <w:pStyle w:val="Beschriftung"/>
      </w:pPr>
      <w:r>
        <w:t xml:space="preserve">Abb. </w:t>
      </w:r>
      <w:r w:rsidR="00517825">
        <w:fldChar w:fldCharType="begin"/>
      </w:r>
      <w:r w:rsidR="00517825">
        <w:instrText xml:space="preserve"> SEQ Abb. \* ARABIC </w:instrText>
      </w:r>
      <w:r w:rsidR="00517825">
        <w:fldChar w:fldCharType="separate"/>
      </w:r>
      <w:r w:rsidR="00517825">
        <w:rPr>
          <w:noProof/>
        </w:rPr>
        <w:t>10</w:t>
      </w:r>
      <w:r w:rsidR="00517825">
        <w:rPr>
          <w:noProof/>
        </w:rPr>
        <w:fldChar w:fldCharType="end"/>
      </w:r>
      <w:r>
        <w:t>: Atom-Radien [</w:t>
      </w:r>
      <w:r>
        <w:fldChar w:fldCharType="begin"/>
      </w:r>
      <w:r>
        <w:instrText xml:space="preserve"> REF _Ref57625890 \r \h </w:instrText>
      </w:r>
      <w:r>
        <w:fldChar w:fldCharType="separate"/>
      </w:r>
      <w:r w:rsidR="00517825">
        <w:t>9</w:t>
      </w:r>
      <w:r>
        <w:fldChar w:fldCharType="end"/>
      </w:r>
      <w:r>
        <w:t>]</w:t>
      </w:r>
    </w:p>
    <w:p w14:paraId="22B19C44" w14:textId="0F28916C" w:rsidR="00742260" w:rsidRDefault="00742260" w:rsidP="00742260">
      <w:pPr>
        <w:rPr>
          <w:rFonts w:cs="Arial"/>
        </w:rPr>
      </w:pPr>
      <w:r>
        <w:rPr>
          <w:rFonts w:cs="Arial"/>
        </w:rPr>
        <w:t>Einige Beispiele sollen die Sonder-Stellung der Kopf-Elemente belegen.</w:t>
      </w:r>
    </w:p>
    <w:p w14:paraId="225F8C1E" w14:textId="6B5F7AD0" w:rsidR="00742260" w:rsidRDefault="00742260" w:rsidP="00742260">
      <w:pPr>
        <w:rPr>
          <w:rFonts w:cs="Arial"/>
        </w:rPr>
      </w:pPr>
      <w:r>
        <w:rPr>
          <w:rFonts w:cs="Arial"/>
        </w:rPr>
        <w:t xml:space="preserve">Das Elektronen-Oktett als stabile Außen-Schale in der 1. Achterperiode dokumentiert sich etwa in der bevorzugten </w:t>
      </w:r>
      <w:r w:rsidRPr="00742260">
        <w:rPr>
          <w:rStyle w:val="Fett"/>
        </w:rPr>
        <w:t>Koordinationszahl</w:t>
      </w:r>
      <w:r>
        <w:rPr>
          <w:rFonts w:cs="Arial"/>
          <w:b/>
          <w:bCs/>
        </w:rPr>
        <w:t xml:space="preserve"> </w:t>
      </w:r>
      <w:r>
        <w:rPr>
          <w:rFonts w:cs="Arial"/>
        </w:rPr>
        <w:t>4</w:t>
      </w:r>
      <w:r>
        <w:rPr>
          <w:rFonts w:cs="Arial"/>
          <w:b/>
          <w:bCs/>
        </w:rPr>
        <w:t xml:space="preserve"> </w:t>
      </w:r>
      <w:r>
        <w:rPr>
          <w:rFonts w:cs="Arial"/>
        </w:rPr>
        <w:t xml:space="preserve">der Anfangsglieder „Lithium", „Beryllium" und „Bor" gegenüber 6 bei den Homologen. Der </w:t>
      </w:r>
      <w:r w:rsidRPr="00742260">
        <w:rPr>
          <w:rStyle w:val="Fett"/>
        </w:rPr>
        <w:t>maximalen</w:t>
      </w:r>
      <w:r>
        <w:rPr>
          <w:rFonts w:cs="Arial"/>
          <w:b/>
          <w:bCs/>
        </w:rPr>
        <w:t xml:space="preserve"> </w:t>
      </w:r>
      <w:r w:rsidRPr="00742260">
        <w:rPr>
          <w:rStyle w:val="Fett"/>
        </w:rPr>
        <w:t>Bindigkeit</w:t>
      </w:r>
      <w:r>
        <w:rPr>
          <w:rFonts w:cs="Arial"/>
          <w:b/>
          <w:bCs/>
        </w:rPr>
        <w:t xml:space="preserve"> </w:t>
      </w:r>
      <w:r>
        <w:rPr>
          <w:rFonts w:cs="Arial"/>
        </w:rPr>
        <w:t>4</w:t>
      </w:r>
      <w:r>
        <w:rPr>
          <w:rFonts w:cs="Arial"/>
          <w:b/>
          <w:bCs/>
        </w:rPr>
        <w:t xml:space="preserve"> </w:t>
      </w:r>
      <w:r>
        <w:rPr>
          <w:rFonts w:cs="Arial"/>
        </w:rPr>
        <w:t xml:space="preserve">der Mitglieder "Kohlenstoff", und „Stickstoff" gegenüber 6 bei den Homologen. Und der </w:t>
      </w:r>
      <w:r w:rsidRPr="00742260">
        <w:rPr>
          <w:rStyle w:val="Fett"/>
        </w:rPr>
        <w:t>höchsten</w:t>
      </w:r>
      <w:r>
        <w:rPr>
          <w:rFonts w:cs="Arial"/>
          <w:b/>
          <w:bCs/>
        </w:rPr>
        <w:t xml:space="preserve"> </w:t>
      </w:r>
      <w:r w:rsidRPr="00742260">
        <w:rPr>
          <w:rStyle w:val="Fett"/>
        </w:rPr>
        <w:t>Wertigkeit</w:t>
      </w:r>
      <w:r>
        <w:rPr>
          <w:rFonts w:cs="Arial"/>
          <w:b/>
          <w:bCs/>
        </w:rPr>
        <w:t xml:space="preserve"> </w:t>
      </w:r>
      <w:r>
        <w:rPr>
          <w:rFonts w:cs="Arial"/>
        </w:rPr>
        <w:t>2 und 0 der Endglieder "Sauerstoff" und „Fluor" gegenüber 6 und 7 bei den Homologen.</w:t>
      </w:r>
    </w:p>
    <w:p w14:paraId="48F75EF8" w14:textId="73D00BA2" w:rsidR="00742260" w:rsidRDefault="00742260" w:rsidP="00663741">
      <w:pPr>
        <w:pStyle w:val="Formeln"/>
        <w:rPr>
          <w:rFonts w:cs="Arial"/>
        </w:rPr>
      </w:pPr>
      <w:r w:rsidRPr="00742260">
        <w:rPr>
          <w:rStyle w:val="Fett"/>
        </w:rPr>
        <w:t>Koordinationszahl</w:t>
      </w:r>
      <w:r>
        <w:rPr>
          <w:rFonts w:cs="Arial"/>
        </w:rPr>
        <w:t>:</w:t>
      </w:r>
    </w:p>
    <w:p w14:paraId="0F5B2949" w14:textId="37C889EF" w:rsidR="00742260" w:rsidRDefault="00517825" w:rsidP="00742260">
      <w:pPr>
        <w:pStyle w:val="Formeln"/>
        <w:rPr>
          <w:rFonts w:eastAsiaTheme="minorEastAsia"/>
          <w:iCs/>
        </w:rPr>
      </w:pPr>
      <m:oMath>
        <m:sSup>
          <m:sSupPr>
            <m:ctrlPr>
              <w:rPr>
                <w:rFonts w:ascii="Cambria Math" w:hAnsi="Cambria Math"/>
              </w:rPr>
            </m:ctrlPr>
          </m:sSupPr>
          <m:e>
            <m:r>
              <m:rPr>
                <m:nor/>
              </m:rPr>
              <m:t>Li</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m:t>H</m:t>
                        </m:r>
                      </m:e>
                      <m:sub>
                        <m:r>
                          <m:rPr>
                            <m:nor/>
                          </m:rPr>
                          <m:t>2</m:t>
                        </m:r>
                      </m:sub>
                    </m:sSub>
                    <m:r>
                      <m:rPr>
                        <m:nor/>
                      </m:rPr>
                      <m:t>O</m:t>
                    </m:r>
                  </m:e>
                </m:d>
              </m:e>
              <m:sub>
                <m:r>
                  <m:rPr>
                    <m:nor/>
                  </m:rPr>
                  <w:rPr>
                    <w:color w:val="FF0000" w:themeColor="accent2"/>
                  </w:rPr>
                  <m:t>4</m:t>
                </m:r>
              </m:sub>
            </m:sSub>
          </m:e>
          <m:sup>
            <m:r>
              <m:rPr>
                <m:nor/>
              </m:rPr>
              <m:t>+</m:t>
            </m:r>
          </m:sup>
        </m:sSup>
        <m:r>
          <m:rPr>
            <m:nor/>
          </m:rPr>
          <m:t>;</m:t>
        </m:r>
        <m:r>
          <m:rPr>
            <m:sty m:val="p"/>
          </m:rPr>
          <w:rPr>
            <w:rFonts w:ascii="Cambria Math" w:hAnsi="Cambria Math"/>
          </w:rPr>
          <m:t xml:space="preserve"> </m:t>
        </m:r>
        <m:sSup>
          <m:sSupPr>
            <m:ctrlPr>
              <w:rPr>
                <w:rFonts w:ascii="Cambria Math" w:hAnsi="Cambria Math"/>
              </w:rPr>
            </m:ctrlPr>
          </m:sSupPr>
          <m:e>
            <m:sSub>
              <m:sSubPr>
                <m:ctrlPr>
                  <w:rPr>
                    <w:rFonts w:ascii="Cambria Math" w:hAnsi="Cambria Math"/>
                  </w:rPr>
                </m:ctrlPr>
              </m:sSubPr>
              <m:e>
                <m:r>
                  <m:rPr>
                    <m:nor/>
                  </m:rPr>
                  <m:t>BF</m:t>
                </m:r>
              </m:e>
              <m:sub>
                <m:r>
                  <m:rPr>
                    <m:nor/>
                  </m:rPr>
                  <w:rPr>
                    <w:color w:val="FF0000" w:themeColor="accent2"/>
                  </w:rPr>
                  <m:t>4</m:t>
                </m:r>
              </m:sub>
            </m:sSub>
          </m:e>
          <m:sup>
            <m:r>
              <m:rPr>
                <m:nor/>
              </m:rPr>
              <m:t>-</m:t>
            </m:r>
          </m:sup>
        </m:sSup>
      </m:oMath>
      <w:r w:rsidR="00742260">
        <w:rPr>
          <w:rFonts w:eastAsiaTheme="minorEastAsia"/>
        </w:rPr>
        <w:tab/>
      </w:r>
      <w:r w:rsidR="00742260">
        <w:rPr>
          <w:rFonts w:eastAsiaTheme="minorEastAsia"/>
        </w:rPr>
        <w:tab/>
        <w:t>aber:</w:t>
      </w:r>
      <w:r w:rsidR="00742260">
        <w:rPr>
          <w:rFonts w:eastAsiaTheme="minorEastAsia"/>
        </w:rPr>
        <w:tab/>
      </w:r>
      <w:r w:rsidR="00742260">
        <w:rPr>
          <w:rFonts w:eastAsiaTheme="minorEastAsia"/>
        </w:rPr>
        <w:tab/>
      </w:r>
      <m:oMath>
        <m:sSup>
          <m:sSupPr>
            <m:ctrlPr>
              <w:rPr>
                <w:rFonts w:ascii="Cambria Math" w:hAnsi="Cambria Math"/>
                <w:iCs/>
              </w:rPr>
            </m:ctrlPr>
          </m:sSupPr>
          <m:e>
            <m:r>
              <m:rPr>
                <m:nor/>
              </m:rPr>
              <w:rPr>
                <w:iCs/>
              </w:rPr>
              <m:t>Na</m:t>
            </m:r>
            <m:sSub>
              <m:sSubPr>
                <m:ctrlPr>
                  <w:rPr>
                    <w:rFonts w:ascii="Cambria Math" w:hAnsi="Cambria Math"/>
                    <w:iCs/>
                  </w:rPr>
                </m:ctrlPr>
              </m:sSubPr>
              <m:e>
                <m:d>
                  <m:dPr>
                    <m:ctrlPr>
                      <w:rPr>
                        <w:rFonts w:ascii="Cambria Math" w:hAnsi="Cambria Math"/>
                        <w:iCs/>
                      </w:rPr>
                    </m:ctrlPr>
                  </m:dPr>
                  <m:e>
                    <m:sSub>
                      <m:sSubPr>
                        <m:ctrlPr>
                          <w:rPr>
                            <w:rFonts w:ascii="Cambria Math" w:hAnsi="Cambria Math"/>
                            <w:iCs/>
                          </w:rPr>
                        </m:ctrlPr>
                      </m:sSubPr>
                      <m:e>
                        <m:r>
                          <m:rPr>
                            <m:nor/>
                          </m:rPr>
                          <w:rPr>
                            <w:iCs/>
                          </w:rPr>
                          <m:t>H</m:t>
                        </m:r>
                      </m:e>
                      <m:sub>
                        <m:r>
                          <m:rPr>
                            <m:nor/>
                          </m:rPr>
                          <w:rPr>
                            <w:iCs/>
                          </w:rPr>
                          <m:t>2</m:t>
                        </m:r>
                      </m:sub>
                    </m:sSub>
                    <m:r>
                      <m:rPr>
                        <m:nor/>
                      </m:rPr>
                      <w:rPr>
                        <w:iCs/>
                      </w:rPr>
                      <m:t>O</m:t>
                    </m:r>
                  </m:e>
                </m:d>
              </m:e>
              <m:sub>
                <m:r>
                  <m:rPr>
                    <m:nor/>
                  </m:rPr>
                  <w:rPr>
                    <w:iCs/>
                    <w:color w:val="FF0000" w:themeColor="accent2"/>
                  </w:rPr>
                  <m:t>6</m:t>
                </m:r>
              </m:sub>
            </m:sSub>
          </m:e>
          <m:sup>
            <m:r>
              <m:rPr>
                <m:nor/>
              </m:rPr>
              <w:rPr>
                <w:iCs/>
              </w:rPr>
              <m:t>+</m:t>
            </m:r>
          </m:sup>
        </m:sSup>
        <m:r>
          <m:rPr>
            <m:nor/>
          </m:rPr>
          <w:rPr>
            <w:iCs/>
          </w:rPr>
          <m:t xml:space="preserve">; </m:t>
        </m:r>
        <m:sSup>
          <m:sSupPr>
            <m:ctrlPr>
              <w:rPr>
                <w:rFonts w:ascii="Cambria Math" w:hAnsi="Cambria Math"/>
                <w:iCs/>
              </w:rPr>
            </m:ctrlPr>
          </m:sSupPr>
          <m:e>
            <m:sSub>
              <m:sSubPr>
                <m:ctrlPr>
                  <w:rPr>
                    <w:rFonts w:ascii="Cambria Math" w:hAnsi="Cambria Math"/>
                    <w:iCs/>
                  </w:rPr>
                </m:ctrlPr>
              </m:sSubPr>
              <m:e>
                <m:r>
                  <m:rPr>
                    <m:nor/>
                  </m:rPr>
                  <w:rPr>
                    <w:iCs/>
                  </w:rPr>
                  <m:t>AlF</m:t>
                </m:r>
              </m:e>
              <m:sub>
                <m:r>
                  <m:rPr>
                    <m:nor/>
                  </m:rPr>
                  <w:rPr>
                    <w:iCs/>
                    <w:color w:val="FF0000" w:themeColor="accent2"/>
                  </w:rPr>
                  <m:t>6</m:t>
                </m:r>
              </m:sub>
            </m:sSub>
          </m:e>
          <m:sup>
            <m:r>
              <m:rPr>
                <m:nor/>
              </m:rPr>
              <w:rPr>
                <w:iCs/>
              </w:rPr>
              <m:t>3-</m:t>
            </m:r>
          </m:sup>
        </m:sSup>
      </m:oMath>
    </w:p>
    <w:p w14:paraId="23605451" w14:textId="2AF1947B" w:rsidR="00742260" w:rsidRDefault="00742260" w:rsidP="00663741">
      <w:pPr>
        <w:pStyle w:val="Formeln"/>
      </w:pPr>
      <w:r w:rsidRPr="00742260">
        <w:rPr>
          <w:rStyle w:val="Fett"/>
        </w:rPr>
        <w:t>Max. Bindigkeit</w:t>
      </w:r>
      <w:r>
        <w:t>:</w:t>
      </w:r>
    </w:p>
    <w:p w14:paraId="10D9F838" w14:textId="5DD941CD" w:rsidR="00742260" w:rsidRDefault="00517825" w:rsidP="00742260">
      <w:pPr>
        <w:pStyle w:val="Formeln"/>
        <w:rPr>
          <w:rFonts w:eastAsiaTheme="minorEastAsia"/>
          <w:iCs/>
        </w:rPr>
      </w:pPr>
      <m:oMath>
        <m:sSub>
          <m:sSubPr>
            <m:ctrlPr>
              <w:rPr>
                <w:rFonts w:ascii="Cambria Math" w:hAnsi="Cambria Math"/>
              </w:rPr>
            </m:ctrlPr>
          </m:sSubPr>
          <m:e>
            <m:r>
              <m:rPr>
                <m:nor/>
              </m:rPr>
              <m:t>CF</m:t>
            </m:r>
          </m:e>
          <m:sub>
            <m:r>
              <m:rPr>
                <m:nor/>
              </m:rPr>
              <w:rPr>
                <w:color w:val="FF0000" w:themeColor="accent2"/>
              </w:rPr>
              <m:t>4</m:t>
            </m:r>
          </m:sub>
        </m:sSub>
        <m:r>
          <m:rPr>
            <m:nor/>
          </m:rPr>
          <m:t xml:space="preserve">; </m:t>
        </m:r>
        <m:sSup>
          <m:sSupPr>
            <m:ctrlPr>
              <w:rPr>
                <w:rFonts w:ascii="Cambria Math" w:hAnsi="Cambria Math"/>
              </w:rPr>
            </m:ctrlPr>
          </m:sSupPr>
          <m:e>
            <m:sSub>
              <m:sSubPr>
                <m:ctrlPr>
                  <w:rPr>
                    <w:rFonts w:ascii="Cambria Math" w:hAnsi="Cambria Math"/>
                  </w:rPr>
                </m:ctrlPr>
              </m:sSubPr>
              <m:e>
                <m:r>
                  <m:rPr>
                    <m:nor/>
                  </m:rPr>
                  <m:t>NF</m:t>
                </m:r>
              </m:e>
              <m:sub>
                <m:r>
                  <m:rPr>
                    <m:nor/>
                  </m:rPr>
                  <w:rPr>
                    <w:color w:val="FF0000" w:themeColor="accent2"/>
                  </w:rPr>
                  <m:t>4</m:t>
                </m:r>
              </m:sub>
            </m:sSub>
          </m:e>
          <m:sup>
            <m:r>
              <m:rPr>
                <m:nor/>
              </m:rPr>
              <m:t>+</m:t>
            </m:r>
          </m:sup>
        </m:sSup>
      </m:oMath>
      <w:r w:rsidR="00742260">
        <w:rPr>
          <w:rFonts w:eastAsiaTheme="minorEastAsia"/>
        </w:rPr>
        <w:tab/>
      </w:r>
      <w:r w:rsidR="00742260">
        <w:rPr>
          <w:rFonts w:eastAsiaTheme="minorEastAsia"/>
        </w:rPr>
        <w:tab/>
        <w:t>aber:</w:t>
      </w:r>
      <w:r w:rsidR="00742260">
        <w:rPr>
          <w:rFonts w:eastAsiaTheme="minorEastAsia"/>
        </w:rPr>
        <w:tab/>
      </w:r>
      <w:r w:rsidR="00742260">
        <w:rPr>
          <w:rFonts w:eastAsiaTheme="minorEastAsia"/>
        </w:rPr>
        <w:tab/>
      </w:r>
      <m:oMath>
        <m:sSup>
          <m:sSupPr>
            <m:ctrlPr>
              <w:rPr>
                <w:rFonts w:ascii="Cambria Math" w:hAnsi="Cambria Math"/>
                <w:iCs/>
              </w:rPr>
            </m:ctrlPr>
          </m:sSupPr>
          <m:e>
            <m:sSub>
              <m:sSubPr>
                <m:ctrlPr>
                  <w:rPr>
                    <w:rFonts w:ascii="Cambria Math" w:hAnsi="Cambria Math"/>
                    <w:iCs/>
                  </w:rPr>
                </m:ctrlPr>
              </m:sSubPr>
              <m:e>
                <m:r>
                  <m:rPr>
                    <m:nor/>
                  </m:rPr>
                  <w:rPr>
                    <w:iCs/>
                  </w:rPr>
                  <m:t>SiF</m:t>
                </m:r>
              </m:e>
              <m:sub>
                <m:r>
                  <m:rPr>
                    <m:nor/>
                  </m:rPr>
                  <w:rPr>
                    <w:iCs/>
                    <w:color w:val="FF0000" w:themeColor="accent2"/>
                  </w:rPr>
                  <m:t>6</m:t>
                </m:r>
              </m:sub>
            </m:sSub>
          </m:e>
          <m:sup>
            <m:r>
              <m:rPr>
                <m:nor/>
              </m:rPr>
              <w:rPr>
                <w:iCs/>
              </w:rPr>
              <m:t>2-</m:t>
            </m:r>
          </m:sup>
        </m:sSup>
        <m:r>
          <m:rPr>
            <m:nor/>
          </m:rPr>
          <w:rPr>
            <w:iCs/>
          </w:rPr>
          <m:t xml:space="preserve">; </m:t>
        </m:r>
        <m:sSup>
          <m:sSupPr>
            <m:ctrlPr>
              <w:rPr>
                <w:rFonts w:ascii="Cambria Math" w:hAnsi="Cambria Math"/>
                <w:iCs/>
              </w:rPr>
            </m:ctrlPr>
          </m:sSupPr>
          <m:e>
            <m:sSub>
              <m:sSubPr>
                <m:ctrlPr>
                  <w:rPr>
                    <w:rFonts w:ascii="Cambria Math" w:hAnsi="Cambria Math"/>
                    <w:iCs/>
                  </w:rPr>
                </m:ctrlPr>
              </m:sSubPr>
              <m:e>
                <m:r>
                  <m:rPr>
                    <m:nor/>
                  </m:rPr>
                  <w:rPr>
                    <w:iCs/>
                  </w:rPr>
                  <m:t>PF</m:t>
                </m:r>
              </m:e>
              <m:sub>
                <m:r>
                  <m:rPr>
                    <m:nor/>
                  </m:rPr>
                  <w:rPr>
                    <w:iCs/>
                    <w:color w:val="FF0000" w:themeColor="accent2"/>
                  </w:rPr>
                  <m:t>6</m:t>
                </m:r>
              </m:sub>
            </m:sSub>
          </m:e>
          <m:sup>
            <m:r>
              <m:rPr>
                <m:nor/>
              </m:rPr>
              <w:rPr>
                <w:iCs/>
              </w:rPr>
              <m:t>-</m:t>
            </m:r>
          </m:sup>
        </m:sSup>
      </m:oMath>
    </w:p>
    <w:p w14:paraId="0994E912" w14:textId="2DFF4D22" w:rsidR="00742260" w:rsidRDefault="00742260" w:rsidP="00663741">
      <w:pPr>
        <w:pStyle w:val="Formeln"/>
      </w:pPr>
      <w:r w:rsidRPr="00742260">
        <w:rPr>
          <w:rStyle w:val="Fett"/>
        </w:rPr>
        <w:t>Wertigkeit</w:t>
      </w:r>
      <w:r>
        <w:t>:</w:t>
      </w:r>
    </w:p>
    <w:p w14:paraId="363ECEF2" w14:textId="300A7145" w:rsidR="00742260" w:rsidRDefault="00517825" w:rsidP="00742260">
      <w:pPr>
        <w:pStyle w:val="Formeln"/>
        <w:rPr>
          <w:rFonts w:eastAsiaTheme="minorEastAsia"/>
          <w:iCs/>
        </w:rPr>
      </w:pPr>
      <m:oMath>
        <m:sSub>
          <m:sSubPr>
            <m:ctrlPr>
              <w:rPr>
                <w:rFonts w:ascii="Cambria Math" w:hAnsi="Cambria Math"/>
              </w:rPr>
            </m:ctrlPr>
          </m:sSubPr>
          <m:e>
            <m:r>
              <m:rPr>
                <m:nor/>
              </m:rPr>
              <m:t>OF</m:t>
            </m:r>
          </m:e>
          <m:sub>
            <m:r>
              <m:rPr>
                <m:nor/>
              </m:rPr>
              <w:rPr>
                <w:color w:val="FF0000" w:themeColor="accent2"/>
              </w:rPr>
              <m:t>2</m:t>
            </m:r>
          </m:sub>
        </m:sSub>
        <m:r>
          <m:rPr>
            <m:nor/>
          </m:rPr>
          <m:t>; FF</m:t>
        </m:r>
      </m:oMath>
      <w:r w:rsidR="00742260">
        <w:rPr>
          <w:rFonts w:eastAsiaTheme="minorEastAsia"/>
        </w:rPr>
        <w:tab/>
      </w:r>
      <w:r w:rsidR="00742260">
        <w:rPr>
          <w:rFonts w:eastAsiaTheme="minorEastAsia"/>
        </w:rPr>
        <w:tab/>
        <w:t>aber:</w:t>
      </w:r>
      <w:r w:rsidR="00742260">
        <w:rPr>
          <w:rFonts w:eastAsiaTheme="minorEastAsia"/>
        </w:rPr>
        <w:tab/>
      </w:r>
      <w:r w:rsidR="00742260">
        <w:rPr>
          <w:rFonts w:eastAsiaTheme="minorEastAsia"/>
        </w:rPr>
        <w:tab/>
      </w:r>
      <m:oMath>
        <m:sSub>
          <m:sSubPr>
            <m:ctrlPr>
              <w:rPr>
                <w:rFonts w:ascii="Cambria Math" w:hAnsi="Cambria Math"/>
                <w:iCs/>
              </w:rPr>
            </m:ctrlPr>
          </m:sSubPr>
          <m:e>
            <m:r>
              <m:rPr>
                <m:nor/>
              </m:rPr>
              <w:rPr>
                <w:iCs/>
              </w:rPr>
              <m:t>SF</m:t>
            </m:r>
          </m:e>
          <m:sub>
            <m:r>
              <m:rPr>
                <m:nor/>
              </m:rPr>
              <w:rPr>
                <w:iCs/>
                <w:color w:val="FF0000" w:themeColor="accent2"/>
              </w:rPr>
              <m:t>6</m:t>
            </m:r>
          </m:sub>
        </m:sSub>
        <m:r>
          <m:rPr>
            <m:nor/>
          </m:rPr>
          <w:rPr>
            <w:iCs/>
          </w:rPr>
          <m:t xml:space="preserve">; </m:t>
        </m:r>
        <m:sSup>
          <m:sSupPr>
            <m:ctrlPr>
              <w:rPr>
                <w:rFonts w:ascii="Cambria Math" w:hAnsi="Cambria Math"/>
                <w:iCs/>
              </w:rPr>
            </m:ctrlPr>
          </m:sSupPr>
          <m:e>
            <m:sSub>
              <m:sSubPr>
                <m:ctrlPr>
                  <w:rPr>
                    <w:rFonts w:ascii="Cambria Math" w:hAnsi="Cambria Math"/>
                    <w:iCs/>
                  </w:rPr>
                </m:ctrlPr>
              </m:sSubPr>
              <m:e>
                <m:r>
                  <m:rPr>
                    <m:nor/>
                  </m:rPr>
                  <w:rPr>
                    <w:iCs/>
                  </w:rPr>
                  <m:t>ClF</m:t>
                </m:r>
              </m:e>
              <m:sub>
                <m:r>
                  <m:rPr>
                    <m:nor/>
                  </m:rPr>
                  <w:rPr>
                    <w:iCs/>
                    <w:color w:val="FF0000" w:themeColor="accent2"/>
                  </w:rPr>
                  <m:t>6</m:t>
                </m:r>
              </m:sub>
            </m:sSub>
          </m:e>
          <m:sup>
            <m:r>
              <m:rPr>
                <m:nor/>
              </m:rPr>
              <w:rPr>
                <w:iCs/>
              </w:rPr>
              <m:t>+</m:t>
            </m:r>
          </m:sup>
        </m:sSup>
      </m:oMath>
    </w:p>
    <w:p w14:paraId="1BA82E9F" w14:textId="073793E7" w:rsidR="00742260" w:rsidRDefault="00742260" w:rsidP="00742260">
      <w:pPr>
        <w:pStyle w:val="Beschriftung"/>
      </w:pPr>
      <w:r>
        <w:t xml:space="preserve">Abb. </w:t>
      </w:r>
      <w:r w:rsidR="00517825">
        <w:fldChar w:fldCharType="begin"/>
      </w:r>
      <w:r w:rsidR="00517825">
        <w:instrText xml:space="preserve"> SEQ Abb. \* ARABIC </w:instrText>
      </w:r>
      <w:r w:rsidR="00517825">
        <w:fldChar w:fldCharType="separate"/>
      </w:r>
      <w:r w:rsidR="00517825">
        <w:rPr>
          <w:noProof/>
        </w:rPr>
        <w:t>11</w:t>
      </w:r>
      <w:r w:rsidR="00517825">
        <w:rPr>
          <w:noProof/>
        </w:rPr>
        <w:fldChar w:fldCharType="end"/>
      </w:r>
      <w:r>
        <w:t>: Beispiele zum Elektronen-Oktett [</w:t>
      </w:r>
      <w:r>
        <w:fldChar w:fldCharType="begin"/>
      </w:r>
      <w:r>
        <w:instrText xml:space="preserve"> REF _Ref57625725 \r \h </w:instrText>
      </w:r>
      <w:r>
        <w:fldChar w:fldCharType="separate"/>
      </w:r>
      <w:r w:rsidR="00517825">
        <w:t>8</w:t>
      </w:r>
      <w:r>
        <w:fldChar w:fldCharType="end"/>
      </w:r>
      <w:r>
        <w:t>]</w:t>
      </w:r>
    </w:p>
    <w:p w14:paraId="4C817CC8" w14:textId="7F7F2CBC" w:rsidR="00742260" w:rsidRDefault="00742260" w:rsidP="00742260">
      <w:pPr>
        <w:rPr>
          <w:rFonts w:cs="Arial"/>
        </w:rPr>
      </w:pPr>
      <w:r>
        <w:rPr>
          <w:rFonts w:cs="Arial"/>
        </w:rPr>
        <w:t>Die vergleichsweise kleinen</w:t>
      </w:r>
      <w:r>
        <w:rPr>
          <w:rFonts w:cs="Arial"/>
          <w:b/>
          <w:bCs/>
        </w:rPr>
        <w:t xml:space="preserve"> </w:t>
      </w:r>
      <w:r w:rsidRPr="00742260">
        <w:rPr>
          <w:rStyle w:val="Fett"/>
        </w:rPr>
        <w:t>Ionen</w:t>
      </w:r>
      <w:r>
        <w:rPr>
          <w:rStyle w:val="Fett"/>
        </w:rPr>
        <w:t>-R</w:t>
      </w:r>
      <w:r w:rsidRPr="00742260">
        <w:rPr>
          <w:rStyle w:val="Fett"/>
        </w:rPr>
        <w:t>adien</w:t>
      </w:r>
      <w:r>
        <w:rPr>
          <w:rFonts w:cs="Arial"/>
        </w:rPr>
        <w:t xml:space="preserve"> der frühen Kopf-Elemente im kationischen und der späten Kopf-Elemente im anionischen Zustand bedingen hohe Hydratations</w:t>
      </w:r>
      <w:r w:rsidR="002B2D18">
        <w:rPr>
          <w:rFonts w:cs="Arial"/>
        </w:rPr>
        <w:t>-E</w:t>
      </w:r>
      <w:r>
        <w:rPr>
          <w:rFonts w:cs="Arial"/>
        </w:rPr>
        <w:t>nthalpien der Kationen und Anionen, sowie einen harten Säure- bzw. Base</w:t>
      </w:r>
      <w:r w:rsidR="002B2D18">
        <w:rPr>
          <w:rFonts w:cs="Arial"/>
        </w:rPr>
        <w:t>-C</w:t>
      </w:r>
      <w:r>
        <w:rPr>
          <w:rFonts w:cs="Arial"/>
        </w:rPr>
        <w:t>harakter der Ionen.</w:t>
      </w:r>
    </w:p>
    <w:p w14:paraId="4CE41684" w14:textId="7632F3F7" w:rsidR="002B2D18" w:rsidRDefault="002B2D18" w:rsidP="002B2D18">
      <w:pPr>
        <w:pStyle w:val="Bilder"/>
      </w:pPr>
      <w:r>
        <w:rPr>
          <w:lang w:eastAsia="de-DE"/>
        </w:rPr>
        <w:drawing>
          <wp:inline distT="0" distB="0" distL="0" distR="0" wp14:anchorId="5ACD51E3" wp14:editId="6FE59346">
            <wp:extent cx="4940200" cy="288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40200" cy="2880000"/>
                    </a:xfrm>
                    <a:prstGeom prst="rect">
                      <a:avLst/>
                    </a:prstGeom>
                    <a:noFill/>
                    <a:ln>
                      <a:noFill/>
                    </a:ln>
                  </pic:spPr>
                </pic:pic>
              </a:graphicData>
            </a:graphic>
          </wp:inline>
        </w:drawing>
      </w:r>
    </w:p>
    <w:p w14:paraId="1BC651AE" w14:textId="3F7E82C6" w:rsidR="002B2D18" w:rsidRDefault="002B2D18" w:rsidP="002B2D18">
      <w:pPr>
        <w:pStyle w:val="Beschriftung"/>
      </w:pPr>
      <w:r>
        <w:t xml:space="preserve">Abb. </w:t>
      </w:r>
      <w:r w:rsidR="00517825">
        <w:fldChar w:fldCharType="begin"/>
      </w:r>
      <w:r w:rsidR="00517825">
        <w:instrText xml:space="preserve"> SEQ Abb. \* ARABIC </w:instrText>
      </w:r>
      <w:r w:rsidR="00517825">
        <w:fldChar w:fldCharType="separate"/>
      </w:r>
      <w:r w:rsidR="00517825">
        <w:rPr>
          <w:noProof/>
        </w:rPr>
        <w:t>12</w:t>
      </w:r>
      <w:r w:rsidR="00517825">
        <w:rPr>
          <w:noProof/>
        </w:rPr>
        <w:fldChar w:fldCharType="end"/>
      </w:r>
      <w:r>
        <w:t>: Ionen-Radien [</w:t>
      </w:r>
      <w:r>
        <w:fldChar w:fldCharType="begin"/>
      </w:r>
      <w:r>
        <w:instrText xml:space="preserve"> REF _Ref57625890 \r \h </w:instrText>
      </w:r>
      <w:r>
        <w:fldChar w:fldCharType="separate"/>
      </w:r>
      <w:r w:rsidR="00517825">
        <w:t>9</w:t>
      </w:r>
      <w:r>
        <w:fldChar w:fldCharType="end"/>
      </w:r>
      <w:r>
        <w:t>]</w:t>
      </w:r>
    </w:p>
    <w:p w14:paraId="3F3FB3D1" w14:textId="6BA7C547" w:rsidR="002B2D18" w:rsidRDefault="002B2D18" w:rsidP="002B2D18">
      <w:pPr>
        <w:rPr>
          <w:rFonts w:cs="Arial"/>
        </w:rPr>
      </w:pPr>
      <w:r>
        <w:rPr>
          <w:rFonts w:cs="Arial"/>
        </w:rPr>
        <w:t xml:space="preserve">Die dem Bor folgenden Kopf-Elemente „Kohlenstoff", „Stickstoff" und „Sauerstoff" tendieren zur Ausbildung stabiler Verbindungen mit </w:t>
      </w:r>
      <w:r w:rsidRPr="002B2D18">
        <w:rPr>
          <w:rStyle w:val="Fett"/>
        </w:rPr>
        <w:t>Mehrfach-Bindungen</w:t>
      </w:r>
      <w:r>
        <w:rPr>
          <w:rFonts w:cs="Arial"/>
        </w:rPr>
        <w:t>, wie z. B. „Distickstoff".</w:t>
      </w:r>
    </w:p>
    <w:p w14:paraId="1E482590" w14:textId="129FEFB8" w:rsidR="002B2D18" w:rsidRDefault="002B2D18" w:rsidP="002B2D18">
      <w:pPr>
        <w:rPr>
          <w:rFonts w:cs="Arial"/>
        </w:rPr>
      </w:pPr>
      <w:r>
        <w:rPr>
          <w:rFonts w:cs="Arial"/>
        </w:rPr>
        <w:t>Die schwereren Homologen vermeiden dagegen die Bildung von Mehrfach-Bindungen. Entsprechend sind Verbindungen wie „</w:t>
      </w:r>
      <w:proofErr w:type="spellStart"/>
      <w:r>
        <w:rPr>
          <w:rFonts w:cs="Arial"/>
        </w:rPr>
        <w:t>Diphosphor</w:t>
      </w:r>
      <w:proofErr w:type="spellEnd"/>
      <w:r>
        <w:rPr>
          <w:rFonts w:cs="Arial"/>
        </w:rPr>
        <w:t>" nur in der Gas-Phase bei hohen Temperaturen existent. Unter Normal-Bedingungen liegt dagegen P</w:t>
      </w:r>
      <w:r>
        <w:rPr>
          <w:rFonts w:cs="Arial"/>
          <w:vertAlign w:val="subscript"/>
        </w:rPr>
        <w:t>4</w:t>
      </w:r>
      <w:r>
        <w:rPr>
          <w:rFonts w:cs="Arial"/>
        </w:rPr>
        <w:t xml:space="preserve"> oder polymerer Phosphor vor, der nur σ-Bindungen enthält. Dies beruht vor allem auf der kinetischen Stabilität von π-Bindungen bei den kleinen Atomen der 2. Periode und der kinetischen Instabilität bei den größeren Atomen der höheren Perioden.</w:t>
      </w:r>
    </w:p>
    <w:p w14:paraId="1CBC284F" w14:textId="29BC931E" w:rsidR="002B2D18" w:rsidRDefault="002B2D18" w:rsidP="002B2D18">
      <w:pPr>
        <w:rPr>
          <w:rFonts w:cs="Arial"/>
        </w:rPr>
      </w:pPr>
      <w:r>
        <w:rPr>
          <w:rFonts w:cs="Arial"/>
        </w:rPr>
        <w:t xml:space="preserve">Weitere Anomalien ergeben sich u. a. aus dem Verlauf der </w:t>
      </w:r>
      <w:r w:rsidRPr="002B2D18">
        <w:rPr>
          <w:rStyle w:val="Fett"/>
        </w:rPr>
        <w:t>Dissoziations</w:t>
      </w:r>
      <w:r>
        <w:rPr>
          <w:rFonts w:cs="Arial"/>
          <w:b/>
          <w:bCs/>
        </w:rPr>
        <w:t>-</w:t>
      </w:r>
      <w:r>
        <w:rPr>
          <w:rFonts w:cs="Arial"/>
        </w:rPr>
        <w:t xml:space="preserve"> und </w:t>
      </w:r>
      <w:r w:rsidRPr="002B2D18">
        <w:rPr>
          <w:rStyle w:val="Fett"/>
        </w:rPr>
        <w:t>Atom</w:t>
      </w:r>
      <w:r>
        <w:rPr>
          <w:rStyle w:val="Fett"/>
        </w:rPr>
        <w:t>-</w:t>
      </w:r>
      <w:proofErr w:type="spellStart"/>
      <w:r>
        <w:rPr>
          <w:rStyle w:val="Fett"/>
        </w:rPr>
        <w:t>I</w:t>
      </w:r>
      <w:r w:rsidR="00517825">
        <w:rPr>
          <w:rStyle w:val="Fett"/>
        </w:rPr>
        <w:t>oni</w:t>
      </w:r>
      <w:r w:rsidRPr="002B2D18">
        <w:rPr>
          <w:rStyle w:val="Fett"/>
        </w:rPr>
        <w:t>sierungsenthalpien</w:t>
      </w:r>
      <w:proofErr w:type="spellEnd"/>
      <w:r>
        <w:rPr>
          <w:rFonts w:cs="Arial"/>
        </w:rPr>
        <w:t xml:space="preserve">, der </w:t>
      </w:r>
      <w:r w:rsidRPr="002B2D18">
        <w:rPr>
          <w:rStyle w:val="Fett"/>
        </w:rPr>
        <w:t>Elektro</w:t>
      </w:r>
      <w:r>
        <w:rPr>
          <w:rStyle w:val="Fett"/>
        </w:rPr>
        <w:t>-N</w:t>
      </w:r>
      <w:r w:rsidRPr="002B2D18">
        <w:rPr>
          <w:rStyle w:val="Fett"/>
        </w:rPr>
        <w:t>egativitäten</w:t>
      </w:r>
      <w:r>
        <w:rPr>
          <w:rFonts w:cs="Arial"/>
        </w:rPr>
        <w:t xml:space="preserve">, der </w:t>
      </w:r>
      <w:r w:rsidRPr="002B2D18">
        <w:rPr>
          <w:rStyle w:val="Fett"/>
        </w:rPr>
        <w:t>Ionisierungs</w:t>
      </w:r>
      <w:r>
        <w:rPr>
          <w:rStyle w:val="Fett"/>
        </w:rPr>
        <w:t>-E</w:t>
      </w:r>
      <w:r w:rsidRPr="002B2D18">
        <w:rPr>
          <w:rStyle w:val="Fett"/>
        </w:rPr>
        <w:t>nergien</w:t>
      </w:r>
      <w:r>
        <w:rPr>
          <w:rFonts w:cs="Arial"/>
        </w:rPr>
        <w:t xml:space="preserve"> und der </w:t>
      </w:r>
      <w:r w:rsidRPr="002B2D18">
        <w:rPr>
          <w:rStyle w:val="Fett"/>
        </w:rPr>
        <w:t>Elektronen</w:t>
      </w:r>
      <w:r>
        <w:rPr>
          <w:rStyle w:val="Fett"/>
        </w:rPr>
        <w:t>-A</w:t>
      </w:r>
      <w:r w:rsidRPr="002B2D18">
        <w:rPr>
          <w:rStyle w:val="Fett"/>
        </w:rPr>
        <w:t>ffinitäten</w:t>
      </w:r>
      <w:r>
        <w:rPr>
          <w:rFonts w:cs="Arial"/>
        </w:rPr>
        <w:t>. Diese zeigen beim Übergang von den schwereren Homologen zum betreffenden Kopf-Element vielfach einen anomalen Anstieg bzw. Abfall.</w:t>
      </w:r>
    </w:p>
    <w:p w14:paraId="554E127B" w14:textId="56E2975D" w:rsidR="002B2D18" w:rsidRDefault="002B2D18" w:rsidP="002B2D18">
      <w:pPr>
        <w:pStyle w:val="berschrift2"/>
      </w:pPr>
      <w:bookmarkStart w:id="6" w:name="_Toc57627805"/>
      <w:r>
        <w:t>Eigenschaftsverlauf</w:t>
      </w:r>
      <w:bookmarkEnd w:id="6"/>
    </w:p>
    <w:p w14:paraId="4DD5BAE1" w14:textId="4BC27383" w:rsidR="002B2D18" w:rsidRDefault="002B2D18" w:rsidP="002B2D18">
      <w:pPr>
        <w:rPr>
          <w:rFonts w:cs="Arial"/>
        </w:rPr>
      </w:pPr>
      <w:r>
        <w:rPr>
          <w:rFonts w:cs="Arial"/>
        </w:rPr>
        <w:t>Beim Fortschreiten von Element zu Element einer Haupt-Gruppe ergeben sich auch beim Übergang zwischen höheren Gruppen-Gliedern auffallende - wenn auch schwächer als bei den Kopf-Elementen ausgeprägte - Unregelmäßigkeiten im Eigenschaftsverlauf. Der Grund hierfür liegt in den zwischen „Calcium", „Strontium" und „Barium" in der II. und „Gallium", „Indium" und „Thallium" in der III. Hauptgruppe eingeschobenen Übergangselemente.</w:t>
      </w:r>
    </w:p>
    <w:p w14:paraId="7DD63A2F" w14:textId="2DFB4818" w:rsidR="002B2D18" w:rsidRDefault="002B2D18" w:rsidP="002B2D18">
      <w:pPr>
        <w:pStyle w:val="berschrift1"/>
      </w:pPr>
      <w:bookmarkStart w:id="7" w:name="_Toc57627806"/>
      <w:r>
        <w:t>Schräg-Beziehungen</w:t>
      </w:r>
      <w:bookmarkEnd w:id="7"/>
    </w:p>
    <w:p w14:paraId="1C099D7C" w14:textId="2000EE92" w:rsidR="002B2D18" w:rsidRDefault="002B2D18" w:rsidP="002B2D18">
      <w:pPr>
        <w:rPr>
          <w:rFonts w:cs="Arial"/>
        </w:rPr>
      </w:pPr>
      <w:r>
        <w:rPr>
          <w:rFonts w:cs="Arial"/>
        </w:rPr>
        <w:t>Wie bereits oben erwähnt, weicht das erste Element in jeder Gruppe in seinen Eigenschaften immer etwas von den übrigen Elementen der jeweiligen Gruppe ab. Dabei sind gewisse Ähnlichkeiten zu dem im PSE diagonal liegenden Elementen in der nächsthöheren Gruppe zu verzeichnen. Solche diagonalen Beziehungen werden Schräg-Beziehungen genannt. So ähnelt das „Lithium" mehr dem „Magnesium", das „Beryllium" mehr dem „Aluminium" und das „Bor" mehr dem „Silicium".</w:t>
      </w:r>
    </w:p>
    <w:p w14:paraId="5ECD2B7B" w14:textId="543DDB88" w:rsidR="002B2D18" w:rsidRDefault="002B2D18" w:rsidP="002B2D18">
      <w:pPr>
        <w:pStyle w:val="Bilder"/>
      </w:pPr>
      <w:r>
        <w:rPr>
          <w:lang w:eastAsia="de-DE"/>
        </w:rPr>
        <w:drawing>
          <wp:inline distT="0" distB="0" distL="0" distR="0" wp14:anchorId="47C5D5A4" wp14:editId="5A4DE9B6">
            <wp:extent cx="5760000" cy="12605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00" cy="1260500"/>
                    </a:xfrm>
                    <a:prstGeom prst="rect">
                      <a:avLst/>
                    </a:prstGeom>
                    <a:noFill/>
                    <a:ln>
                      <a:noFill/>
                    </a:ln>
                  </pic:spPr>
                </pic:pic>
              </a:graphicData>
            </a:graphic>
          </wp:inline>
        </w:drawing>
      </w:r>
    </w:p>
    <w:p w14:paraId="641BCA65" w14:textId="07AA33A8" w:rsidR="002B2D18" w:rsidRDefault="002B2D18" w:rsidP="002B2D18">
      <w:pPr>
        <w:pStyle w:val="Beschriftung"/>
      </w:pPr>
      <w:r>
        <w:t xml:space="preserve">Abb. </w:t>
      </w:r>
      <w:r w:rsidR="00517825">
        <w:fldChar w:fldCharType="begin"/>
      </w:r>
      <w:r w:rsidR="00517825">
        <w:instrText xml:space="preserve"> SEQ Abb. \* ARABIC </w:instrText>
      </w:r>
      <w:r w:rsidR="00517825">
        <w:fldChar w:fldCharType="separate"/>
      </w:r>
      <w:r w:rsidR="00517825">
        <w:rPr>
          <w:noProof/>
        </w:rPr>
        <w:t>13</w:t>
      </w:r>
      <w:r w:rsidR="00517825">
        <w:rPr>
          <w:noProof/>
        </w:rPr>
        <w:fldChar w:fldCharType="end"/>
      </w:r>
      <w:r>
        <w:t>: Schräg-Beziehungen [</w:t>
      </w:r>
      <w:r>
        <w:fldChar w:fldCharType="begin"/>
      </w:r>
      <w:r>
        <w:instrText xml:space="preserve"> REF _Ref57625890 \r \h </w:instrText>
      </w:r>
      <w:r>
        <w:fldChar w:fldCharType="separate"/>
      </w:r>
      <w:r w:rsidR="00517825">
        <w:t>9</w:t>
      </w:r>
      <w:r>
        <w:fldChar w:fldCharType="end"/>
      </w:r>
      <w:r>
        <w:t>]</w:t>
      </w:r>
    </w:p>
    <w:p w14:paraId="228A2C4C" w14:textId="4D1F8329" w:rsidR="002B2D18" w:rsidRDefault="002B2D18" w:rsidP="002B2D18">
      <w:pPr>
        <w:rPr>
          <w:rFonts w:cs="Arial"/>
        </w:rPr>
      </w:pPr>
      <w:r>
        <w:rPr>
          <w:rFonts w:cs="Arial"/>
        </w:rPr>
        <w:t>Diese Schräg-Beziehungen lassen sich auch experimentell zeigen. Die Eingangs dargestellte Logik des Periodensystems (Einordnung der Elemente nach chemischen Eigenschaften) wird dabei auf eine harte Probe gestellt.</w:t>
      </w:r>
    </w:p>
    <w:p w14:paraId="4CF791C3" w14:textId="53121960" w:rsidR="002B2D18" w:rsidRDefault="002B2D18" w:rsidP="002B2D18">
      <w:pPr>
        <w:rPr>
          <w:rFonts w:cs="Arial"/>
        </w:rPr>
      </w:pPr>
      <w:r w:rsidRPr="002B2D18">
        <w:rPr>
          <w:rStyle w:val="Fett"/>
        </w:rPr>
        <w:t>Experiment</w:t>
      </w:r>
      <w:r>
        <w:rPr>
          <w:rFonts w:cs="Arial"/>
        </w:rPr>
        <w:t>: Darstellung der Schräg-Beziehung zwischen Lithium und Magnesium [</w:t>
      </w:r>
      <w:r>
        <w:rPr>
          <w:rFonts w:cs="Arial"/>
        </w:rPr>
        <w:fldChar w:fldCharType="begin"/>
      </w:r>
      <w:r>
        <w:rPr>
          <w:rFonts w:cs="Arial"/>
        </w:rPr>
        <w:instrText xml:space="preserve"> REF _Ref57626907 \r \h </w:instrText>
      </w:r>
      <w:r>
        <w:rPr>
          <w:rFonts w:cs="Arial"/>
        </w:rPr>
      </w:r>
      <w:r>
        <w:rPr>
          <w:rFonts w:cs="Arial"/>
        </w:rPr>
        <w:fldChar w:fldCharType="separate"/>
      </w:r>
      <w:r w:rsidR="00517825">
        <w:rPr>
          <w:rFonts w:cs="Arial"/>
        </w:rPr>
        <w:t>10</w:t>
      </w:r>
      <w:r>
        <w:rPr>
          <w:rFonts w:cs="Arial"/>
        </w:rPr>
        <w:fldChar w:fldCharType="end"/>
      </w:r>
      <w:r>
        <w:rPr>
          <w:rFonts w:cs="Arial"/>
        </w:rPr>
        <w:t>]</w:t>
      </w:r>
    </w:p>
    <w:p w14:paraId="08D2B2D2" w14:textId="22043426" w:rsidR="002B2D18" w:rsidRDefault="002B2D18" w:rsidP="002B2D18">
      <w:r w:rsidRPr="008468A3">
        <w:rPr>
          <w:rStyle w:val="Fett"/>
        </w:rPr>
        <w:t>Material</w:t>
      </w:r>
      <w:r>
        <w:t>:</w:t>
      </w:r>
    </w:p>
    <w:p w14:paraId="527F6E13" w14:textId="77777777" w:rsidR="008468A3" w:rsidRDefault="008468A3" w:rsidP="002B2D18">
      <w:pPr>
        <w:pStyle w:val="Liste1Aufzhlung"/>
        <w:sectPr w:rsidR="008468A3" w:rsidSect="005F265D">
          <w:type w:val="continuous"/>
          <w:pgSz w:w="11906" w:h="16838"/>
          <w:pgMar w:top="851" w:right="1134" w:bottom="851" w:left="1418" w:header="0" w:footer="0" w:gutter="0"/>
          <w:cols w:space="708"/>
          <w:titlePg/>
          <w:docGrid w:linePitch="360"/>
        </w:sectPr>
      </w:pPr>
    </w:p>
    <w:p w14:paraId="165149A8" w14:textId="4DC67B92" w:rsidR="002B2D18" w:rsidRDefault="002B2D18" w:rsidP="002B2D18">
      <w:pPr>
        <w:pStyle w:val="Liste1Aufzhlung"/>
      </w:pPr>
      <w:r>
        <w:t>3 Reagenzgläser</w:t>
      </w:r>
    </w:p>
    <w:p w14:paraId="63578299" w14:textId="0EA44B46" w:rsidR="002B2D18" w:rsidRDefault="002B2D18" w:rsidP="002B2D18">
      <w:pPr>
        <w:pStyle w:val="Liste1Aufzhlung"/>
      </w:pPr>
      <w:r>
        <w:t>Reagenzglas-Gestell</w:t>
      </w:r>
    </w:p>
    <w:p w14:paraId="4FE86DA8" w14:textId="01685643" w:rsidR="002B2D18" w:rsidRDefault="002B2D18" w:rsidP="002B2D18">
      <w:pPr>
        <w:pStyle w:val="Liste1Aufzhlung"/>
      </w:pPr>
      <w:r>
        <w:t>Pasteur-Pipetten, Hütchen</w:t>
      </w:r>
    </w:p>
    <w:p w14:paraId="304FF56A" w14:textId="77777777" w:rsidR="008468A3" w:rsidRDefault="008468A3" w:rsidP="002B2D18">
      <w:pPr>
        <w:rPr>
          <w:rStyle w:val="Fett"/>
        </w:rPr>
        <w:sectPr w:rsidR="008468A3" w:rsidSect="008468A3">
          <w:type w:val="continuous"/>
          <w:pgSz w:w="11906" w:h="16838"/>
          <w:pgMar w:top="851" w:right="1134" w:bottom="851" w:left="1418" w:header="0" w:footer="0" w:gutter="0"/>
          <w:cols w:num="2" w:space="708"/>
          <w:titlePg/>
          <w:docGrid w:linePitch="360"/>
        </w:sectPr>
      </w:pPr>
    </w:p>
    <w:p w14:paraId="733ADB67" w14:textId="7DAEA72A" w:rsidR="002B2D18" w:rsidRDefault="002B2D18" w:rsidP="002B2D18">
      <w:r w:rsidRPr="008468A3">
        <w:rPr>
          <w:rStyle w:val="Fett"/>
        </w:rPr>
        <w:t>Chemikalien</w:t>
      </w:r>
      <w:r>
        <w:t>:</w:t>
      </w:r>
    </w:p>
    <w:p w14:paraId="75C542EC" w14:textId="77777777" w:rsidR="008468A3" w:rsidRDefault="008468A3" w:rsidP="008468A3">
      <w:pPr>
        <w:pStyle w:val="Liste1Aufzhlung"/>
        <w:jc w:val="left"/>
        <w:rPr>
          <w:rStyle w:val="RotZchn"/>
        </w:rPr>
        <w:sectPr w:rsidR="008468A3" w:rsidSect="005F265D">
          <w:type w:val="continuous"/>
          <w:pgSz w:w="11906" w:h="16838"/>
          <w:pgMar w:top="851" w:right="1134" w:bottom="851" w:left="1418" w:header="0" w:footer="0" w:gutter="0"/>
          <w:cols w:space="708"/>
          <w:titlePg/>
          <w:docGrid w:linePitch="360"/>
        </w:sectPr>
      </w:pPr>
    </w:p>
    <w:p w14:paraId="453AA4E2" w14:textId="0686A06E" w:rsidR="002B2D18" w:rsidRPr="008468A3" w:rsidRDefault="002B2D18" w:rsidP="008468A3">
      <w:pPr>
        <w:pStyle w:val="Liste1Aufzhlung"/>
        <w:jc w:val="left"/>
        <w:rPr>
          <w:rStyle w:val="CASNrZchn"/>
          <w:sz w:val="24"/>
          <w:szCs w:val="22"/>
        </w:rPr>
      </w:pPr>
      <w:r w:rsidRPr="0023729A">
        <w:rPr>
          <w:rStyle w:val="RotZchn"/>
        </w:rPr>
        <w:t>Lithiumchlorid</w:t>
      </w:r>
      <w:r w:rsidR="008468A3" w:rsidRPr="008468A3">
        <w:t>-Lösung</w:t>
      </w:r>
      <w:r w:rsidR="008468A3" w:rsidRPr="008468A3">
        <w:br/>
        <w:t>w= 5%</w:t>
      </w:r>
      <w:r w:rsidRPr="000740FB">
        <w:br/>
      </w:r>
      <w:r w:rsidRPr="0023729A">
        <w:rPr>
          <w:rStyle w:val="CASNrZchn"/>
        </w:rPr>
        <w:t>CAS-Nr.: 7447-41-8</w:t>
      </w:r>
      <w:r w:rsidRPr="000740FB">
        <w:br/>
      </w:r>
      <w:r w:rsidRPr="000740FB">
        <w:rPr>
          <w:noProof/>
          <w:lang w:eastAsia="de-DE"/>
        </w:rPr>
        <w:drawing>
          <wp:inline distT="0" distB="0" distL="0" distR="0" wp14:anchorId="19E46731" wp14:editId="6A577B5F">
            <wp:extent cx="361950" cy="361950"/>
            <wp:effectExtent l="0" t="0" r="0" b="0"/>
            <wp:docPr id="4117" name="Grafik 4117" descr="Y:\Experimentierkurs BioEnglisch\ghs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Y:\Experimentierkurs BioEnglisch\ghs0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0740FB">
        <w:t xml:space="preserve"> Achtung</w:t>
      </w:r>
      <w:r w:rsidRPr="000740FB">
        <w:br/>
      </w:r>
      <w:r w:rsidRPr="0023729A">
        <w:rPr>
          <w:rStyle w:val="CASNrZchn"/>
        </w:rPr>
        <w:t>H302, H315, H319</w:t>
      </w:r>
      <w:r w:rsidRPr="0023729A">
        <w:rPr>
          <w:rStyle w:val="CASNrZchn"/>
        </w:rPr>
        <w:br/>
        <w:t>P302+P352, P305+P351+P338</w:t>
      </w:r>
    </w:p>
    <w:p w14:paraId="425957BE" w14:textId="26D9E653" w:rsidR="008468A3" w:rsidRPr="008468A3" w:rsidRDefault="008468A3" w:rsidP="008468A3">
      <w:pPr>
        <w:pStyle w:val="Liste1Aufzhlung"/>
        <w:jc w:val="left"/>
        <w:rPr>
          <w:rStyle w:val="CASNrZchn"/>
          <w:sz w:val="24"/>
          <w:szCs w:val="22"/>
        </w:rPr>
      </w:pPr>
      <w:r w:rsidRPr="0023729A">
        <w:rPr>
          <w:rStyle w:val="RotZchn"/>
        </w:rPr>
        <w:t>Magnesiumchlorid</w:t>
      </w:r>
      <w:r w:rsidRPr="008468A3">
        <w:t>-Lösung</w:t>
      </w:r>
      <w:r w:rsidRPr="008468A3">
        <w:br/>
        <w:t>w= 5%</w:t>
      </w:r>
      <w:r w:rsidRPr="000740FB">
        <w:br/>
      </w:r>
      <w:r w:rsidRPr="0023729A">
        <w:rPr>
          <w:rStyle w:val="CASNrZchn"/>
        </w:rPr>
        <w:t>CAS-Nr.: 7791-18-6</w:t>
      </w:r>
    </w:p>
    <w:p w14:paraId="1065B6CD" w14:textId="783A8CD2" w:rsidR="008468A3" w:rsidRPr="008468A3" w:rsidRDefault="008468A3" w:rsidP="008468A3">
      <w:pPr>
        <w:pStyle w:val="Liste1Aufzhlung"/>
        <w:jc w:val="left"/>
        <w:rPr>
          <w:rStyle w:val="CASNrZchn"/>
          <w:sz w:val="24"/>
          <w:szCs w:val="22"/>
        </w:rPr>
      </w:pPr>
      <w:r w:rsidRPr="0023729A">
        <w:rPr>
          <w:rStyle w:val="RotZchn"/>
        </w:rPr>
        <w:t>Calciumchlorid</w:t>
      </w:r>
      <w:r w:rsidRPr="008468A3">
        <w:t>-Lösung</w:t>
      </w:r>
      <w:r w:rsidRPr="008468A3">
        <w:br/>
        <w:t>w= 5%</w:t>
      </w:r>
      <w:r w:rsidRPr="008468A3">
        <w:br/>
      </w:r>
      <w:r w:rsidRPr="0023729A">
        <w:rPr>
          <w:rStyle w:val="CASNrZchn"/>
        </w:rPr>
        <w:t>CAS-Nr.: 10043-52-4</w:t>
      </w:r>
      <w:r w:rsidRPr="00517825">
        <w:br/>
      </w:r>
      <w:r w:rsidRPr="000740FB">
        <w:rPr>
          <w:noProof/>
          <w:lang w:eastAsia="de-DE"/>
        </w:rPr>
        <w:drawing>
          <wp:inline distT="0" distB="0" distL="0" distR="0" wp14:anchorId="2750FBA1" wp14:editId="68D20A4E">
            <wp:extent cx="358140" cy="365760"/>
            <wp:effectExtent l="0" t="0" r="3810" b="0"/>
            <wp:docPr id="515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22"/>
                    <a:stretch>
                      <a:fillRect/>
                    </a:stretch>
                  </pic:blipFill>
                  <pic:spPr>
                    <a:xfrm>
                      <a:off x="0" y="0"/>
                      <a:ext cx="358140" cy="365760"/>
                    </a:xfrm>
                    <a:prstGeom prst="rect">
                      <a:avLst/>
                    </a:prstGeom>
                  </pic:spPr>
                </pic:pic>
              </a:graphicData>
            </a:graphic>
          </wp:inline>
        </w:drawing>
      </w:r>
      <w:r w:rsidRPr="00517825">
        <w:t xml:space="preserve"> Achtung</w:t>
      </w:r>
      <w:r w:rsidRPr="00517825">
        <w:br/>
      </w:r>
      <w:r w:rsidRPr="0023729A">
        <w:rPr>
          <w:rStyle w:val="CASNrZchn"/>
        </w:rPr>
        <w:t>H319</w:t>
      </w:r>
      <w:r w:rsidRPr="0023729A">
        <w:rPr>
          <w:rStyle w:val="CASNrZchn"/>
        </w:rPr>
        <w:br/>
        <w:t>P305+P351+P338</w:t>
      </w:r>
    </w:p>
    <w:p w14:paraId="7375912F" w14:textId="273A6E46" w:rsidR="008468A3" w:rsidRPr="008468A3" w:rsidRDefault="008468A3" w:rsidP="008468A3">
      <w:pPr>
        <w:pStyle w:val="Liste1Aufzhlung"/>
        <w:jc w:val="left"/>
        <w:rPr>
          <w:rStyle w:val="CASNrZchn"/>
          <w:sz w:val="24"/>
          <w:szCs w:val="22"/>
        </w:rPr>
      </w:pPr>
      <w:r w:rsidRPr="0023729A">
        <w:rPr>
          <w:rStyle w:val="RotZchn"/>
        </w:rPr>
        <w:t>Dinatriumhydrogenphosphat-</w:t>
      </w:r>
      <w:r>
        <w:rPr>
          <w:rStyle w:val="RotZchn"/>
        </w:rPr>
        <w:t>Lösung</w:t>
      </w:r>
      <w:r w:rsidRPr="000740FB">
        <w:br/>
        <w:t>(Na</w:t>
      </w:r>
      <w:r w:rsidRPr="008468A3">
        <w:rPr>
          <w:vertAlign w:val="subscript"/>
        </w:rPr>
        <w:t>2</w:t>
      </w:r>
      <w:r w:rsidRPr="000740FB">
        <w:t>HPO</w:t>
      </w:r>
      <w:r w:rsidRPr="008468A3">
        <w:rPr>
          <w:vertAlign w:val="subscript"/>
        </w:rPr>
        <w:t>4</w:t>
      </w:r>
      <w:r w:rsidRPr="000740FB">
        <w:t>*2H</w:t>
      </w:r>
      <w:r w:rsidRPr="008468A3">
        <w:rPr>
          <w:vertAlign w:val="subscript"/>
        </w:rPr>
        <w:t>2</w:t>
      </w:r>
      <w:r w:rsidRPr="000740FB">
        <w:t>O)</w:t>
      </w:r>
      <w:r>
        <w:br/>
        <w:t>gesättigt</w:t>
      </w:r>
      <w:r w:rsidRPr="000740FB">
        <w:br/>
      </w:r>
      <w:r w:rsidRPr="0023729A">
        <w:rPr>
          <w:rStyle w:val="CASNrZchn"/>
        </w:rPr>
        <w:t>CAS-Nr.: 10028-24-7</w:t>
      </w:r>
    </w:p>
    <w:p w14:paraId="0F18FFF7" w14:textId="7DC48BF7" w:rsidR="008468A3" w:rsidRPr="008468A3" w:rsidRDefault="008468A3" w:rsidP="008468A3">
      <w:pPr>
        <w:pStyle w:val="Liste1Aufzhlung"/>
        <w:jc w:val="left"/>
        <w:rPr>
          <w:rStyle w:val="CASNrZchn"/>
          <w:sz w:val="24"/>
          <w:szCs w:val="22"/>
        </w:rPr>
      </w:pPr>
      <w:bookmarkStart w:id="8" w:name="_Hlk55292070"/>
      <w:r w:rsidRPr="005B4D9A">
        <w:rPr>
          <w:rStyle w:val="RotZchn"/>
        </w:rPr>
        <w:t>Natronlauge</w:t>
      </w:r>
      <w:r w:rsidRPr="000740FB">
        <w:br/>
        <w:t>c= 2mol/L</w:t>
      </w:r>
      <w:r w:rsidRPr="000740FB">
        <w:br/>
      </w:r>
      <w:r w:rsidRPr="005B4D9A">
        <w:rPr>
          <w:rStyle w:val="CASNrZchn"/>
        </w:rPr>
        <w:t>CAS-Nr.: 1310-73-2</w:t>
      </w:r>
      <w:r w:rsidRPr="000740FB">
        <w:br/>
      </w:r>
      <w:r w:rsidRPr="000740FB">
        <w:rPr>
          <w:noProof/>
          <w:lang w:eastAsia="de-DE"/>
        </w:rPr>
        <w:drawing>
          <wp:inline distT="0" distB="0" distL="0" distR="0" wp14:anchorId="0FF95E0B" wp14:editId="6C999619">
            <wp:extent cx="358140" cy="365760"/>
            <wp:effectExtent l="0" t="0" r="381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Gefahr</w:t>
      </w:r>
      <w:r w:rsidRPr="000740FB">
        <w:br/>
      </w:r>
      <w:r w:rsidRPr="005B4D9A">
        <w:rPr>
          <w:rStyle w:val="CASNrZchn"/>
        </w:rPr>
        <w:t>H290, H314</w:t>
      </w:r>
      <w:r w:rsidRPr="005B4D9A">
        <w:rPr>
          <w:rStyle w:val="CASNrZchn"/>
        </w:rPr>
        <w:br/>
        <w:t>P280, P305+P351+P338, P308+310</w:t>
      </w:r>
      <w:bookmarkEnd w:id="8"/>
    </w:p>
    <w:p w14:paraId="7E068824" w14:textId="77777777" w:rsidR="008468A3" w:rsidRDefault="008468A3" w:rsidP="008468A3">
      <w:pPr>
        <w:rPr>
          <w:rStyle w:val="Fett"/>
        </w:rPr>
        <w:sectPr w:rsidR="008468A3" w:rsidSect="008468A3">
          <w:type w:val="continuous"/>
          <w:pgSz w:w="11906" w:h="16838"/>
          <w:pgMar w:top="851" w:right="1134" w:bottom="851" w:left="1418" w:header="0" w:footer="0" w:gutter="0"/>
          <w:cols w:num="2" w:space="708"/>
          <w:titlePg/>
          <w:docGrid w:linePitch="360"/>
        </w:sectPr>
      </w:pPr>
    </w:p>
    <w:p w14:paraId="393D1CF1" w14:textId="2BA542F5" w:rsidR="008468A3" w:rsidRDefault="008468A3" w:rsidP="008468A3">
      <w:pPr>
        <w:rPr>
          <w:rFonts w:cs="Arial"/>
        </w:rPr>
      </w:pPr>
      <w:r w:rsidRPr="008468A3">
        <w:rPr>
          <w:rStyle w:val="Fett"/>
        </w:rPr>
        <w:t>Durchführung</w:t>
      </w:r>
      <w:r>
        <w:t xml:space="preserve">: </w:t>
      </w:r>
      <w:r>
        <w:rPr>
          <w:rFonts w:cs="Arial"/>
        </w:rPr>
        <w:t>In drei Reagenzgläsern werden Lithiumchlorid-, Magnesiumchlorid- und Calciumchlorid-Lösung vorgelegt und mit der Dinatriumhydrogenphosphat-Lösung versetzt. Anschließend werden zu allen drei Lösungen noch einige Tropfen Natriumhydroxid-Lösung zugesetzt.</w:t>
      </w:r>
    </w:p>
    <w:p w14:paraId="76A71DFB" w14:textId="2B477842" w:rsidR="008468A3" w:rsidRDefault="008468A3" w:rsidP="008468A3">
      <w:pPr>
        <w:rPr>
          <w:rFonts w:cs="Arial"/>
        </w:rPr>
      </w:pPr>
      <w:r w:rsidRPr="008468A3">
        <w:rPr>
          <w:rStyle w:val="Fett"/>
        </w:rPr>
        <w:t>Beobachtung</w:t>
      </w:r>
      <w:r>
        <w:rPr>
          <w:rFonts w:cs="Arial"/>
        </w:rPr>
        <w:t>: Lithiumchlorid und Magnesiumchlorid bilden im alkalischen mit Phosphat-Ionen einen farblosen Niederschlag, die Calciumchlorid-Lösung bleibt klar.</w:t>
      </w:r>
    </w:p>
    <w:p w14:paraId="6FDD5297" w14:textId="498C9F66" w:rsidR="008468A3" w:rsidRDefault="008468A3" w:rsidP="008468A3">
      <w:pPr>
        <w:rPr>
          <w:rFonts w:cs="Arial"/>
        </w:rPr>
      </w:pPr>
      <w:r w:rsidRPr="008468A3">
        <w:rPr>
          <w:rStyle w:val="Fett"/>
        </w:rPr>
        <w:t>Interpretation</w:t>
      </w:r>
      <w:r>
        <w:rPr>
          <w:rFonts w:cs="Arial"/>
        </w:rPr>
        <w:t>: Das im Experiment beobachtete Verhalten beruht auf der Fähigkeit kleiner und dabei hoch geladener Kationen (wie Li</w:t>
      </w:r>
      <w:r>
        <w:rPr>
          <w:rFonts w:cs="Arial"/>
          <w:vertAlign w:val="superscript"/>
        </w:rPr>
        <w:t>+</w:t>
      </w:r>
      <w:r>
        <w:rPr>
          <w:rFonts w:cs="Arial"/>
        </w:rPr>
        <w:t xml:space="preserve"> oder Mg</w:t>
      </w:r>
      <w:r>
        <w:rPr>
          <w:rFonts w:cs="Arial"/>
          <w:vertAlign w:val="superscript"/>
        </w:rPr>
        <w:t>2+</w:t>
      </w:r>
      <w:r>
        <w:rPr>
          <w:rFonts w:cs="Arial"/>
        </w:rPr>
        <w:t>), die Bindungs-Elektronen eines vergleichsweise großen Anions besonders stark an sich zu ziehen.</w:t>
      </w:r>
    </w:p>
    <w:p w14:paraId="32CBDDF4" w14:textId="37134910" w:rsidR="008468A3" w:rsidRDefault="008468A3" w:rsidP="008468A3">
      <w:pPr>
        <w:pStyle w:val="Bilder"/>
      </w:pPr>
      <w:r>
        <w:rPr>
          <w:lang w:eastAsia="de-DE"/>
        </w:rPr>
        <w:drawing>
          <wp:inline distT="0" distB="0" distL="0" distR="0" wp14:anchorId="7EB1BB13" wp14:editId="667B8444">
            <wp:extent cx="4322499" cy="1800000"/>
            <wp:effectExtent l="0" t="0" r="190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2499" cy="1800000"/>
                    </a:xfrm>
                    <a:prstGeom prst="rect">
                      <a:avLst/>
                    </a:prstGeom>
                    <a:noFill/>
                    <a:ln>
                      <a:noFill/>
                    </a:ln>
                  </pic:spPr>
                </pic:pic>
              </a:graphicData>
            </a:graphic>
          </wp:inline>
        </w:drawing>
      </w:r>
    </w:p>
    <w:p w14:paraId="79E6B1B1" w14:textId="31D932EC" w:rsidR="008468A3" w:rsidRDefault="008468A3" w:rsidP="008468A3">
      <w:pPr>
        <w:pStyle w:val="Beschriftung"/>
      </w:pPr>
      <w:r>
        <w:t xml:space="preserve">Abb. </w:t>
      </w:r>
      <w:r w:rsidR="00517825">
        <w:fldChar w:fldCharType="begin"/>
      </w:r>
      <w:r w:rsidR="00517825">
        <w:instrText xml:space="preserve"> SEQ Abb. \* ARABIC </w:instrText>
      </w:r>
      <w:r w:rsidR="00517825">
        <w:fldChar w:fldCharType="separate"/>
      </w:r>
      <w:r w:rsidR="00517825">
        <w:rPr>
          <w:noProof/>
        </w:rPr>
        <w:t>14</w:t>
      </w:r>
      <w:r w:rsidR="00517825">
        <w:rPr>
          <w:noProof/>
        </w:rPr>
        <w:fldChar w:fldCharType="end"/>
      </w:r>
      <w:r>
        <w:t>: Schematische Darstellung der Polarisierung eines Pho</w:t>
      </w:r>
      <w:r w:rsidR="00517825">
        <w:t>s</w:t>
      </w:r>
      <w:r>
        <w:t>phat-Ions durch Lithium-Ionen [</w:t>
      </w:r>
      <w:r>
        <w:fldChar w:fldCharType="begin"/>
      </w:r>
      <w:r>
        <w:instrText xml:space="preserve"> REF _Ref57625725 \r \h </w:instrText>
      </w:r>
      <w:r>
        <w:fldChar w:fldCharType="separate"/>
      </w:r>
      <w:r w:rsidR="00517825">
        <w:t>8</w:t>
      </w:r>
      <w:r>
        <w:fldChar w:fldCharType="end"/>
      </w:r>
      <w:r>
        <w:t>]</w:t>
      </w:r>
    </w:p>
    <w:p w14:paraId="67B71F6F" w14:textId="3BA05A92" w:rsidR="008468A3" w:rsidRDefault="008468A3" w:rsidP="008468A3">
      <w:pPr>
        <w:rPr>
          <w:rFonts w:cs="Arial"/>
        </w:rPr>
      </w:pPr>
      <w:r>
        <w:rPr>
          <w:rFonts w:cs="Arial"/>
        </w:rPr>
        <w:t>Die Verschiebung der Bindungs-Elektronen entlang der Bindungs-Achsen zwischen Phosphat-Ion und Lithium-Ionen bedeutet einen höheren kovalenten Bindungsanteil und daraus resultierend eine schlechtere Löslichkeit des Reaktionsproduktes in Wasser.</w:t>
      </w:r>
    </w:p>
    <w:p w14:paraId="11BF6E01" w14:textId="72E9E0F3" w:rsidR="008468A3" w:rsidRDefault="008468A3" w:rsidP="008468A3">
      <w:pPr>
        <w:rPr>
          <w:rFonts w:cs="Arial"/>
        </w:rPr>
      </w:pPr>
      <w:r>
        <w:rPr>
          <w:rFonts w:cs="Arial"/>
        </w:rPr>
        <w:t>In der Folge reagieren Magnesium-Ionen ähnlich wie Lithium-Ionen und grenzen dieses Element scharf vom höheren Gruppen-Homologen Calcium ab.</w:t>
      </w:r>
    </w:p>
    <w:p w14:paraId="1167AED6" w14:textId="23827D63" w:rsidR="008468A3" w:rsidRDefault="008468A3" w:rsidP="008468A3">
      <w:pPr>
        <w:rPr>
          <w:rFonts w:cs="Arial"/>
        </w:rPr>
      </w:pPr>
      <w:r>
        <w:rPr>
          <w:rFonts w:cs="Arial"/>
        </w:rPr>
        <w:t>Im Allgemeinen beruhen diese Ähnlichkeiten vor allem auf dem ähnlichen Verhältnis von Ladung und Ionen-Radius der betrachteten Elemente:</w:t>
      </w:r>
    </w:p>
    <w:p w14:paraId="60110EFD" w14:textId="1916C4A5" w:rsidR="008468A3" w:rsidRPr="008468A3" w:rsidRDefault="00517825" w:rsidP="008468A3">
      <w:pPr>
        <w:pStyle w:val="Formeln"/>
        <w:rPr>
          <w:rFonts w:eastAsiaTheme="minorEastAsia"/>
        </w:rPr>
      </w:pPr>
      <m:oMathPara>
        <m:oMath>
          <m:f>
            <m:fPr>
              <m:ctrlPr>
                <w:rPr>
                  <w:rFonts w:ascii="Cambria Math" w:hAnsi="Cambria Math"/>
                </w:rPr>
              </m:ctrlPr>
            </m:fPr>
            <m:num>
              <m:r>
                <m:rPr>
                  <m:nor/>
                </m:rPr>
                <m:t>Ladung</m:t>
              </m:r>
            </m:num>
            <m:den>
              <m:r>
                <m:rPr>
                  <m:nor/>
                </m:rPr>
                <m:t>Ionen-Radius</m:t>
              </m:r>
              <m:r>
                <m:rPr>
                  <m:sty m:val="p"/>
                </m:rPr>
                <w:rPr>
                  <w:rFonts w:ascii="Cambria Math" w:hAnsi="Cambria Math"/>
                </w:rPr>
                <m:t xml:space="preserve"> </m:t>
              </m:r>
              <m:d>
                <m:dPr>
                  <m:begChr m:val="["/>
                  <m:endChr m:val="]"/>
                  <m:ctrlPr>
                    <w:rPr>
                      <w:rFonts w:ascii="Cambria Math" w:hAnsi="Cambria Math"/>
                    </w:rPr>
                  </m:ctrlPr>
                </m:dPr>
                <m:e>
                  <m:r>
                    <m:rPr>
                      <m:nor/>
                    </m:rPr>
                    <m:t>pm</m:t>
                  </m:r>
                </m:e>
              </m:d>
            </m:den>
          </m:f>
          <m:d>
            <m:dPr>
              <m:begChr m:val="["/>
              <m:endChr m:val="]"/>
              <m:ctrlPr>
                <w:rPr>
                  <w:rFonts w:ascii="Cambria Math" w:hAnsi="Cambria Math"/>
                </w:rPr>
              </m:ctrlPr>
            </m:dPr>
            <m:e>
              <m:sSup>
                <m:sSupPr>
                  <m:ctrlPr>
                    <w:rPr>
                      <w:rFonts w:ascii="Cambria Math" w:hAnsi="Cambria Math"/>
                    </w:rPr>
                  </m:ctrlPr>
                </m:sSupPr>
                <m:e>
                  <m:r>
                    <m:rPr>
                      <m:nor/>
                    </m:rPr>
                    <m:t>Li</m:t>
                  </m:r>
                </m:e>
                <m:sup>
                  <m:r>
                    <m:rPr>
                      <m:nor/>
                    </m:rPr>
                    <m:t>+</m:t>
                  </m:r>
                </m:sup>
              </m:sSup>
            </m:e>
          </m:d>
          <m:r>
            <m:rPr>
              <m:nor/>
            </m:rPr>
            <m:t xml:space="preserve"> =</m:t>
          </m:r>
          <m:r>
            <m:rPr>
              <m:sty m:val="p"/>
            </m:rPr>
            <w:rPr>
              <w:rFonts w:ascii="Cambria Math" w:hAnsi="Cambria Math"/>
            </w:rPr>
            <m:t xml:space="preserve"> </m:t>
          </m:r>
          <m:f>
            <m:fPr>
              <m:ctrlPr>
                <w:rPr>
                  <w:rFonts w:ascii="Cambria Math" w:hAnsi="Cambria Math"/>
                </w:rPr>
              </m:ctrlPr>
            </m:fPr>
            <m:num>
              <m:r>
                <m:rPr>
                  <m:nor/>
                </m:rPr>
                <m:t>1</m:t>
              </m:r>
            </m:num>
            <m:den>
              <m:r>
                <m:rPr>
                  <m:nor/>
                </m:rPr>
                <m:t>60</m:t>
              </m:r>
            </m:den>
          </m:f>
          <m:r>
            <m:rPr>
              <m:nor/>
            </m:rPr>
            <m:t xml:space="preserve"> = 0,017</m:t>
          </m:r>
        </m:oMath>
      </m:oMathPara>
    </w:p>
    <w:p w14:paraId="1982BBF2" w14:textId="4620F354" w:rsidR="008468A3" w:rsidRPr="008468A3" w:rsidRDefault="00517825" w:rsidP="008468A3">
      <w:pPr>
        <w:pStyle w:val="Formeln"/>
        <w:rPr>
          <w:rFonts w:eastAsiaTheme="minorEastAsia"/>
        </w:rPr>
      </w:pPr>
      <m:oMathPara>
        <m:oMath>
          <m:d>
            <m:dPr>
              <m:begChr m:val="["/>
              <m:endChr m:val="]"/>
              <m:ctrlPr>
                <w:rPr>
                  <w:rFonts w:ascii="Cambria Math" w:hAnsi="Cambria Math"/>
                </w:rPr>
              </m:ctrlPr>
            </m:dPr>
            <m:e>
              <m:sSup>
                <m:sSupPr>
                  <m:ctrlPr>
                    <w:rPr>
                      <w:rFonts w:ascii="Cambria Math" w:hAnsi="Cambria Math"/>
                    </w:rPr>
                  </m:ctrlPr>
                </m:sSupPr>
                <m:e>
                  <m:r>
                    <m:rPr>
                      <m:nor/>
                    </m:rPr>
                    <m:t>Mg</m:t>
                  </m:r>
                </m:e>
                <m:sup>
                  <m:r>
                    <m:rPr>
                      <m:nor/>
                    </m:rPr>
                    <m:t>2+</m:t>
                  </m:r>
                </m:sup>
              </m:sSup>
            </m:e>
          </m:d>
          <m:r>
            <m:rPr>
              <m:nor/>
            </m:rPr>
            <m:t xml:space="preserve"> =</m:t>
          </m:r>
          <m:r>
            <m:rPr>
              <m:sty m:val="p"/>
            </m:rPr>
            <w:rPr>
              <w:rFonts w:ascii="Cambria Math" w:hAnsi="Cambria Math"/>
            </w:rPr>
            <m:t xml:space="preserve"> </m:t>
          </m:r>
          <m:f>
            <m:fPr>
              <m:ctrlPr>
                <w:rPr>
                  <w:rFonts w:ascii="Cambria Math" w:hAnsi="Cambria Math"/>
                </w:rPr>
              </m:ctrlPr>
            </m:fPr>
            <m:num>
              <m:r>
                <m:rPr>
                  <m:nor/>
                </m:rPr>
                <m:t>2</m:t>
              </m:r>
            </m:num>
            <m:den>
              <m:r>
                <m:rPr>
                  <m:nor/>
                </m:rPr>
                <m:t>65</m:t>
              </m:r>
            </m:den>
          </m:f>
          <m:r>
            <m:rPr>
              <m:nor/>
            </m:rPr>
            <m:t xml:space="preserve"> = 0,031</m:t>
          </m:r>
        </m:oMath>
      </m:oMathPara>
    </w:p>
    <w:p w14:paraId="7923C85C" w14:textId="14B807D5" w:rsidR="008468A3" w:rsidRDefault="008468A3" w:rsidP="008468A3">
      <w:pPr>
        <w:rPr>
          <w:rFonts w:cs="Arial"/>
        </w:rPr>
      </w:pPr>
      <w:r>
        <w:rPr>
          <w:rFonts w:cs="Arial"/>
        </w:rPr>
        <w:t>Deutlich ausgeprägter ist die Schräg-Beziehung zwischen Beryllium und Aluminium, hier betragen die Quotienten aus Ladung und Ionen-Radius 0,065 (Be) und 0,060 (Al).</w:t>
      </w:r>
    </w:p>
    <w:p w14:paraId="73113B63" w14:textId="2771B37A" w:rsidR="008468A3" w:rsidRPr="008468A3" w:rsidRDefault="008468A3" w:rsidP="008468A3">
      <w:pPr>
        <w:pStyle w:val="Zusammenfassung"/>
      </w:pPr>
      <w:r w:rsidRPr="008468A3">
        <w:rPr>
          <w:rStyle w:val="Fett"/>
        </w:rPr>
        <w:t>Zusammenfassung</w:t>
      </w:r>
      <w:r>
        <w:t xml:space="preserve">: </w:t>
      </w:r>
      <w:r>
        <w:rPr>
          <w:rFonts w:cs="Arial"/>
        </w:rPr>
        <w:t>Es hat sich gezeigt, dass in Wahrheit die Grundlage des Periodensystems nicht in den chemischen Eigenschaften der Elemente liegt, sondern in ihrer atomaren Struktur, in ihrer Elektronen-Hülle – welche ihrerseits die chemischen Eigenschaften bedingt und damit auch scheinbare Widersprüche und Ausnahmen sinnvoll erklärt.</w:t>
      </w:r>
    </w:p>
    <w:p w14:paraId="4FFF147A" w14:textId="12159C56" w:rsidR="008468A3" w:rsidRPr="008468A3" w:rsidRDefault="008468A3" w:rsidP="008468A3">
      <w:pPr>
        <w:pStyle w:val="EinstiegAbschluss"/>
      </w:pPr>
      <w:r w:rsidRPr="008468A3">
        <w:rPr>
          <w:rStyle w:val="Fett"/>
        </w:rPr>
        <w:t>Abschluss</w:t>
      </w:r>
      <w:r>
        <w:t xml:space="preserve">: </w:t>
      </w:r>
      <w:r>
        <w:rPr>
          <w:rFonts w:cs="Arial"/>
        </w:rPr>
        <w:t>Nichtsdestotrotz ist das Verständnis des Periodensystems die Basis der anorganischen Chemie, und der angehende Referendar tut gut daran, sich auf die unangenehme Aufgabe des Sortierens der Chemie</w:t>
      </w:r>
      <w:r w:rsidR="00CF6D87">
        <w:rPr>
          <w:rFonts w:cs="Arial"/>
        </w:rPr>
        <w:t>-S</w:t>
      </w:r>
      <w:r>
        <w:rPr>
          <w:rFonts w:cs="Arial"/>
        </w:rPr>
        <w:t>ammlung frühzeitig vorzubereiten…</w:t>
      </w:r>
    </w:p>
    <w:p w14:paraId="6EB8B3C1" w14:textId="77777777" w:rsidR="00517825" w:rsidRDefault="00517825">
      <w:pPr>
        <w:spacing w:before="0"/>
        <w:jc w:val="left"/>
        <w:rPr>
          <w:b/>
          <w:bCs/>
        </w:rPr>
      </w:pPr>
      <w:r>
        <w:rPr>
          <w:b/>
          <w:bCs/>
        </w:rPr>
        <w:br w:type="page"/>
      </w:r>
    </w:p>
    <w:p w14:paraId="2A8C06EE" w14:textId="5B79E7A6" w:rsidR="00931B30" w:rsidRDefault="00931B30" w:rsidP="00931B30">
      <w:pPr>
        <w:rPr>
          <w:b/>
          <w:bCs/>
        </w:rPr>
      </w:pPr>
      <w:r w:rsidRPr="000E61E0">
        <w:rPr>
          <w:b/>
          <w:bCs/>
        </w:rPr>
        <w:t>Quellen:</w:t>
      </w:r>
    </w:p>
    <w:bookmarkStart w:id="9" w:name="_Ref57624872"/>
    <w:p w14:paraId="089F5599" w14:textId="6D09E6A7" w:rsidR="005F265D" w:rsidRDefault="005F265D" w:rsidP="005F265D">
      <w:pPr>
        <w:pStyle w:val="AufzhlungStandard"/>
      </w:pPr>
      <w:r>
        <w:fldChar w:fldCharType="begin"/>
      </w:r>
      <w:r>
        <w:instrText xml:space="preserve"> HYPERLINK "http://www.uni-koeln.de/~ac074/azubi/Hauptbilder.htm" </w:instrText>
      </w:r>
      <w:r>
        <w:fldChar w:fldCharType="separate"/>
      </w:r>
      <w:r>
        <w:rPr>
          <w:rStyle w:val="Hyperlink"/>
          <w:rFonts w:cs="Arial"/>
        </w:rPr>
        <w:t>http://www.uni-koeln.de/~ac074/azubi/Hauptbilder.htm</w:t>
      </w:r>
      <w:r>
        <w:fldChar w:fldCharType="end"/>
      </w:r>
      <w:r>
        <w:t>; 27.11.2012 (Copyright: Auszubildende zur Chemielaborantin bzw. zum Chemielaboranten im Institut für Anorganische Chemie 2008) (</w:t>
      </w:r>
      <w:r>
        <w:tab/>
      </w:r>
      <w:r w:rsidRPr="00517825">
        <w:t>Quelle verschollen, 30.11.2020</w:t>
      </w:r>
      <w:r>
        <w:t>)</w:t>
      </w:r>
      <w:bookmarkEnd w:id="9"/>
    </w:p>
    <w:bookmarkStart w:id="10" w:name="Lit1"/>
    <w:bookmarkStart w:id="11" w:name="_Ref57624994"/>
    <w:bookmarkEnd w:id="10"/>
    <w:p w14:paraId="63A3746B" w14:textId="604CBF99" w:rsidR="005F265D" w:rsidRPr="005F265D" w:rsidRDefault="005F265D" w:rsidP="005F265D">
      <w:pPr>
        <w:pStyle w:val="AufzhlungStandard"/>
      </w:pPr>
      <w:r w:rsidRPr="005F265D">
        <w:rPr>
          <w:rStyle w:val="Hyperlink"/>
        </w:rPr>
        <w:fldChar w:fldCharType="begin"/>
      </w:r>
      <w:r w:rsidRPr="005F265D">
        <w:rPr>
          <w:rStyle w:val="Hyperlink"/>
        </w:rPr>
        <w:instrText xml:space="preserve"> HYPERLINK "http://www.uv.es/~bertomeu/material/clasico/dober.jpg" \t "_blank" </w:instrText>
      </w:r>
      <w:r w:rsidRPr="005F265D">
        <w:rPr>
          <w:rStyle w:val="Hyperlink"/>
        </w:rPr>
        <w:fldChar w:fldCharType="separate"/>
      </w:r>
      <w:r w:rsidRPr="005F265D">
        <w:rPr>
          <w:rStyle w:val="Hyperlink"/>
        </w:rPr>
        <w:t>www.uv.es/~bertomeu/material/clasico/dober.jpg</w:t>
      </w:r>
      <w:r w:rsidRPr="005F265D">
        <w:rPr>
          <w:rStyle w:val="Hyperlink"/>
        </w:rPr>
        <w:fldChar w:fldCharType="end"/>
      </w:r>
      <w:r>
        <w:t xml:space="preserve">; </w:t>
      </w:r>
      <w:r w:rsidRPr="005F265D">
        <w:t>19.12.2007 (12 weitere Quellen)</w:t>
      </w:r>
      <w:bookmarkEnd w:id="11"/>
    </w:p>
    <w:bookmarkStart w:id="12" w:name="Lit2"/>
    <w:bookmarkStart w:id="13" w:name="_Ref57625001"/>
    <w:bookmarkEnd w:id="12"/>
    <w:p w14:paraId="10B622A9" w14:textId="38A423B2" w:rsidR="005F265D" w:rsidRDefault="005F265D" w:rsidP="005F265D">
      <w:pPr>
        <w:pStyle w:val="AufzhlungStandard"/>
      </w:pPr>
      <w:r>
        <w:fldChar w:fldCharType="begin"/>
      </w:r>
      <w:r>
        <w:instrText xml:space="preserve"> HYPERLINK "http://www.pse118-online.de/Zusatzinfos/Z20-PSE_History.htm" \t "_blank" </w:instrText>
      </w:r>
      <w:r>
        <w:fldChar w:fldCharType="separate"/>
      </w:r>
      <w:r>
        <w:rPr>
          <w:rStyle w:val="Hyperlink"/>
          <w:rFonts w:cs="Arial"/>
        </w:rPr>
        <w:t>www.pse118-online.de/Zusatzinfos/Z20-PSE_History.htm</w:t>
      </w:r>
      <w:r>
        <w:fldChar w:fldCharType="end"/>
      </w:r>
      <w:r>
        <w:t>; 19.12.2007 (verschollen)</w:t>
      </w:r>
      <w:bookmarkEnd w:id="13"/>
    </w:p>
    <w:bookmarkStart w:id="14" w:name="Lit3"/>
    <w:bookmarkStart w:id="15" w:name="_Ref57625212"/>
    <w:p w14:paraId="365C758D" w14:textId="4F128A97" w:rsidR="005F265D" w:rsidRPr="00517825" w:rsidRDefault="005F265D" w:rsidP="005F265D">
      <w:pPr>
        <w:pStyle w:val="AufzhlungStandard"/>
        <w:rPr>
          <w:lang w:val="en-US"/>
        </w:rPr>
      </w:pPr>
      <w:r>
        <w:fldChar w:fldCharType="begin"/>
      </w:r>
      <w:r w:rsidRPr="00517825">
        <w:rPr>
          <w:lang w:val="en-US"/>
        </w:rPr>
        <w:instrText xml:space="preserve"> HYPERLINK "https://commons.wikimedia.org/wiki/File:John_Alexander_Reina_Newlands.jpg" </w:instrText>
      </w:r>
      <w:r>
        <w:fldChar w:fldCharType="separate"/>
      </w:r>
      <w:r w:rsidRPr="00517825">
        <w:rPr>
          <w:rStyle w:val="Hyperlink"/>
          <w:lang w:val="en-US"/>
        </w:rPr>
        <w:t>https://commons.wikimedia.org/wiki/File:John_Alexander_Reina_Newlands.jpg</w:t>
      </w:r>
      <w:bookmarkEnd w:id="14"/>
      <w:r>
        <w:fldChar w:fldCharType="end"/>
      </w:r>
      <w:r w:rsidRPr="00517825">
        <w:rPr>
          <w:lang w:val="en-US"/>
        </w:rPr>
        <w:t>; 19.12.2007. (Autor: DALIBRI, Lizenz: Public Domain)</w:t>
      </w:r>
      <w:bookmarkEnd w:id="15"/>
    </w:p>
    <w:bookmarkStart w:id="16" w:name="Lit4"/>
    <w:bookmarkStart w:id="17" w:name="_Ref57625243"/>
    <w:p w14:paraId="141678FE" w14:textId="12B82F95" w:rsidR="005F265D" w:rsidRPr="00517825" w:rsidRDefault="005F265D" w:rsidP="005F265D">
      <w:pPr>
        <w:pStyle w:val="AufzhlungStandard"/>
        <w:rPr>
          <w:lang w:val="en-US"/>
        </w:rPr>
      </w:pPr>
      <w:r>
        <w:fldChar w:fldCharType="begin"/>
      </w:r>
      <w:r w:rsidRPr="00517825">
        <w:rPr>
          <w:lang w:val="en-US"/>
        </w:rPr>
        <w:instrText xml:space="preserve"> HYPERLINK "https://commons.wikimedia.org/wiki/File:PTE-Law_of_Octaves.svg" </w:instrText>
      </w:r>
      <w:r>
        <w:fldChar w:fldCharType="separate"/>
      </w:r>
      <w:r w:rsidRPr="00517825">
        <w:rPr>
          <w:rStyle w:val="Hyperlink"/>
          <w:lang w:val="en-US"/>
        </w:rPr>
        <w:t>https://commons.wikimedia.org/wiki/File:PTE-Law_of_Octaves.svg</w:t>
      </w:r>
      <w:bookmarkEnd w:id="16"/>
      <w:r>
        <w:fldChar w:fldCharType="end"/>
      </w:r>
      <w:r w:rsidRPr="00517825">
        <w:rPr>
          <w:lang w:val="en-US"/>
        </w:rPr>
        <w:t>;  19.12.2007. (Autor: Batrox, Lizenz Creative Commons 2.0)</w:t>
      </w:r>
      <w:bookmarkEnd w:id="17"/>
    </w:p>
    <w:p w14:paraId="3D2C68CA" w14:textId="3FDCF01D" w:rsidR="005F265D" w:rsidRDefault="00517825" w:rsidP="005F265D">
      <w:pPr>
        <w:pStyle w:val="AufzhlungStandard"/>
      </w:pPr>
      <w:r>
        <w:fldChar w:fldCharType="begin"/>
      </w:r>
      <w:r>
        <w:instrText xml:space="preserve"> </w:instrText>
      </w:r>
      <w:r>
        <w:instrText xml:space="preserve">HYPERLINK "https://commons.wikimedia.org/wiki/File:DIMendeleevCab.jpg?uselang=de" </w:instrText>
      </w:r>
      <w:r>
        <w:fldChar w:fldCharType="separate"/>
      </w:r>
      <w:r w:rsidR="00F80211" w:rsidRPr="00627B5D">
        <w:rPr>
          <w:rStyle w:val="Hyperlink"/>
        </w:rPr>
        <w:t>https://commons.wikimedia.org/wiki/File:DIMendeleevCab.jpg?uselang=de</w:t>
      </w:r>
      <w:r>
        <w:rPr>
          <w:rStyle w:val="Hyperlink"/>
        </w:rPr>
        <w:fldChar w:fldCharType="end"/>
      </w:r>
      <w:r w:rsidR="00F80211">
        <w:t>; gemeinfrei, 30.11.2020</w:t>
      </w:r>
    </w:p>
    <w:p w14:paraId="6BBCCFEB" w14:textId="19F46A18" w:rsidR="005F265D" w:rsidRDefault="00517825" w:rsidP="005F265D">
      <w:pPr>
        <w:pStyle w:val="AufzhlungStandard"/>
      </w:pPr>
      <w:hyperlink r:id="rId25" w:history="1">
        <w:r w:rsidR="00F80211" w:rsidRPr="00627B5D">
          <w:rPr>
            <w:rStyle w:val="Hyperlink"/>
          </w:rPr>
          <w:t>https://commons.wikimedia.org/wiki/File:Lothar_meyer.jpg?uselang=de</w:t>
        </w:r>
      </w:hyperlink>
      <w:r w:rsidR="00F80211">
        <w:t>; gemeinfrei, 30.11.2020</w:t>
      </w:r>
    </w:p>
    <w:p w14:paraId="45814F99" w14:textId="3DC0CD8A" w:rsidR="005F265D" w:rsidRDefault="005F265D" w:rsidP="005F265D">
      <w:pPr>
        <w:pStyle w:val="AufzhlungStandard"/>
      </w:pPr>
      <w:bookmarkStart w:id="18" w:name="Lit7"/>
      <w:bookmarkStart w:id="19" w:name="_Ref57625725"/>
      <w:bookmarkEnd w:id="18"/>
      <w:r>
        <w:t>eigene Darstellung</w:t>
      </w:r>
      <w:bookmarkEnd w:id="19"/>
    </w:p>
    <w:p w14:paraId="0CD789B6" w14:textId="64719B16" w:rsidR="005F265D" w:rsidRDefault="005F265D" w:rsidP="005F265D">
      <w:pPr>
        <w:pStyle w:val="AufzhlungStandard"/>
      </w:pPr>
      <w:bookmarkStart w:id="20" w:name="Lit8"/>
      <w:bookmarkStart w:id="21" w:name="_Ref57625890"/>
      <w:bookmarkEnd w:id="20"/>
      <w:r>
        <w:t>Vorlesung, Anorganische Chemie II, Prof. Dr. Jürgen Senker, Universität Bayreuth</w:t>
      </w:r>
      <w:bookmarkEnd w:id="21"/>
    </w:p>
    <w:bookmarkStart w:id="22" w:name="Lit9"/>
    <w:bookmarkStart w:id="23" w:name="_Ref57626907"/>
    <w:p w14:paraId="43CAB886" w14:textId="3DF3C9EA" w:rsidR="005F265D" w:rsidRDefault="005F265D" w:rsidP="005F265D">
      <w:pPr>
        <w:pStyle w:val="AufzhlungStandard"/>
      </w:pPr>
      <w:r>
        <w:fldChar w:fldCharType="begin"/>
      </w:r>
      <w:r>
        <w:instrText xml:space="preserve"> HYPERLINK "http://chids.online.uni-marburg.de/dachs/expvortr/294Schraeganalogie_Wirth_Scan.pdf" </w:instrText>
      </w:r>
      <w:r>
        <w:fldChar w:fldCharType="separate"/>
      </w:r>
      <w:r>
        <w:rPr>
          <w:rStyle w:val="Hyperlink"/>
        </w:rPr>
        <w:t>http://chids.online.uni-marburg.de/dachs/expvortr/</w:t>
      </w:r>
      <w:r>
        <w:fldChar w:fldCharType="end"/>
      </w:r>
      <w:hyperlink r:id="rId26" w:history="1">
        <w:r>
          <w:rPr>
            <w:rStyle w:val="Hyperlink"/>
          </w:rPr>
          <w:t>294Schraeganalogie_Wirth_Scan.pdf</w:t>
        </w:r>
      </w:hyperlink>
      <w:bookmarkEnd w:id="22"/>
      <w:r>
        <w:t>; 23.11.2012 (</w:t>
      </w:r>
      <w:bookmarkStart w:id="24" w:name="_GoBack"/>
      <w:r w:rsidRPr="00517825">
        <w:t>Quelle verschollen, 30.11.2020</w:t>
      </w:r>
      <w:bookmarkEnd w:id="24"/>
      <w:r>
        <w:t>)</w:t>
      </w:r>
      <w:bookmarkEnd w:id="23"/>
    </w:p>
    <w:p w14:paraId="5315C95D" w14:textId="38F58A86" w:rsidR="005F265D" w:rsidRDefault="005F265D" w:rsidP="005F265D">
      <w:pPr>
        <w:pStyle w:val="AufzhlungStandard"/>
      </w:pPr>
      <w:r>
        <w:t>Holleman, A. F., Wiberg, E.: Lehrbuch der Anorganischen Chemie, Walter de Gruyter-Verlag, Berlin 2007</w:t>
      </w:r>
    </w:p>
    <w:p w14:paraId="05DAE914" w14:textId="0F8676C4" w:rsidR="005F265D" w:rsidRDefault="005F265D" w:rsidP="005F265D">
      <w:pPr>
        <w:pStyle w:val="AufzhlungStandard"/>
      </w:pPr>
      <w:r>
        <w:t>Mortimer, C.E./Müller, U.: Anorganische Chemie, Georg Thieme Verlag, Stuttgart 2007</w:t>
      </w:r>
    </w:p>
    <w:p w14:paraId="3A2C5425" w14:textId="088946D1" w:rsidR="005F265D" w:rsidRDefault="005F265D" w:rsidP="005F265D">
      <w:pPr>
        <w:pStyle w:val="AufzhlungStandard"/>
      </w:pPr>
      <w:r>
        <w:t>Riedel, E.: Anorganische Chemie, Walter de Gruyter-Verlag, Berlin 2004.</w:t>
      </w:r>
    </w:p>
    <w:p w14:paraId="51A4EBE7" w14:textId="23C21F54" w:rsidR="005F265D" w:rsidRDefault="005F265D" w:rsidP="005F265D">
      <w:pPr>
        <w:pStyle w:val="AufzhlungStandard"/>
      </w:pPr>
      <w:r>
        <w:t xml:space="preserve">Glöckner, W.: Altes und Neues vom Periodensystem der Elemente (PSE). </w:t>
      </w:r>
      <w:proofErr w:type="spellStart"/>
      <w:r>
        <w:t>PdN</w:t>
      </w:r>
      <w:proofErr w:type="spellEnd"/>
      <w:r>
        <w:t xml:space="preserve"> 7, Heft 43, 1994, S. 2-8</w:t>
      </w:r>
    </w:p>
    <w:p w14:paraId="3EFADC4D" w14:textId="5C5FA626" w:rsidR="005F265D" w:rsidRDefault="005F265D" w:rsidP="005F265D">
      <w:pPr>
        <w:pStyle w:val="AufzhlungStandard"/>
      </w:pPr>
      <w:r>
        <w:t xml:space="preserve">Beyer, L.: Abbildungsformen des Periodensystems der Elemente. </w:t>
      </w:r>
      <w:proofErr w:type="spellStart"/>
      <w:r>
        <w:t>NiU</w:t>
      </w:r>
      <w:proofErr w:type="spellEnd"/>
      <w:r>
        <w:t>-Chemie 11, Heft 3, 2000, S. 25-31</w:t>
      </w:r>
    </w:p>
    <w:sectPr w:rsidR="005F265D" w:rsidSect="005F265D">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D2120" w14:textId="77777777" w:rsidR="000E371D" w:rsidRDefault="000E371D" w:rsidP="005A7DCE">
      <w:pPr>
        <w:spacing w:before="0"/>
      </w:pPr>
      <w:r>
        <w:separator/>
      </w:r>
    </w:p>
  </w:endnote>
  <w:endnote w:type="continuationSeparator" w:id="0">
    <w:p w14:paraId="72106709" w14:textId="77777777" w:rsidR="000E371D" w:rsidRDefault="000E371D"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8468A3" w:rsidRDefault="008468A3">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397FF912" w:rsidR="008468A3" w:rsidRDefault="008468A3">
        <w:pPr>
          <w:pStyle w:val="Fuzeile"/>
          <w:jc w:val="center"/>
        </w:pPr>
        <w:r>
          <w:fldChar w:fldCharType="begin"/>
        </w:r>
        <w:r>
          <w:instrText>PAGE    \* MERGEFORMAT</w:instrText>
        </w:r>
        <w:r>
          <w:fldChar w:fldCharType="separate"/>
        </w:r>
        <w:r w:rsidR="00517825">
          <w:rPr>
            <w:noProof/>
          </w:rPr>
          <w:t>6</w:t>
        </w:r>
        <w:r>
          <w:fldChar w:fldCharType="end"/>
        </w:r>
      </w:p>
    </w:sdtContent>
  </w:sdt>
  <w:p w14:paraId="69DF8B39" w14:textId="77777777" w:rsidR="008468A3" w:rsidRDefault="008468A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8902A" w14:textId="77777777" w:rsidR="000E371D" w:rsidRDefault="000E371D" w:rsidP="005A7DCE">
      <w:pPr>
        <w:spacing w:before="0"/>
      </w:pPr>
      <w:r>
        <w:separator/>
      </w:r>
    </w:p>
  </w:footnote>
  <w:footnote w:type="continuationSeparator" w:id="0">
    <w:p w14:paraId="0A163D37" w14:textId="77777777" w:rsidR="000E371D" w:rsidRDefault="000E371D"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F82"/>
    <w:multiLevelType w:val="multilevel"/>
    <w:tmpl w:val="2C981DA6"/>
    <w:lvl w:ilvl="0">
      <w:start w:val="1"/>
      <w:numFmt w:val="none"/>
      <w:lvlText w:val=""/>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6"/>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8"/>
      <w:lvlJc w:val="left"/>
      <w:pPr>
        <w:ind w:left="425" w:hanging="425"/>
      </w:pPr>
      <w:rPr>
        <w:rFonts w:hint="default"/>
      </w:rPr>
    </w:lvl>
    <w:lvl w:ilvl="8">
      <w:start w:val="1"/>
      <w:numFmt w:val="none"/>
      <w:lvlText w:val=""/>
      <w:lvlJc w:val="left"/>
      <w:pPr>
        <w:ind w:left="425" w:hanging="425"/>
      </w:pPr>
      <w:rPr>
        <w:rFonts w:hint="default"/>
      </w:r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8" w15:restartNumberingAfterBreak="0">
    <w:nsid w:val="27617366"/>
    <w:multiLevelType w:val="multilevel"/>
    <w:tmpl w:val="97B44F86"/>
    <w:lvl w:ilvl="0">
      <w:start w:val="1"/>
      <w:numFmt w:val="bullet"/>
      <w:lvlText w:val=""/>
      <w:lvlJc w:val="left"/>
      <w:pPr>
        <w:ind w:left="425" w:hanging="425"/>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decimal"/>
      <w:lvlText w:val="B%4"/>
      <w:lvlJc w:val="left"/>
      <w:pPr>
        <w:ind w:left="709" w:hanging="709"/>
      </w:pPr>
      <w:rPr>
        <w:rFonts w:ascii="Arial" w:hAnsi="Arial" w:hint="default"/>
        <w:b/>
        <w:i w:val="0"/>
        <w:color w:val="FF9B00"/>
        <w:sz w:val="28"/>
      </w:rPr>
    </w:lvl>
    <w:lvl w:ilvl="4">
      <w:start w:val="1"/>
      <w:numFmt w:val="decimal"/>
      <w:lvlText w:val="E%5"/>
      <w:lvlJc w:val="left"/>
      <w:pPr>
        <w:ind w:left="709" w:hanging="709"/>
      </w:pPr>
      <w:rPr>
        <w:rFonts w:ascii="Arial" w:hAnsi="Arial" w:hint="default"/>
        <w:b/>
        <w:i w:val="0"/>
        <w:color w:val="FF9B00"/>
        <w:sz w:val="28"/>
      </w:rPr>
    </w:lvl>
    <w:lvl w:ilvl="5">
      <w:start w:val="1"/>
      <w:numFmt w:val="bullet"/>
      <w:lvlText w:val=""/>
      <w:lvlJc w:val="left"/>
      <w:pPr>
        <w:tabs>
          <w:tab w:val="num" w:pos="567"/>
        </w:tabs>
        <w:ind w:left="992" w:hanging="425"/>
      </w:pPr>
      <w:rPr>
        <w:rFonts w:ascii="Wingdings" w:hAnsi="Wingdings" w:hint="default"/>
        <w:b/>
        <w:i w:val="0"/>
        <w:color w:val="FF9B00"/>
        <w:sz w:val="28"/>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9"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1"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4"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6"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7"/>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4"/>
  </w:num>
  <w:num w:numId="7">
    <w:abstractNumId w:val="9"/>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12"/>
  </w:num>
  <w:num w:numId="13">
    <w:abstractNumId w:val="11"/>
  </w:num>
  <w:num w:numId="14">
    <w:abstractNumId w:val="1"/>
  </w:num>
  <w:num w:numId="15">
    <w:abstractNumId w:val="1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5"/>
  </w:num>
  <w:num w:numId="20">
    <w:abstractNumId w:val="16"/>
  </w:num>
  <w:num w:numId="21">
    <w:abstractNumId w:val="7"/>
  </w:num>
  <w:num w:numId="22">
    <w:abstractNumId w:val="6"/>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673EE"/>
    <w:rsid w:val="000712A2"/>
    <w:rsid w:val="00074491"/>
    <w:rsid w:val="000D4A1C"/>
    <w:rsid w:val="000E371D"/>
    <w:rsid w:val="000E61E0"/>
    <w:rsid w:val="001B0E73"/>
    <w:rsid w:val="001D6942"/>
    <w:rsid w:val="00286533"/>
    <w:rsid w:val="0029716A"/>
    <w:rsid w:val="002B2D18"/>
    <w:rsid w:val="0033663A"/>
    <w:rsid w:val="0036111E"/>
    <w:rsid w:val="003E490E"/>
    <w:rsid w:val="00480635"/>
    <w:rsid w:val="004A4B07"/>
    <w:rsid w:val="00517825"/>
    <w:rsid w:val="005633FE"/>
    <w:rsid w:val="005A7DCE"/>
    <w:rsid w:val="005D5199"/>
    <w:rsid w:val="005F265D"/>
    <w:rsid w:val="00663741"/>
    <w:rsid w:val="006841CE"/>
    <w:rsid w:val="006F1D4F"/>
    <w:rsid w:val="007161D1"/>
    <w:rsid w:val="00742260"/>
    <w:rsid w:val="007514D3"/>
    <w:rsid w:val="00783295"/>
    <w:rsid w:val="007B2C80"/>
    <w:rsid w:val="007F18E1"/>
    <w:rsid w:val="00800718"/>
    <w:rsid w:val="008039D1"/>
    <w:rsid w:val="008117E4"/>
    <w:rsid w:val="00825BFE"/>
    <w:rsid w:val="008468A3"/>
    <w:rsid w:val="00850560"/>
    <w:rsid w:val="00883728"/>
    <w:rsid w:val="008A524D"/>
    <w:rsid w:val="00931B30"/>
    <w:rsid w:val="009710A6"/>
    <w:rsid w:val="009B4835"/>
    <w:rsid w:val="00A21130"/>
    <w:rsid w:val="00A25B94"/>
    <w:rsid w:val="00A5383F"/>
    <w:rsid w:val="00AA5D66"/>
    <w:rsid w:val="00AB7E4B"/>
    <w:rsid w:val="00AE53F0"/>
    <w:rsid w:val="00AF7672"/>
    <w:rsid w:val="00B10DD4"/>
    <w:rsid w:val="00B85024"/>
    <w:rsid w:val="00C511E6"/>
    <w:rsid w:val="00CA413D"/>
    <w:rsid w:val="00CF6D87"/>
    <w:rsid w:val="00D97908"/>
    <w:rsid w:val="00E14DE1"/>
    <w:rsid w:val="00E20AF3"/>
    <w:rsid w:val="00E50811"/>
    <w:rsid w:val="00E54A99"/>
    <w:rsid w:val="00E8473B"/>
    <w:rsid w:val="00E94F6E"/>
    <w:rsid w:val="00F76D18"/>
    <w:rsid w:val="00F80211"/>
    <w:rsid w:val="00FC711A"/>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F265D"/>
    <w:pPr>
      <w:spacing w:before="100" w:beforeAutospacing="1" w:after="100" w:afterAutospacing="1"/>
      <w:jc w:val="left"/>
    </w:pPr>
    <w:rPr>
      <w:rFonts w:ascii="Times New Roman" w:eastAsia="Times New Roman" w:hAnsi="Times New Roman" w:cs="Times New Roman"/>
      <w:szCs w:val="24"/>
      <w:lang w:eastAsia="de-DE"/>
    </w:rPr>
  </w:style>
  <w:style w:type="character" w:customStyle="1" w:styleId="UnresolvedMention">
    <w:name w:val="Unresolved Mention"/>
    <w:basedOn w:val="Absatz-Standardschriftart"/>
    <w:uiPriority w:val="99"/>
    <w:semiHidden/>
    <w:unhideWhenUsed/>
    <w:rsid w:val="005F2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 w:id="1391029822">
      <w:bodyDiv w:val="1"/>
      <w:marLeft w:val="0"/>
      <w:marRight w:val="0"/>
      <w:marTop w:val="0"/>
      <w:marBottom w:val="0"/>
      <w:divBdr>
        <w:top w:val="none" w:sz="0" w:space="0" w:color="auto"/>
        <w:left w:val="none" w:sz="0" w:space="0" w:color="auto"/>
        <w:bottom w:val="none" w:sz="0" w:space="0" w:color="auto"/>
        <w:right w:val="none" w:sz="0" w:space="0" w:color="auto"/>
      </w:divBdr>
    </w:div>
    <w:div w:id="1770470838">
      <w:bodyDiv w:val="1"/>
      <w:marLeft w:val="0"/>
      <w:marRight w:val="0"/>
      <w:marTop w:val="0"/>
      <w:marBottom w:val="0"/>
      <w:divBdr>
        <w:top w:val="none" w:sz="0" w:space="0" w:color="auto"/>
        <w:left w:val="none" w:sz="0" w:space="0" w:color="auto"/>
        <w:bottom w:val="none" w:sz="0" w:space="0" w:color="auto"/>
        <w:right w:val="none" w:sz="0" w:space="0" w:color="auto"/>
      </w:divBdr>
    </w:div>
    <w:div w:id="186752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gif"/><Relationship Id="rId26" Type="http://schemas.openxmlformats.org/officeDocument/2006/relationships/hyperlink" Target="http://chids.online.uni-marburg.de/dachs/expvortr/294Schraeganalogie_Wirth_Scan.pdf"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hyperlink" Target="https://commons.wikimedia.org/wiki/File:Lothar_meyer.jpg?uselang=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gif"/><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image" Target="media/image14.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8E24A-959F-43A3-830C-DCD258BA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1932</Words>
  <Characters>12172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2021-02-24T14:42:00Z</cp:lastPrinted>
  <dcterms:created xsi:type="dcterms:W3CDTF">2020-11-30T09:28:00Z</dcterms:created>
  <dcterms:modified xsi:type="dcterms:W3CDTF">2021-02-24T14:43:00Z</dcterms:modified>
</cp:coreProperties>
</file>