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02EB4C5" w:rsidR="00AE53F0" w:rsidRPr="001A28C0" w:rsidRDefault="00E8473B" w:rsidP="001A28C0">
      <w:pPr>
        <w:pStyle w:val="Seminar"/>
      </w:pPr>
      <w:r w:rsidRPr="001A28C0">
        <w:t>Seminar</w:t>
      </w:r>
      <w:r w:rsidR="00FD7888" w:rsidRPr="001A28C0">
        <w:t xml:space="preserve"> „Übungen im Vortragen –</w:t>
      </w:r>
      <w:r w:rsidR="0029716A" w:rsidRPr="001A28C0">
        <w:t xml:space="preserve"> </w:t>
      </w:r>
      <w:r w:rsidR="00480635" w:rsidRPr="001A28C0">
        <w:t>AC</w:t>
      </w:r>
      <w:r w:rsidR="00FD7888" w:rsidRPr="001A28C0">
        <w:t>“</w:t>
      </w:r>
    </w:p>
    <w:p w14:paraId="61C6F5BC" w14:textId="2ED5DDE3" w:rsidR="00E8473B" w:rsidRDefault="001A28C0" w:rsidP="005633FE">
      <w:pPr>
        <w:pStyle w:val="Titel"/>
      </w:pPr>
      <w:r>
        <w:t>Vergleich der Elemente der</w:t>
      </w:r>
      <w:r>
        <w:br/>
        <w:t>2. und 3. Periode</w:t>
      </w:r>
    </w:p>
    <w:p w14:paraId="28CE20D7" w14:textId="229C6982" w:rsidR="00E8473B" w:rsidRDefault="001A28C0" w:rsidP="00E8473B">
      <w:pPr>
        <w:pStyle w:val="Autor"/>
      </w:pPr>
      <w:r>
        <w:t>Julia Heinz, WS 12/13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B57A9D1" w14:textId="04F4BE32" w:rsidR="00D13070"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624145" w:history="1">
            <w:r w:rsidR="00D13070" w:rsidRPr="003A16E1">
              <w:rPr>
                <w:rStyle w:val="Hyperlink"/>
                <w:noProof/>
              </w:rPr>
              <w:t>1</w:t>
            </w:r>
            <w:r w:rsidR="00D13070">
              <w:rPr>
                <w:rFonts w:asciiTheme="minorHAnsi" w:eastAsiaTheme="minorEastAsia" w:hAnsiTheme="minorHAnsi"/>
                <w:noProof/>
                <w:sz w:val="22"/>
                <w:lang w:eastAsia="de-DE"/>
              </w:rPr>
              <w:tab/>
            </w:r>
            <w:r w:rsidR="00D13070" w:rsidRPr="003A16E1">
              <w:rPr>
                <w:rStyle w:val="Hyperlink"/>
                <w:noProof/>
              </w:rPr>
              <w:t>Vergleich Kohlenstoff und Silizium</w:t>
            </w:r>
            <w:r w:rsidR="00D13070">
              <w:rPr>
                <w:noProof/>
                <w:webHidden/>
              </w:rPr>
              <w:tab/>
            </w:r>
            <w:r w:rsidR="00D13070">
              <w:rPr>
                <w:noProof/>
                <w:webHidden/>
              </w:rPr>
              <w:fldChar w:fldCharType="begin"/>
            </w:r>
            <w:r w:rsidR="00D13070">
              <w:rPr>
                <w:noProof/>
                <w:webHidden/>
              </w:rPr>
              <w:instrText xml:space="preserve"> PAGEREF _Toc57624145 \h </w:instrText>
            </w:r>
            <w:r w:rsidR="00D13070">
              <w:rPr>
                <w:noProof/>
                <w:webHidden/>
              </w:rPr>
            </w:r>
            <w:r w:rsidR="00D13070">
              <w:rPr>
                <w:noProof/>
                <w:webHidden/>
              </w:rPr>
              <w:fldChar w:fldCharType="separate"/>
            </w:r>
            <w:r w:rsidR="0013167E">
              <w:rPr>
                <w:noProof/>
                <w:webHidden/>
              </w:rPr>
              <w:t>1</w:t>
            </w:r>
            <w:r w:rsidR="00D13070">
              <w:rPr>
                <w:noProof/>
                <w:webHidden/>
              </w:rPr>
              <w:fldChar w:fldCharType="end"/>
            </w:r>
          </w:hyperlink>
        </w:p>
        <w:p w14:paraId="1D1AB003" w14:textId="25A88DAD" w:rsidR="00D13070" w:rsidRDefault="0013167E">
          <w:pPr>
            <w:pStyle w:val="Verzeichnis2"/>
            <w:tabs>
              <w:tab w:val="left" w:pos="880"/>
              <w:tab w:val="right" w:leader="dot" w:pos="9344"/>
            </w:tabs>
            <w:rPr>
              <w:rFonts w:asciiTheme="minorHAnsi" w:eastAsiaTheme="minorEastAsia" w:hAnsiTheme="minorHAnsi"/>
              <w:noProof/>
              <w:sz w:val="22"/>
              <w:lang w:eastAsia="de-DE"/>
            </w:rPr>
          </w:pPr>
          <w:hyperlink w:anchor="_Toc57624146" w:history="1">
            <w:r w:rsidR="00D13070" w:rsidRPr="003A16E1">
              <w:rPr>
                <w:rStyle w:val="Hyperlink"/>
                <w:noProof/>
              </w:rPr>
              <w:t>1.1</w:t>
            </w:r>
            <w:r w:rsidR="00D13070">
              <w:rPr>
                <w:rFonts w:asciiTheme="minorHAnsi" w:eastAsiaTheme="minorEastAsia" w:hAnsiTheme="minorHAnsi"/>
                <w:noProof/>
                <w:sz w:val="22"/>
                <w:lang w:eastAsia="de-DE"/>
              </w:rPr>
              <w:tab/>
            </w:r>
            <w:r w:rsidR="00D13070" w:rsidRPr="003A16E1">
              <w:rPr>
                <w:rStyle w:val="Hyperlink"/>
                <w:noProof/>
              </w:rPr>
              <w:t>Bindigkeit</w:t>
            </w:r>
            <w:r w:rsidR="00D13070">
              <w:rPr>
                <w:noProof/>
                <w:webHidden/>
              </w:rPr>
              <w:tab/>
            </w:r>
            <w:r w:rsidR="00D13070">
              <w:rPr>
                <w:noProof/>
                <w:webHidden/>
              </w:rPr>
              <w:fldChar w:fldCharType="begin"/>
            </w:r>
            <w:r w:rsidR="00D13070">
              <w:rPr>
                <w:noProof/>
                <w:webHidden/>
              </w:rPr>
              <w:instrText xml:space="preserve"> PAGEREF _Toc57624146 \h </w:instrText>
            </w:r>
            <w:r w:rsidR="00D13070">
              <w:rPr>
                <w:noProof/>
                <w:webHidden/>
              </w:rPr>
            </w:r>
            <w:r w:rsidR="00D13070">
              <w:rPr>
                <w:noProof/>
                <w:webHidden/>
              </w:rPr>
              <w:fldChar w:fldCharType="separate"/>
            </w:r>
            <w:r>
              <w:rPr>
                <w:noProof/>
                <w:webHidden/>
              </w:rPr>
              <w:t>1</w:t>
            </w:r>
            <w:r w:rsidR="00D13070">
              <w:rPr>
                <w:noProof/>
                <w:webHidden/>
              </w:rPr>
              <w:fldChar w:fldCharType="end"/>
            </w:r>
          </w:hyperlink>
        </w:p>
        <w:p w14:paraId="23DF2AF3" w14:textId="6C9B256B" w:rsidR="00D13070" w:rsidRDefault="0013167E">
          <w:pPr>
            <w:pStyle w:val="Verzeichnis2"/>
            <w:tabs>
              <w:tab w:val="left" w:pos="880"/>
              <w:tab w:val="right" w:leader="dot" w:pos="9344"/>
            </w:tabs>
            <w:rPr>
              <w:rFonts w:asciiTheme="minorHAnsi" w:eastAsiaTheme="minorEastAsia" w:hAnsiTheme="minorHAnsi"/>
              <w:noProof/>
              <w:sz w:val="22"/>
              <w:lang w:eastAsia="de-DE"/>
            </w:rPr>
          </w:pPr>
          <w:hyperlink w:anchor="_Toc57624147" w:history="1">
            <w:r w:rsidR="00D13070" w:rsidRPr="003A16E1">
              <w:rPr>
                <w:rStyle w:val="Hyperlink"/>
                <w:noProof/>
              </w:rPr>
              <w:t>1.2</w:t>
            </w:r>
            <w:r w:rsidR="00D13070">
              <w:rPr>
                <w:rFonts w:asciiTheme="minorHAnsi" w:eastAsiaTheme="minorEastAsia" w:hAnsiTheme="minorHAnsi"/>
                <w:noProof/>
                <w:sz w:val="22"/>
                <w:lang w:eastAsia="de-DE"/>
              </w:rPr>
              <w:tab/>
            </w:r>
            <w:r w:rsidR="00D13070" w:rsidRPr="003A16E1">
              <w:rPr>
                <w:rStyle w:val="Hyperlink"/>
                <w:noProof/>
              </w:rPr>
              <w:t>Elektronen-Konfiguration</w:t>
            </w:r>
            <w:r w:rsidR="00D13070">
              <w:rPr>
                <w:noProof/>
                <w:webHidden/>
              </w:rPr>
              <w:tab/>
            </w:r>
            <w:r w:rsidR="00D13070">
              <w:rPr>
                <w:noProof/>
                <w:webHidden/>
              </w:rPr>
              <w:fldChar w:fldCharType="begin"/>
            </w:r>
            <w:r w:rsidR="00D13070">
              <w:rPr>
                <w:noProof/>
                <w:webHidden/>
              </w:rPr>
              <w:instrText xml:space="preserve"> PAGEREF _Toc57624147 \h </w:instrText>
            </w:r>
            <w:r w:rsidR="00D13070">
              <w:rPr>
                <w:noProof/>
                <w:webHidden/>
              </w:rPr>
            </w:r>
            <w:r w:rsidR="00D13070">
              <w:rPr>
                <w:noProof/>
                <w:webHidden/>
              </w:rPr>
              <w:fldChar w:fldCharType="separate"/>
            </w:r>
            <w:r>
              <w:rPr>
                <w:noProof/>
                <w:webHidden/>
              </w:rPr>
              <w:t>1</w:t>
            </w:r>
            <w:r w:rsidR="00D13070">
              <w:rPr>
                <w:noProof/>
                <w:webHidden/>
              </w:rPr>
              <w:fldChar w:fldCharType="end"/>
            </w:r>
          </w:hyperlink>
        </w:p>
        <w:p w14:paraId="437F672C" w14:textId="2ECDFFC1" w:rsidR="00D13070" w:rsidRDefault="0013167E">
          <w:pPr>
            <w:pStyle w:val="Verzeichnis2"/>
            <w:tabs>
              <w:tab w:val="left" w:pos="880"/>
              <w:tab w:val="right" w:leader="dot" w:pos="9344"/>
            </w:tabs>
            <w:rPr>
              <w:rFonts w:asciiTheme="minorHAnsi" w:eastAsiaTheme="minorEastAsia" w:hAnsiTheme="minorHAnsi"/>
              <w:noProof/>
              <w:sz w:val="22"/>
              <w:lang w:eastAsia="de-DE"/>
            </w:rPr>
          </w:pPr>
          <w:hyperlink w:anchor="_Toc57624148" w:history="1">
            <w:r w:rsidR="00D13070" w:rsidRPr="003A16E1">
              <w:rPr>
                <w:rStyle w:val="Hyperlink"/>
                <w:noProof/>
              </w:rPr>
              <w:t>1.3</w:t>
            </w:r>
            <w:r w:rsidR="00D13070">
              <w:rPr>
                <w:rFonts w:asciiTheme="minorHAnsi" w:eastAsiaTheme="minorEastAsia" w:hAnsiTheme="minorHAnsi"/>
                <w:noProof/>
                <w:sz w:val="22"/>
                <w:lang w:eastAsia="de-DE"/>
              </w:rPr>
              <w:tab/>
            </w:r>
            <w:r w:rsidR="00D13070" w:rsidRPr="003A16E1">
              <w:rPr>
                <w:rStyle w:val="Hyperlink"/>
                <w:noProof/>
              </w:rPr>
              <w:t>Ionisierungs-Energie</w:t>
            </w:r>
            <w:r w:rsidR="00D13070">
              <w:rPr>
                <w:noProof/>
                <w:webHidden/>
              </w:rPr>
              <w:tab/>
            </w:r>
            <w:r w:rsidR="00D13070">
              <w:rPr>
                <w:noProof/>
                <w:webHidden/>
              </w:rPr>
              <w:fldChar w:fldCharType="begin"/>
            </w:r>
            <w:r w:rsidR="00D13070">
              <w:rPr>
                <w:noProof/>
                <w:webHidden/>
              </w:rPr>
              <w:instrText xml:space="preserve"> PAGEREF _Toc57624148 \h </w:instrText>
            </w:r>
            <w:r w:rsidR="00D13070">
              <w:rPr>
                <w:noProof/>
                <w:webHidden/>
              </w:rPr>
            </w:r>
            <w:r w:rsidR="00D13070">
              <w:rPr>
                <w:noProof/>
                <w:webHidden/>
              </w:rPr>
              <w:fldChar w:fldCharType="separate"/>
            </w:r>
            <w:r>
              <w:rPr>
                <w:noProof/>
                <w:webHidden/>
              </w:rPr>
              <w:t>2</w:t>
            </w:r>
            <w:r w:rsidR="00D13070">
              <w:rPr>
                <w:noProof/>
                <w:webHidden/>
              </w:rPr>
              <w:fldChar w:fldCharType="end"/>
            </w:r>
          </w:hyperlink>
        </w:p>
        <w:p w14:paraId="09A5D3FC" w14:textId="41295AFF" w:rsidR="00D13070" w:rsidRDefault="0013167E">
          <w:pPr>
            <w:pStyle w:val="Verzeichnis2"/>
            <w:tabs>
              <w:tab w:val="left" w:pos="880"/>
              <w:tab w:val="right" w:leader="dot" w:pos="9344"/>
            </w:tabs>
            <w:rPr>
              <w:rFonts w:asciiTheme="minorHAnsi" w:eastAsiaTheme="minorEastAsia" w:hAnsiTheme="minorHAnsi"/>
              <w:noProof/>
              <w:sz w:val="22"/>
              <w:lang w:eastAsia="de-DE"/>
            </w:rPr>
          </w:pPr>
          <w:hyperlink w:anchor="_Toc57624149" w:history="1">
            <w:r w:rsidR="00D13070" w:rsidRPr="003A16E1">
              <w:rPr>
                <w:rStyle w:val="Hyperlink"/>
                <w:noProof/>
              </w:rPr>
              <w:t>1.4</w:t>
            </w:r>
            <w:r w:rsidR="00D13070">
              <w:rPr>
                <w:rFonts w:asciiTheme="minorHAnsi" w:eastAsiaTheme="minorEastAsia" w:hAnsiTheme="minorHAnsi"/>
                <w:noProof/>
                <w:sz w:val="22"/>
                <w:lang w:eastAsia="de-DE"/>
              </w:rPr>
              <w:tab/>
            </w:r>
            <w:r w:rsidR="00D13070" w:rsidRPr="003A16E1">
              <w:rPr>
                <w:rStyle w:val="Hyperlink"/>
                <w:noProof/>
              </w:rPr>
              <w:t>Atom-Radius</w:t>
            </w:r>
            <w:r w:rsidR="00D13070">
              <w:rPr>
                <w:noProof/>
                <w:webHidden/>
              </w:rPr>
              <w:tab/>
            </w:r>
            <w:r w:rsidR="00D13070">
              <w:rPr>
                <w:noProof/>
                <w:webHidden/>
              </w:rPr>
              <w:fldChar w:fldCharType="begin"/>
            </w:r>
            <w:r w:rsidR="00D13070">
              <w:rPr>
                <w:noProof/>
                <w:webHidden/>
              </w:rPr>
              <w:instrText xml:space="preserve"> PAGEREF _Toc57624149 \h </w:instrText>
            </w:r>
            <w:r w:rsidR="00D13070">
              <w:rPr>
                <w:noProof/>
                <w:webHidden/>
              </w:rPr>
            </w:r>
            <w:r w:rsidR="00D13070">
              <w:rPr>
                <w:noProof/>
                <w:webHidden/>
              </w:rPr>
              <w:fldChar w:fldCharType="separate"/>
            </w:r>
            <w:r>
              <w:rPr>
                <w:noProof/>
                <w:webHidden/>
              </w:rPr>
              <w:t>2</w:t>
            </w:r>
            <w:r w:rsidR="00D13070">
              <w:rPr>
                <w:noProof/>
                <w:webHidden/>
              </w:rPr>
              <w:fldChar w:fldCharType="end"/>
            </w:r>
          </w:hyperlink>
        </w:p>
        <w:p w14:paraId="39C22B96" w14:textId="67127E35" w:rsidR="00D13070" w:rsidRDefault="0013167E">
          <w:pPr>
            <w:pStyle w:val="Verzeichnis1"/>
            <w:tabs>
              <w:tab w:val="left" w:pos="480"/>
              <w:tab w:val="right" w:leader="dot" w:pos="9344"/>
            </w:tabs>
            <w:rPr>
              <w:rFonts w:asciiTheme="minorHAnsi" w:eastAsiaTheme="minorEastAsia" w:hAnsiTheme="minorHAnsi"/>
              <w:noProof/>
              <w:sz w:val="22"/>
              <w:lang w:eastAsia="de-DE"/>
            </w:rPr>
          </w:pPr>
          <w:hyperlink w:anchor="_Toc57624150" w:history="1">
            <w:r w:rsidR="00D13070" w:rsidRPr="003A16E1">
              <w:rPr>
                <w:rStyle w:val="Hyperlink"/>
                <w:noProof/>
              </w:rPr>
              <w:t>2</w:t>
            </w:r>
            <w:r w:rsidR="00D13070">
              <w:rPr>
                <w:rFonts w:asciiTheme="minorHAnsi" w:eastAsiaTheme="minorEastAsia" w:hAnsiTheme="minorHAnsi"/>
                <w:noProof/>
                <w:sz w:val="22"/>
                <w:lang w:eastAsia="de-DE"/>
              </w:rPr>
              <w:tab/>
            </w:r>
            <w:r w:rsidR="00D13070" w:rsidRPr="003A16E1">
              <w:rPr>
                <w:rStyle w:val="Hyperlink"/>
                <w:noProof/>
              </w:rPr>
              <w:t>Vergleich Lithium und Natrium</w:t>
            </w:r>
            <w:r w:rsidR="00D13070">
              <w:rPr>
                <w:noProof/>
                <w:webHidden/>
              </w:rPr>
              <w:tab/>
            </w:r>
            <w:r w:rsidR="00D13070">
              <w:rPr>
                <w:noProof/>
                <w:webHidden/>
              </w:rPr>
              <w:fldChar w:fldCharType="begin"/>
            </w:r>
            <w:r w:rsidR="00D13070">
              <w:rPr>
                <w:noProof/>
                <w:webHidden/>
              </w:rPr>
              <w:instrText xml:space="preserve"> PAGEREF _Toc57624150 \h </w:instrText>
            </w:r>
            <w:r w:rsidR="00D13070">
              <w:rPr>
                <w:noProof/>
                <w:webHidden/>
              </w:rPr>
            </w:r>
            <w:r w:rsidR="00D13070">
              <w:rPr>
                <w:noProof/>
                <w:webHidden/>
              </w:rPr>
              <w:fldChar w:fldCharType="separate"/>
            </w:r>
            <w:r>
              <w:rPr>
                <w:noProof/>
                <w:webHidden/>
              </w:rPr>
              <w:t>2</w:t>
            </w:r>
            <w:r w:rsidR="00D13070">
              <w:rPr>
                <w:noProof/>
                <w:webHidden/>
              </w:rPr>
              <w:fldChar w:fldCharType="end"/>
            </w:r>
          </w:hyperlink>
        </w:p>
        <w:p w14:paraId="690EE671" w14:textId="210597F7" w:rsidR="00D13070" w:rsidRDefault="0013167E">
          <w:pPr>
            <w:pStyle w:val="Verzeichnis2"/>
            <w:tabs>
              <w:tab w:val="left" w:pos="880"/>
              <w:tab w:val="right" w:leader="dot" w:pos="9344"/>
            </w:tabs>
            <w:rPr>
              <w:rFonts w:asciiTheme="minorHAnsi" w:eastAsiaTheme="minorEastAsia" w:hAnsiTheme="minorHAnsi"/>
              <w:noProof/>
              <w:sz w:val="22"/>
              <w:lang w:eastAsia="de-DE"/>
            </w:rPr>
          </w:pPr>
          <w:hyperlink w:anchor="_Toc57624151" w:history="1">
            <w:r w:rsidR="00D13070" w:rsidRPr="003A16E1">
              <w:rPr>
                <w:rStyle w:val="Hyperlink"/>
                <w:noProof/>
              </w:rPr>
              <w:t>2.1</w:t>
            </w:r>
            <w:r w:rsidR="00D13070">
              <w:rPr>
                <w:rFonts w:asciiTheme="minorHAnsi" w:eastAsiaTheme="minorEastAsia" w:hAnsiTheme="minorHAnsi"/>
                <w:noProof/>
                <w:sz w:val="22"/>
                <w:lang w:eastAsia="de-DE"/>
              </w:rPr>
              <w:tab/>
            </w:r>
            <w:r w:rsidR="00D13070" w:rsidRPr="003A16E1">
              <w:rPr>
                <w:rStyle w:val="Hyperlink"/>
                <w:noProof/>
              </w:rPr>
              <w:t>Versuch</w:t>
            </w:r>
            <w:r w:rsidR="00D13070">
              <w:rPr>
                <w:noProof/>
                <w:webHidden/>
              </w:rPr>
              <w:tab/>
            </w:r>
            <w:r w:rsidR="00D13070">
              <w:rPr>
                <w:noProof/>
                <w:webHidden/>
              </w:rPr>
              <w:fldChar w:fldCharType="begin"/>
            </w:r>
            <w:r w:rsidR="00D13070">
              <w:rPr>
                <w:noProof/>
                <w:webHidden/>
              </w:rPr>
              <w:instrText xml:space="preserve"> PAGEREF _Toc57624151 \h </w:instrText>
            </w:r>
            <w:r w:rsidR="00D13070">
              <w:rPr>
                <w:noProof/>
                <w:webHidden/>
              </w:rPr>
            </w:r>
            <w:r w:rsidR="00D13070">
              <w:rPr>
                <w:noProof/>
                <w:webHidden/>
              </w:rPr>
              <w:fldChar w:fldCharType="separate"/>
            </w:r>
            <w:r>
              <w:rPr>
                <w:noProof/>
                <w:webHidden/>
              </w:rPr>
              <w:t>2</w:t>
            </w:r>
            <w:r w:rsidR="00D13070">
              <w:rPr>
                <w:noProof/>
                <w:webHidden/>
              </w:rPr>
              <w:fldChar w:fldCharType="end"/>
            </w:r>
          </w:hyperlink>
        </w:p>
        <w:p w14:paraId="7BAB6BCB" w14:textId="1942F258" w:rsidR="00D13070" w:rsidRDefault="0013167E">
          <w:pPr>
            <w:pStyle w:val="Verzeichnis2"/>
            <w:tabs>
              <w:tab w:val="left" w:pos="880"/>
              <w:tab w:val="right" w:leader="dot" w:pos="9344"/>
            </w:tabs>
            <w:rPr>
              <w:rFonts w:asciiTheme="minorHAnsi" w:eastAsiaTheme="minorEastAsia" w:hAnsiTheme="minorHAnsi"/>
              <w:noProof/>
              <w:sz w:val="22"/>
              <w:lang w:eastAsia="de-DE"/>
            </w:rPr>
          </w:pPr>
          <w:hyperlink w:anchor="_Toc57624152" w:history="1">
            <w:r w:rsidR="00D13070" w:rsidRPr="003A16E1">
              <w:rPr>
                <w:rStyle w:val="Hyperlink"/>
                <w:noProof/>
              </w:rPr>
              <w:t>2.2</w:t>
            </w:r>
            <w:r w:rsidR="00D13070">
              <w:rPr>
                <w:rFonts w:asciiTheme="minorHAnsi" w:eastAsiaTheme="minorEastAsia" w:hAnsiTheme="minorHAnsi"/>
                <w:noProof/>
                <w:sz w:val="22"/>
                <w:lang w:eastAsia="de-DE"/>
              </w:rPr>
              <w:tab/>
            </w:r>
            <w:r w:rsidR="00D13070" w:rsidRPr="003A16E1">
              <w:rPr>
                <w:rStyle w:val="Hyperlink"/>
                <w:noProof/>
              </w:rPr>
              <w:t>Zusammenhang Ionisierungs-Energie und Atom-Radius</w:t>
            </w:r>
            <w:r w:rsidR="00D13070">
              <w:rPr>
                <w:noProof/>
                <w:webHidden/>
              </w:rPr>
              <w:tab/>
            </w:r>
            <w:r w:rsidR="00D13070">
              <w:rPr>
                <w:noProof/>
                <w:webHidden/>
              </w:rPr>
              <w:fldChar w:fldCharType="begin"/>
            </w:r>
            <w:r w:rsidR="00D13070">
              <w:rPr>
                <w:noProof/>
                <w:webHidden/>
              </w:rPr>
              <w:instrText xml:space="preserve"> PAGEREF _Toc57624152 \h </w:instrText>
            </w:r>
            <w:r w:rsidR="00D13070">
              <w:rPr>
                <w:noProof/>
                <w:webHidden/>
              </w:rPr>
            </w:r>
            <w:r w:rsidR="00D13070">
              <w:rPr>
                <w:noProof/>
                <w:webHidden/>
              </w:rPr>
              <w:fldChar w:fldCharType="separate"/>
            </w:r>
            <w:r>
              <w:rPr>
                <w:noProof/>
                <w:webHidden/>
              </w:rPr>
              <w:t>3</w:t>
            </w:r>
            <w:r w:rsidR="00D13070">
              <w:rPr>
                <w:noProof/>
                <w:webHidden/>
              </w:rPr>
              <w:fldChar w:fldCharType="end"/>
            </w:r>
          </w:hyperlink>
        </w:p>
        <w:p w14:paraId="7A53366A" w14:textId="1D544A5D" w:rsidR="00D13070" w:rsidRDefault="0013167E">
          <w:pPr>
            <w:pStyle w:val="Verzeichnis1"/>
            <w:tabs>
              <w:tab w:val="left" w:pos="480"/>
              <w:tab w:val="right" w:leader="dot" w:pos="9344"/>
            </w:tabs>
            <w:rPr>
              <w:rFonts w:asciiTheme="minorHAnsi" w:eastAsiaTheme="minorEastAsia" w:hAnsiTheme="minorHAnsi"/>
              <w:noProof/>
              <w:sz w:val="22"/>
              <w:lang w:eastAsia="de-DE"/>
            </w:rPr>
          </w:pPr>
          <w:hyperlink w:anchor="_Toc57624153" w:history="1">
            <w:r w:rsidR="00D13070" w:rsidRPr="003A16E1">
              <w:rPr>
                <w:rStyle w:val="Hyperlink"/>
                <w:noProof/>
              </w:rPr>
              <w:t>3</w:t>
            </w:r>
            <w:r w:rsidR="00D13070">
              <w:rPr>
                <w:rFonts w:asciiTheme="minorHAnsi" w:eastAsiaTheme="minorEastAsia" w:hAnsiTheme="minorHAnsi"/>
                <w:noProof/>
                <w:sz w:val="22"/>
                <w:lang w:eastAsia="de-DE"/>
              </w:rPr>
              <w:tab/>
            </w:r>
            <w:r w:rsidR="00D13070" w:rsidRPr="003A16E1">
              <w:rPr>
                <w:rStyle w:val="Hyperlink"/>
                <w:noProof/>
              </w:rPr>
              <w:t>Betrachtung aller Paare</w:t>
            </w:r>
            <w:r w:rsidR="00D13070">
              <w:rPr>
                <w:noProof/>
                <w:webHidden/>
              </w:rPr>
              <w:tab/>
            </w:r>
            <w:r w:rsidR="00D13070">
              <w:rPr>
                <w:noProof/>
                <w:webHidden/>
              </w:rPr>
              <w:fldChar w:fldCharType="begin"/>
            </w:r>
            <w:r w:rsidR="00D13070">
              <w:rPr>
                <w:noProof/>
                <w:webHidden/>
              </w:rPr>
              <w:instrText xml:space="preserve"> PAGEREF _Toc57624153 \h </w:instrText>
            </w:r>
            <w:r w:rsidR="00D13070">
              <w:rPr>
                <w:noProof/>
                <w:webHidden/>
              </w:rPr>
            </w:r>
            <w:r w:rsidR="00D13070">
              <w:rPr>
                <w:noProof/>
                <w:webHidden/>
              </w:rPr>
              <w:fldChar w:fldCharType="separate"/>
            </w:r>
            <w:r>
              <w:rPr>
                <w:noProof/>
                <w:webHidden/>
              </w:rPr>
              <w:t>3</w:t>
            </w:r>
            <w:r w:rsidR="00D13070">
              <w:rPr>
                <w:noProof/>
                <w:webHidden/>
              </w:rPr>
              <w:fldChar w:fldCharType="end"/>
            </w:r>
          </w:hyperlink>
        </w:p>
        <w:p w14:paraId="655B8175" w14:textId="5F6FF0E4" w:rsidR="00D13070" w:rsidRDefault="0013167E">
          <w:pPr>
            <w:pStyle w:val="Verzeichnis1"/>
            <w:tabs>
              <w:tab w:val="left" w:pos="480"/>
              <w:tab w:val="right" w:leader="dot" w:pos="9344"/>
            </w:tabs>
            <w:rPr>
              <w:rFonts w:asciiTheme="minorHAnsi" w:eastAsiaTheme="minorEastAsia" w:hAnsiTheme="minorHAnsi"/>
              <w:noProof/>
              <w:sz w:val="22"/>
              <w:lang w:eastAsia="de-DE"/>
            </w:rPr>
          </w:pPr>
          <w:hyperlink w:anchor="_Toc57624154" w:history="1">
            <w:r w:rsidR="00D13070" w:rsidRPr="003A16E1">
              <w:rPr>
                <w:rStyle w:val="Hyperlink"/>
                <w:noProof/>
              </w:rPr>
              <w:t>4</w:t>
            </w:r>
            <w:r w:rsidR="00D13070">
              <w:rPr>
                <w:rFonts w:asciiTheme="minorHAnsi" w:eastAsiaTheme="minorEastAsia" w:hAnsiTheme="minorHAnsi"/>
                <w:noProof/>
                <w:sz w:val="22"/>
                <w:lang w:eastAsia="de-DE"/>
              </w:rPr>
              <w:tab/>
            </w:r>
            <w:r w:rsidR="00D13070" w:rsidRPr="003A16E1">
              <w:rPr>
                <w:rStyle w:val="Hyperlink"/>
                <w:noProof/>
              </w:rPr>
              <w:t>Allgemeine Trends im PSE</w:t>
            </w:r>
            <w:r w:rsidR="00D13070">
              <w:rPr>
                <w:noProof/>
                <w:webHidden/>
              </w:rPr>
              <w:tab/>
            </w:r>
            <w:r w:rsidR="00D13070">
              <w:rPr>
                <w:noProof/>
                <w:webHidden/>
              </w:rPr>
              <w:fldChar w:fldCharType="begin"/>
            </w:r>
            <w:r w:rsidR="00D13070">
              <w:rPr>
                <w:noProof/>
                <w:webHidden/>
              </w:rPr>
              <w:instrText xml:space="preserve"> PAGEREF _Toc57624154 \h </w:instrText>
            </w:r>
            <w:r w:rsidR="00D13070">
              <w:rPr>
                <w:noProof/>
                <w:webHidden/>
              </w:rPr>
            </w:r>
            <w:r w:rsidR="00D13070">
              <w:rPr>
                <w:noProof/>
                <w:webHidden/>
              </w:rPr>
              <w:fldChar w:fldCharType="separate"/>
            </w:r>
            <w:r>
              <w:rPr>
                <w:noProof/>
                <w:webHidden/>
              </w:rPr>
              <w:t>4</w:t>
            </w:r>
            <w:r w:rsidR="00D13070">
              <w:rPr>
                <w:noProof/>
                <w:webHidden/>
              </w:rPr>
              <w:fldChar w:fldCharType="end"/>
            </w:r>
          </w:hyperlink>
        </w:p>
        <w:p w14:paraId="5AC765BB" w14:textId="02825693" w:rsidR="009B4835" w:rsidRDefault="009B4835">
          <w:r>
            <w:rPr>
              <w:b/>
              <w:bCs/>
            </w:rPr>
            <w:fldChar w:fldCharType="end"/>
          </w:r>
        </w:p>
      </w:sdtContent>
    </w:sdt>
    <w:p w14:paraId="06CE8F08" w14:textId="0D606781" w:rsidR="00480635" w:rsidRPr="0029716A" w:rsidRDefault="00FD7888" w:rsidP="00480635">
      <w:pPr>
        <w:pStyle w:val="EinstiegAbschluss"/>
      </w:pPr>
      <w:bookmarkStart w:id="0" w:name="_Überschrift_1"/>
      <w:bookmarkEnd w:id="0"/>
      <w:r w:rsidRPr="0029716A">
        <w:rPr>
          <w:rStyle w:val="Fett"/>
        </w:rPr>
        <w:t>Einstieg</w:t>
      </w:r>
      <w:r>
        <w:t>:</w:t>
      </w:r>
      <w:r w:rsidR="0029716A">
        <w:t xml:space="preserve"> </w:t>
      </w:r>
      <w:r w:rsidR="001A28C0">
        <w:rPr>
          <w:rFonts w:cs="Arial"/>
        </w:rPr>
        <w:t xml:space="preserve">Bei der Betrachtung der 2. und der 3. Periode fällt zuerst auf, dass Kohlenstoff der Baustein des Lebens und Silizium der Baustein des Unbelebten ist. In mancher Science-Fiction-Story wird aber von </w:t>
      </w:r>
      <w:r w:rsidR="00CE6509">
        <w:rPr>
          <w:rFonts w:cs="Arial"/>
        </w:rPr>
        <w:t>Leben</w:t>
      </w:r>
      <w:r w:rsidR="001A28C0">
        <w:rPr>
          <w:rFonts w:cs="Arial"/>
        </w:rPr>
        <w:t xml:space="preserve"> auf Silizium-Basis berichtet. Einer der Autoren war Isaac Asimov. Da der Mensch schon lange nach neuen Lebensformen sucht, wäre ein Planet auf neuer Basis sehr hilfreich und deshalb soll geklärt werden, ob es möglich ist einen für die Menschen bewohnbaren Planeten auf Silizium-Basis, oder auf Basis anderer Elemente der 3. Periode, zu finden.</w:t>
      </w:r>
    </w:p>
    <w:p w14:paraId="3D51DEDA" w14:textId="7D34402E" w:rsidR="00E8473B" w:rsidRDefault="001A28C0" w:rsidP="008A524D">
      <w:pPr>
        <w:pStyle w:val="berschrift1"/>
      </w:pPr>
      <w:bookmarkStart w:id="1" w:name="_Toc57624145"/>
      <w:r>
        <w:t>Vergleich Kohlenstoff und Silizium</w:t>
      </w:r>
      <w:bookmarkEnd w:id="1"/>
    </w:p>
    <w:p w14:paraId="588F30FA" w14:textId="20DA6A72" w:rsidR="001A28C0" w:rsidRDefault="001A28C0" w:rsidP="001A28C0">
      <w:pPr>
        <w:pStyle w:val="berschrift2"/>
      </w:pPr>
      <w:bookmarkStart w:id="2" w:name="_Toc57624146"/>
      <w:r>
        <w:t>Bindigkeit</w:t>
      </w:r>
      <w:bookmarkEnd w:id="2"/>
    </w:p>
    <w:p w14:paraId="76326BB5" w14:textId="6ACB2044" w:rsidR="001A28C0" w:rsidRDefault="001A28C0" w:rsidP="001A28C0">
      <w:pPr>
        <w:rPr>
          <w:rFonts w:cs="Arial"/>
        </w:rPr>
      </w:pPr>
      <w:r>
        <w:rPr>
          <w:rFonts w:cs="Arial"/>
        </w:rPr>
        <w:t>Da sowohl Silizium als auch Kohlenstoff 4-bindig sind, kann man aus der Bindigkeit keine Erklärung für die unterschiedlichen Fund-Orte der Stoffe folgern.</w:t>
      </w:r>
    </w:p>
    <w:p w14:paraId="6BFCB7BE" w14:textId="2D8FD4EB" w:rsidR="001A28C0" w:rsidRDefault="001A28C0" w:rsidP="001A28C0">
      <w:pPr>
        <w:pStyle w:val="berschrift2"/>
      </w:pPr>
      <w:bookmarkStart w:id="3" w:name="_Toc57624147"/>
      <w:r>
        <w:t>Elektronen-Konfiguration</w:t>
      </w:r>
      <w:bookmarkEnd w:id="3"/>
    </w:p>
    <w:p w14:paraId="278F7EE7" w14:textId="77777777" w:rsidR="001A28C0" w:rsidRPr="001A28C0" w:rsidRDefault="001A28C0" w:rsidP="0072033E">
      <w:pPr>
        <w:pStyle w:val="Liste2Aufzhlung"/>
        <w:rPr>
          <w:rFonts w:ascii="Times New Roman" w:hAnsi="Times New Roman" w:cs="Times New Roman"/>
          <w:lang w:eastAsia="de-DE"/>
        </w:rPr>
      </w:pPr>
      <w:r w:rsidRPr="001A28C0">
        <w:rPr>
          <w:rStyle w:val="Fett"/>
        </w:rPr>
        <w:t>C</w:t>
      </w:r>
      <w:r w:rsidRPr="001A28C0">
        <w:rPr>
          <w:lang w:eastAsia="de-DE"/>
        </w:rPr>
        <w:t>: 1s</w:t>
      </w:r>
      <w:r w:rsidRPr="001A28C0">
        <w:rPr>
          <w:vertAlign w:val="superscript"/>
          <w:lang w:eastAsia="de-DE"/>
        </w:rPr>
        <w:t>2</w:t>
      </w:r>
      <w:r w:rsidRPr="001A28C0">
        <w:rPr>
          <w:lang w:eastAsia="de-DE"/>
        </w:rPr>
        <w:t xml:space="preserve"> 2s</w:t>
      </w:r>
      <w:r w:rsidRPr="001A28C0">
        <w:rPr>
          <w:vertAlign w:val="superscript"/>
          <w:lang w:eastAsia="de-DE"/>
        </w:rPr>
        <w:t>2</w:t>
      </w:r>
      <w:r w:rsidRPr="001A28C0">
        <w:rPr>
          <w:lang w:eastAsia="de-DE"/>
        </w:rPr>
        <w:t xml:space="preserve"> 2p</w:t>
      </w:r>
      <w:r w:rsidRPr="001A28C0">
        <w:rPr>
          <w:vertAlign w:val="superscript"/>
          <w:lang w:eastAsia="de-DE"/>
        </w:rPr>
        <w:t>2</w:t>
      </w:r>
    </w:p>
    <w:p w14:paraId="470438E3" w14:textId="3F16F11A" w:rsidR="001A28C0" w:rsidRDefault="001A28C0" w:rsidP="0072033E">
      <w:pPr>
        <w:pStyle w:val="Liste2Aufzhlung"/>
        <w:rPr>
          <w:vertAlign w:val="superscript"/>
        </w:rPr>
      </w:pPr>
      <w:r w:rsidRPr="001A28C0">
        <w:rPr>
          <w:rStyle w:val="Fett"/>
        </w:rPr>
        <w:t>Si</w:t>
      </w:r>
      <w:r w:rsidRPr="001A28C0">
        <w:t>: 1s</w:t>
      </w:r>
      <w:r w:rsidRPr="001A28C0">
        <w:rPr>
          <w:vertAlign w:val="superscript"/>
        </w:rPr>
        <w:t>2</w:t>
      </w:r>
      <w:r w:rsidRPr="001A28C0">
        <w:t xml:space="preserve"> 1p</w:t>
      </w:r>
      <w:r w:rsidRPr="001A28C0">
        <w:rPr>
          <w:vertAlign w:val="superscript"/>
        </w:rPr>
        <w:t>2</w:t>
      </w:r>
      <w:r w:rsidRPr="001A28C0">
        <w:t xml:space="preserve"> 2p</w:t>
      </w:r>
      <w:r w:rsidRPr="001A28C0">
        <w:rPr>
          <w:vertAlign w:val="superscript"/>
        </w:rPr>
        <w:t>6</w:t>
      </w:r>
      <w:r w:rsidRPr="001A28C0">
        <w:t xml:space="preserve"> 3s</w:t>
      </w:r>
      <w:r w:rsidRPr="001A28C0">
        <w:rPr>
          <w:vertAlign w:val="superscript"/>
        </w:rPr>
        <w:t>2</w:t>
      </w:r>
      <w:r w:rsidRPr="001A28C0">
        <w:t xml:space="preserve"> 3p</w:t>
      </w:r>
      <w:r w:rsidRPr="001A28C0">
        <w:rPr>
          <w:vertAlign w:val="superscript"/>
        </w:rPr>
        <w:t>2</w:t>
      </w:r>
    </w:p>
    <w:p w14:paraId="6E2C5A12" w14:textId="1E5B697C" w:rsidR="001A28C0" w:rsidRDefault="001A28C0" w:rsidP="001A28C0">
      <w:pPr>
        <w:rPr>
          <w:rFonts w:cs="Arial"/>
        </w:rPr>
      </w:pPr>
      <w:r>
        <w:rPr>
          <w:rFonts w:cs="Arial"/>
        </w:rPr>
        <w:t>Der Unterschied in der Elektronen-Konfiguration ist deutlich erkennbar, aber inwieweit dies ein Hinweis auf verschiedene Lebensformen sein könnte, ist nicht ersichtlich.</w:t>
      </w:r>
    </w:p>
    <w:p w14:paraId="33EA698D" w14:textId="256537AE" w:rsidR="001A28C0" w:rsidRDefault="001A28C0" w:rsidP="001A28C0">
      <w:pPr>
        <w:pStyle w:val="berschrift2"/>
      </w:pPr>
      <w:bookmarkStart w:id="4" w:name="_Toc57624148"/>
      <w:r>
        <w:lastRenderedPageBreak/>
        <w:t>Ionisierungs-Energie</w:t>
      </w:r>
      <w:bookmarkEnd w:id="4"/>
    </w:p>
    <w:p w14:paraId="105FC7D5" w14:textId="29B98301" w:rsidR="001A28C0" w:rsidRDefault="001A28C0" w:rsidP="001A28C0">
      <w:pPr>
        <w:rPr>
          <w:rFonts w:cs="Arial"/>
        </w:rPr>
      </w:pPr>
      <w:r>
        <w:rPr>
          <w:rFonts w:cs="Arial"/>
        </w:rPr>
        <w:t>Kohlenstoff hat eine wesentlich höhere Ionisierungs-Energie (11,26 eV) als Silizium (8,15 eV). Doch auch hieraus allein lässt sich keine Erklärung finden.</w:t>
      </w:r>
    </w:p>
    <w:p w14:paraId="4CE37842" w14:textId="7BE4EE09" w:rsidR="001A28C0" w:rsidRDefault="001A28C0" w:rsidP="001A28C0">
      <w:pPr>
        <w:pStyle w:val="berschrift2"/>
      </w:pPr>
      <w:bookmarkStart w:id="5" w:name="_Toc57624149"/>
      <w:r>
        <w:t>Atom-Radius</w:t>
      </w:r>
      <w:bookmarkEnd w:id="5"/>
    </w:p>
    <w:p w14:paraId="188CCF40" w14:textId="293AD0DB" w:rsidR="001A28C0" w:rsidRDefault="001A28C0" w:rsidP="001A28C0">
      <w:pPr>
        <w:rPr>
          <w:rFonts w:cs="Arial"/>
        </w:rPr>
      </w:pPr>
      <w:r>
        <w:rPr>
          <w:rFonts w:cs="Arial"/>
        </w:rPr>
        <w:t>Kohlenstoff hat einen viel kleineren Atom-Radius (70 pm) als Silizium (111 pm)</w:t>
      </w:r>
    </w:p>
    <w:p w14:paraId="506B175B" w14:textId="03659AA4" w:rsidR="001A28C0" w:rsidRDefault="001A28C0" w:rsidP="001A28C0">
      <w:pPr>
        <w:rPr>
          <w:rFonts w:cs="Arial"/>
        </w:rPr>
      </w:pPr>
      <w:r>
        <w:rPr>
          <w:rFonts w:cs="Arial"/>
        </w:rPr>
        <w:t>Dies hat zur Folge, dass Silizium aufgrund des großen Atom-Radius keine Mehrfach-Bindungen ausbilden kann, das Kopf-Element Kohlenstoff jedoch schon, da der Radius kein genug ist. Das hat zur Folge, dass für Lebewesen notwendige Stoffe nicht aus Silizium, sondern aus Kohlenstoff bestehen.</w:t>
      </w:r>
    </w:p>
    <w:p w14:paraId="6BEA2605" w14:textId="6F193897" w:rsidR="001A28C0" w:rsidRDefault="001A28C0" w:rsidP="001A28C0">
      <w:pPr>
        <w:pStyle w:val="berschrift1"/>
      </w:pPr>
      <w:bookmarkStart w:id="6" w:name="_Toc57624150"/>
      <w:r>
        <w:t>Vergleich Lithium und Natrium</w:t>
      </w:r>
      <w:bookmarkEnd w:id="6"/>
    </w:p>
    <w:p w14:paraId="359CF337" w14:textId="583F7231" w:rsidR="001A28C0" w:rsidRDefault="001A28C0" w:rsidP="001A28C0">
      <w:pPr>
        <w:pStyle w:val="berschrift2"/>
      </w:pPr>
      <w:bookmarkStart w:id="7" w:name="_Toc57624151"/>
      <w:r>
        <w:t>Versuch</w:t>
      </w:r>
      <w:bookmarkEnd w:id="7"/>
    </w:p>
    <w:p w14:paraId="150CB8DD" w14:textId="2051A6A7" w:rsidR="001A28C0" w:rsidRDefault="001A28C0" w:rsidP="001A28C0">
      <w:r>
        <w:t>Lithium und Natrium in Wasser</w:t>
      </w:r>
    </w:p>
    <w:p w14:paraId="77731062" w14:textId="10CFFDAB" w:rsidR="001A28C0" w:rsidRDefault="0072033E" w:rsidP="001A28C0">
      <w:r w:rsidRPr="0072033E">
        <w:rPr>
          <w:rStyle w:val="Fett"/>
        </w:rPr>
        <w:t>Zeitbedarf</w:t>
      </w:r>
      <w:r>
        <w:t>: 10 Minuten</w:t>
      </w:r>
    </w:p>
    <w:p w14:paraId="1643430B" w14:textId="1317192D" w:rsidR="0072033E" w:rsidRDefault="0072033E" w:rsidP="001A28C0">
      <w:r w:rsidRPr="0072033E">
        <w:rPr>
          <w:rStyle w:val="Fett"/>
        </w:rPr>
        <w:t>Kompetenz/Ziel</w:t>
      </w:r>
      <w:r>
        <w:t>: Elemente der 2. und 3. Periode haben unterschiedlich starke Ionisierungs-Energien</w:t>
      </w:r>
    </w:p>
    <w:p w14:paraId="782D83AC" w14:textId="16735824" w:rsidR="0072033E" w:rsidRDefault="0072033E" w:rsidP="001A28C0">
      <w:r w:rsidRPr="0072033E">
        <w:rPr>
          <w:rStyle w:val="Fett"/>
        </w:rPr>
        <w:t>Material</w:t>
      </w:r>
      <w:r>
        <w:t>:</w:t>
      </w:r>
    </w:p>
    <w:p w14:paraId="0B03E70C" w14:textId="77777777" w:rsidR="0072033E" w:rsidRDefault="0072033E" w:rsidP="0072033E">
      <w:pPr>
        <w:pStyle w:val="Liste1Aufzhlung"/>
        <w:rPr>
          <w:rStyle w:val="Fett"/>
          <w:b w:val="0"/>
          <w:bCs w:val="0"/>
        </w:rPr>
        <w:sectPr w:rsidR="0072033E" w:rsidSect="009B4835">
          <w:footerReference w:type="default" r:id="rId9"/>
          <w:pgSz w:w="11906" w:h="16838"/>
          <w:pgMar w:top="851" w:right="1134" w:bottom="851" w:left="1418" w:header="0" w:footer="0" w:gutter="0"/>
          <w:cols w:space="708"/>
          <w:titlePg/>
          <w:docGrid w:linePitch="360"/>
        </w:sectPr>
      </w:pPr>
    </w:p>
    <w:p w14:paraId="44D0432C" w14:textId="293C57E0" w:rsidR="0072033E" w:rsidRPr="0072033E" w:rsidRDefault="0072033E" w:rsidP="0072033E">
      <w:pPr>
        <w:pStyle w:val="Liste1Aufzhlung"/>
        <w:rPr>
          <w:rStyle w:val="Fett"/>
          <w:b w:val="0"/>
          <w:bCs w:val="0"/>
        </w:rPr>
      </w:pPr>
      <w:r w:rsidRPr="0072033E">
        <w:rPr>
          <w:rStyle w:val="Fett"/>
          <w:b w:val="0"/>
          <w:bCs w:val="0"/>
        </w:rPr>
        <w:lastRenderedPageBreak/>
        <w:t>Pinzette</w:t>
      </w:r>
    </w:p>
    <w:p w14:paraId="04ADBB31" w14:textId="77777777" w:rsidR="0072033E" w:rsidRPr="0072033E" w:rsidRDefault="0072033E" w:rsidP="0072033E">
      <w:pPr>
        <w:pStyle w:val="Liste1Aufzhlung"/>
        <w:rPr>
          <w:rStyle w:val="Fett"/>
          <w:b w:val="0"/>
          <w:bCs w:val="0"/>
        </w:rPr>
      </w:pPr>
      <w:r w:rsidRPr="0072033E">
        <w:rPr>
          <w:rStyle w:val="Fett"/>
          <w:b w:val="0"/>
          <w:bCs w:val="0"/>
        </w:rPr>
        <w:t>Messer</w:t>
      </w:r>
    </w:p>
    <w:p w14:paraId="17F2EFDD" w14:textId="77777777" w:rsidR="0072033E" w:rsidRPr="0072033E" w:rsidRDefault="0072033E" w:rsidP="0072033E">
      <w:pPr>
        <w:pStyle w:val="Liste1Aufzhlung"/>
      </w:pPr>
      <w:r w:rsidRPr="0072033E">
        <w:lastRenderedPageBreak/>
        <w:t>Filter-Papier</w:t>
      </w:r>
    </w:p>
    <w:p w14:paraId="6209174C" w14:textId="3B6C0A71" w:rsidR="0072033E" w:rsidRPr="0072033E" w:rsidRDefault="0072033E" w:rsidP="0072033E">
      <w:pPr>
        <w:pStyle w:val="Liste1Aufzhlung"/>
      </w:pPr>
      <w:r>
        <w:t>2</w:t>
      </w:r>
      <w:r w:rsidRPr="0072033E">
        <w:t xml:space="preserve"> Petrischalen, d= 100 mm</w:t>
      </w:r>
    </w:p>
    <w:p w14:paraId="7830F68A" w14:textId="77777777" w:rsidR="0072033E" w:rsidRDefault="0072033E" w:rsidP="001A28C0">
      <w:pPr>
        <w:rPr>
          <w:rStyle w:val="Fett"/>
        </w:rPr>
        <w:sectPr w:rsidR="0072033E" w:rsidSect="0072033E">
          <w:type w:val="continuous"/>
          <w:pgSz w:w="11906" w:h="16838"/>
          <w:pgMar w:top="851" w:right="1134" w:bottom="851" w:left="1418" w:header="0" w:footer="0" w:gutter="0"/>
          <w:cols w:num="2" w:space="708"/>
          <w:titlePg/>
          <w:docGrid w:linePitch="360"/>
        </w:sectPr>
      </w:pPr>
    </w:p>
    <w:p w14:paraId="01E80BA0" w14:textId="2FC37374" w:rsidR="001A28C0" w:rsidRDefault="0072033E" w:rsidP="001A28C0">
      <w:r w:rsidRPr="0072033E">
        <w:rPr>
          <w:rStyle w:val="Fett"/>
        </w:rPr>
        <w:lastRenderedPageBreak/>
        <w:t>Chemikalien</w:t>
      </w:r>
      <w:r>
        <w:t>:</w:t>
      </w:r>
    </w:p>
    <w:p w14:paraId="021F891A" w14:textId="77777777" w:rsidR="0072033E" w:rsidRDefault="0072033E" w:rsidP="0072033E">
      <w:pPr>
        <w:pStyle w:val="AufzhlungStandard"/>
        <w:numPr>
          <w:ilvl w:val="0"/>
          <w:numId w:val="26"/>
        </w:numPr>
        <w:spacing w:before="0"/>
        <w:rPr>
          <w:rStyle w:val="RotZchn"/>
        </w:rPr>
        <w:sectPr w:rsidR="0072033E" w:rsidSect="0072033E">
          <w:type w:val="continuous"/>
          <w:pgSz w:w="11906" w:h="16838"/>
          <w:pgMar w:top="851" w:right="1134" w:bottom="851" w:left="1418" w:header="0" w:footer="0" w:gutter="0"/>
          <w:cols w:space="708"/>
          <w:titlePg/>
          <w:docGrid w:linePitch="360"/>
        </w:sectPr>
      </w:pPr>
    </w:p>
    <w:p w14:paraId="6B18B14B" w14:textId="096EFE54" w:rsidR="0072033E" w:rsidRPr="00321BFA" w:rsidRDefault="0072033E" w:rsidP="0072033E">
      <w:pPr>
        <w:pStyle w:val="AufzhlungStandard"/>
        <w:numPr>
          <w:ilvl w:val="0"/>
          <w:numId w:val="26"/>
        </w:numPr>
        <w:spacing w:before="0"/>
        <w:rPr>
          <w:rStyle w:val="CASNrZchn"/>
        </w:rPr>
      </w:pPr>
      <w:r w:rsidRPr="00321BFA">
        <w:rPr>
          <w:rStyle w:val="RotZchn"/>
        </w:rPr>
        <w:lastRenderedPageBreak/>
        <w:t>Lithium</w:t>
      </w:r>
      <w:r w:rsidRPr="001D024F">
        <w:br/>
      </w:r>
      <w:r w:rsidRPr="00321BFA">
        <w:rPr>
          <w:rStyle w:val="CASNrZchn"/>
        </w:rPr>
        <w:t>CAS-Nr.: 7439-93-2</w:t>
      </w:r>
      <w:r w:rsidRPr="00321BFA">
        <w:rPr>
          <w:rStyle w:val="CASNrZchn"/>
        </w:rPr>
        <w:tab/>
      </w:r>
      <w:r w:rsidRPr="001D024F">
        <w:br/>
      </w:r>
      <w:r w:rsidRPr="001D024F">
        <w:rPr>
          <w:noProof/>
          <w:lang w:eastAsia="de-DE"/>
        </w:rPr>
        <w:drawing>
          <wp:inline distT="0" distB="0" distL="0" distR="0" wp14:anchorId="2D566EE0" wp14:editId="67E85F1D">
            <wp:extent cx="358140" cy="358140"/>
            <wp:effectExtent l="0" t="0" r="3810" b="381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1D024F">
        <w:t xml:space="preserve"> </w:t>
      </w:r>
      <w:r w:rsidRPr="001D024F">
        <w:rPr>
          <w:noProof/>
          <w:lang w:eastAsia="de-DE"/>
        </w:rPr>
        <w:drawing>
          <wp:inline distT="0" distB="0" distL="0" distR="0" wp14:anchorId="5895D046" wp14:editId="0663E71F">
            <wp:extent cx="358140" cy="365760"/>
            <wp:effectExtent l="0" t="0" r="3810" b="0"/>
            <wp:docPr id="4179" name="Grafik 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1D024F">
        <w:t xml:space="preserve"> Gefahr</w:t>
      </w:r>
      <w:r w:rsidRPr="001D024F">
        <w:tab/>
      </w:r>
      <w:r w:rsidRPr="001D024F">
        <w:br/>
      </w:r>
      <w:r w:rsidRPr="00321BFA">
        <w:rPr>
          <w:rStyle w:val="CASNrZchn"/>
        </w:rPr>
        <w:t>H260, H314</w:t>
      </w:r>
      <w:r w:rsidRPr="00321BFA">
        <w:rPr>
          <w:rStyle w:val="CASNrZchn"/>
        </w:rPr>
        <w:tab/>
      </w:r>
      <w:r w:rsidRPr="00321BFA">
        <w:rPr>
          <w:rStyle w:val="CASNrZchn"/>
        </w:rPr>
        <w:br/>
        <w:t>EUH014</w:t>
      </w:r>
      <w:r w:rsidRPr="00321BFA">
        <w:rPr>
          <w:rStyle w:val="CASNrZchn"/>
        </w:rPr>
        <w:br/>
        <w:t>P233, P231+P323, P280, P305+P351+P338, P370+P378+P422</w:t>
      </w:r>
    </w:p>
    <w:p w14:paraId="5EAE0F36" w14:textId="7036BFE8" w:rsidR="0072033E" w:rsidRPr="001D024F" w:rsidRDefault="0072033E" w:rsidP="0072033E">
      <w:pPr>
        <w:pStyle w:val="AufzhlungStandard"/>
        <w:numPr>
          <w:ilvl w:val="0"/>
          <w:numId w:val="26"/>
        </w:numPr>
      </w:pPr>
      <w:r>
        <w:rPr>
          <w:rStyle w:val="RotZchn"/>
        </w:rPr>
        <w:br w:type="column"/>
      </w:r>
      <w:r w:rsidRPr="00321BFA">
        <w:rPr>
          <w:rStyle w:val="RotZchn"/>
        </w:rPr>
        <w:lastRenderedPageBreak/>
        <w:t>Natrium</w:t>
      </w:r>
      <w:r w:rsidRPr="001D024F">
        <w:br/>
      </w:r>
      <w:r w:rsidRPr="00321BFA">
        <w:rPr>
          <w:rStyle w:val="CASNrZchn"/>
        </w:rPr>
        <w:t>CAS-Nr.: 7440-23-5</w:t>
      </w:r>
      <w:r w:rsidRPr="001D024F">
        <w:tab/>
      </w:r>
      <w:r w:rsidRPr="001D024F">
        <w:br/>
      </w:r>
      <w:r w:rsidRPr="001D024F">
        <w:rPr>
          <w:noProof/>
          <w:lang w:eastAsia="de-DE"/>
        </w:rPr>
        <w:drawing>
          <wp:inline distT="0" distB="0" distL="0" distR="0" wp14:anchorId="568A8593" wp14:editId="1B333504">
            <wp:extent cx="358140" cy="358140"/>
            <wp:effectExtent l="0" t="0" r="3810" b="381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1D024F">
        <w:t xml:space="preserve"> </w:t>
      </w:r>
      <w:r w:rsidRPr="001D024F">
        <w:rPr>
          <w:noProof/>
          <w:lang w:eastAsia="de-DE"/>
        </w:rPr>
        <w:drawing>
          <wp:inline distT="0" distB="0" distL="0" distR="0" wp14:anchorId="1685A16A" wp14:editId="1F8E1383">
            <wp:extent cx="358140" cy="365760"/>
            <wp:effectExtent l="0" t="0" r="3810" b="0"/>
            <wp:docPr id="4171" name="Grafik 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1D024F">
        <w:t xml:space="preserve"> Gefahr</w:t>
      </w:r>
      <w:r w:rsidRPr="001D024F">
        <w:tab/>
      </w:r>
      <w:r w:rsidRPr="001D024F">
        <w:br/>
      </w:r>
      <w:r w:rsidRPr="00321BFA">
        <w:rPr>
          <w:rStyle w:val="CASNrZchn"/>
        </w:rPr>
        <w:t>H260, H314</w:t>
      </w:r>
      <w:r w:rsidRPr="00321BFA">
        <w:rPr>
          <w:rStyle w:val="CASNrZchn"/>
        </w:rPr>
        <w:tab/>
      </w:r>
      <w:r w:rsidRPr="00321BFA">
        <w:rPr>
          <w:rStyle w:val="CASNrZchn"/>
        </w:rPr>
        <w:br/>
        <w:t>EUH014</w:t>
      </w:r>
      <w:r w:rsidRPr="00321BFA">
        <w:rPr>
          <w:rStyle w:val="CASNrZchn"/>
        </w:rPr>
        <w:br/>
        <w:t>P233, P231+P323, P280, P305+P351+P338, P370+P378+P422</w:t>
      </w:r>
    </w:p>
    <w:p w14:paraId="3BE528A2" w14:textId="021DE98A" w:rsidR="0072033E" w:rsidRDefault="0072033E" w:rsidP="0072033E">
      <w:pPr>
        <w:pStyle w:val="Rot"/>
        <w:numPr>
          <w:ilvl w:val="2"/>
          <w:numId w:val="10"/>
        </w:numPr>
      </w:pPr>
      <w:r>
        <w:t>VE-Wasser</w:t>
      </w:r>
    </w:p>
    <w:p w14:paraId="111F135E" w14:textId="77777777" w:rsidR="0072033E" w:rsidRDefault="0072033E" w:rsidP="0072033E">
      <w:pPr>
        <w:rPr>
          <w:rStyle w:val="Fett"/>
        </w:rPr>
        <w:sectPr w:rsidR="0072033E" w:rsidSect="0072033E">
          <w:type w:val="continuous"/>
          <w:pgSz w:w="11906" w:h="16838"/>
          <w:pgMar w:top="851" w:right="1134" w:bottom="851" w:left="1418" w:header="0" w:footer="0" w:gutter="0"/>
          <w:cols w:num="2" w:space="708"/>
          <w:titlePg/>
          <w:docGrid w:linePitch="360"/>
        </w:sectPr>
      </w:pPr>
    </w:p>
    <w:p w14:paraId="5094F812" w14:textId="7F6D2169" w:rsidR="0072033E" w:rsidRDefault="0072033E" w:rsidP="0072033E">
      <w:pPr>
        <w:rPr>
          <w:rFonts w:cs="Arial"/>
        </w:rPr>
      </w:pPr>
      <w:r w:rsidRPr="0072033E">
        <w:rPr>
          <w:rStyle w:val="Fett"/>
        </w:rPr>
        <w:lastRenderedPageBreak/>
        <w:t>Durchführung</w:t>
      </w:r>
      <w:r>
        <w:t xml:space="preserve">: </w:t>
      </w:r>
      <w:r>
        <w:rPr>
          <w:rFonts w:cs="Arial"/>
        </w:rPr>
        <w:t>In eine Petrischale mit Wasser wird ein kleines Stück Lithium bzw. in die zweite Petrischale ein kleines Stück Natrium gegeben.</w:t>
      </w:r>
    </w:p>
    <w:p w14:paraId="18A7BC59" w14:textId="284EE4EE" w:rsidR="0072033E" w:rsidRDefault="0072033E" w:rsidP="0072033E">
      <w:pPr>
        <w:rPr>
          <w:rFonts w:cs="Arial"/>
        </w:rPr>
      </w:pPr>
      <w:r w:rsidRPr="0072033E">
        <w:rPr>
          <w:rStyle w:val="Fett"/>
        </w:rPr>
        <w:t>Beobachtung</w:t>
      </w:r>
      <w:r>
        <w:rPr>
          <w:rFonts w:cs="Arial"/>
        </w:rPr>
        <w:t>: Natrium reagiert sehr stark unter Wasserstoff-Bildung, Lithium reagiert weniger stark.</w:t>
      </w:r>
    </w:p>
    <w:p w14:paraId="75B1469D" w14:textId="344DB3C9" w:rsidR="0072033E" w:rsidRDefault="0072033E" w:rsidP="0072033E">
      <w:pPr>
        <w:rPr>
          <w:rFonts w:cs="Arial"/>
        </w:rPr>
      </w:pPr>
      <w:r w:rsidRPr="0072033E">
        <w:rPr>
          <w:rStyle w:val="Fett"/>
        </w:rPr>
        <w:t>Deutung</w:t>
      </w:r>
      <w:r>
        <w:rPr>
          <w:rFonts w:cs="Arial"/>
        </w:rPr>
        <w:t>: Lithium hat eine größere Ionisierungs-Energie als Natrium.</w:t>
      </w:r>
    </w:p>
    <w:p w14:paraId="23F70867" w14:textId="25F2DBC7" w:rsidR="0072033E" w:rsidRDefault="0072033E" w:rsidP="0072033E">
      <w:pPr>
        <w:rPr>
          <w:rFonts w:cs="Arial"/>
        </w:rPr>
      </w:pPr>
      <w:r w:rsidRPr="0072033E">
        <w:rPr>
          <w:rStyle w:val="Fett"/>
        </w:rPr>
        <w:t>Entsorgung</w:t>
      </w:r>
      <w:r>
        <w:rPr>
          <w:rFonts w:cs="Arial"/>
        </w:rPr>
        <w:t>: Mit viel Wasser in den Ausguss</w:t>
      </w:r>
    </w:p>
    <w:p w14:paraId="70E61BCF" w14:textId="391C6B34" w:rsidR="0072033E" w:rsidRDefault="0072033E" w:rsidP="0072033E">
      <w:pPr>
        <w:rPr>
          <w:rFonts w:cs="Arial"/>
        </w:rPr>
      </w:pPr>
      <w:r w:rsidRPr="0072033E">
        <w:rPr>
          <w:rStyle w:val="Fett"/>
        </w:rPr>
        <w:t>Quelle</w:t>
      </w:r>
      <w:r>
        <w:rPr>
          <w:rFonts w:cs="Arial"/>
        </w:rPr>
        <w:t>: Allgemeingut</w:t>
      </w:r>
    </w:p>
    <w:p w14:paraId="124985AE" w14:textId="1F77932F" w:rsidR="0072033E" w:rsidRDefault="0072033E" w:rsidP="0072033E">
      <w:pPr>
        <w:rPr>
          <w:rFonts w:cs="Arial"/>
        </w:rPr>
      </w:pPr>
      <w:r w:rsidRPr="0072033E">
        <w:rPr>
          <w:rStyle w:val="Fett"/>
        </w:rPr>
        <w:t>Diskussion</w:t>
      </w:r>
      <w:r>
        <w:rPr>
          <w:rFonts w:cs="Arial"/>
        </w:rPr>
        <w:t>: Das Element der 2. Periode reagiert weniger stark als das Element der 3. Periode. Kann man diesen Trend im PSE fortsetzen?</w:t>
      </w:r>
    </w:p>
    <w:p w14:paraId="4956221A" w14:textId="5FFA95D2" w:rsidR="0072033E" w:rsidRDefault="0072033E" w:rsidP="0072033E">
      <w:pPr>
        <w:rPr>
          <w:rFonts w:cs="Arial"/>
        </w:rPr>
      </w:pPr>
      <w:r>
        <w:rPr>
          <w:rFonts w:cs="Arial"/>
        </w:rPr>
        <w:t>Natrium ist sehr stark reaktiv während Lithium weniger stark reagiert. Die folgt aus der Ionisierungs-Energie. Natrium reagiert heftiger, hat also eine geringere Ionisierungs-Energie, gibt sein Valenz-Elektron also schwerer ab als Lithium.</w:t>
      </w:r>
    </w:p>
    <w:p w14:paraId="27091871" w14:textId="77777777" w:rsidR="00D13070" w:rsidRDefault="00D13070">
      <w:pPr>
        <w:spacing w:before="0"/>
        <w:jc w:val="left"/>
        <w:rPr>
          <w:rStyle w:val="Fett"/>
        </w:rPr>
      </w:pPr>
      <w:r>
        <w:rPr>
          <w:rStyle w:val="Fett"/>
        </w:rPr>
        <w:br w:type="page"/>
      </w:r>
    </w:p>
    <w:p w14:paraId="2D123E4F" w14:textId="03F34775" w:rsidR="0072033E" w:rsidRPr="00D13070" w:rsidRDefault="0072033E" w:rsidP="0072033E">
      <w:pPr>
        <w:rPr>
          <w:rStyle w:val="Fett"/>
        </w:rPr>
      </w:pPr>
      <w:r w:rsidRPr="00D13070">
        <w:rPr>
          <w:rStyle w:val="Fett"/>
        </w:rPr>
        <w:lastRenderedPageBreak/>
        <w:t>Ionisierungsenergien:</w:t>
      </w:r>
    </w:p>
    <w:p w14:paraId="51D9A3CB" w14:textId="77777777" w:rsidR="0072033E" w:rsidRDefault="0072033E" w:rsidP="0072033E">
      <w:pPr>
        <w:pStyle w:val="Liste2Aufzhlung"/>
      </w:pPr>
      <w:r w:rsidRPr="0072033E">
        <w:rPr>
          <w:rStyle w:val="Fett"/>
        </w:rPr>
        <w:t>Li</w:t>
      </w:r>
      <w:r>
        <w:t>: 5,39 eV</w:t>
      </w:r>
    </w:p>
    <w:p w14:paraId="2B527348" w14:textId="075C992A" w:rsidR="0072033E" w:rsidRDefault="0072033E" w:rsidP="0072033E">
      <w:pPr>
        <w:pStyle w:val="Liste2Aufzhlung"/>
      </w:pPr>
      <w:r w:rsidRPr="0072033E">
        <w:rPr>
          <w:rStyle w:val="Fett"/>
        </w:rPr>
        <w:t>Na</w:t>
      </w:r>
      <w:r>
        <w:t>: 5,14 eV</w:t>
      </w:r>
    </w:p>
    <w:p w14:paraId="066CA605" w14:textId="49C07EE7" w:rsidR="0072033E" w:rsidRDefault="0072033E" w:rsidP="0072033E">
      <w:pPr>
        <w:pStyle w:val="berschrift2"/>
      </w:pPr>
      <w:bookmarkStart w:id="8" w:name="_Toc57624152"/>
      <w:r>
        <w:t>Zusammenhang Ionisierungs-Energie und Atom-Radius</w:t>
      </w:r>
      <w:bookmarkEnd w:id="8"/>
    </w:p>
    <w:p w14:paraId="78D132E4" w14:textId="29AAC3A4" w:rsidR="0072033E" w:rsidRDefault="0072033E" w:rsidP="0072033E">
      <w:pPr>
        <w:rPr>
          <w:rFonts w:cs="Arial"/>
        </w:rPr>
      </w:pPr>
      <w:r>
        <w:rPr>
          <w:rFonts w:cs="Arial"/>
        </w:rPr>
        <w:t>Je größer ein Atom-Radius, desto leichter lässt sich ein Valenz-Elektron abspalten und desto kleiner ist die Ionisierungs-Energie.</w:t>
      </w:r>
    </w:p>
    <w:p w14:paraId="172035BC" w14:textId="79A8CF1B" w:rsidR="0072033E" w:rsidRDefault="0072033E" w:rsidP="0072033E">
      <w:pPr>
        <w:rPr>
          <w:rFonts w:cs="Arial"/>
        </w:rPr>
      </w:pPr>
      <w:r>
        <w:rPr>
          <w:rFonts w:cs="Arial"/>
        </w:rPr>
        <w:t>Daraus folgt, dass der Radius von Lithium kleiner sein muss, als der von Natrium.</w:t>
      </w:r>
    </w:p>
    <w:p w14:paraId="1ACAF672" w14:textId="6A96024E" w:rsidR="0072033E" w:rsidRDefault="0072033E" w:rsidP="0072033E">
      <w:pPr>
        <w:pStyle w:val="Liste2Aufzhlung"/>
      </w:pPr>
      <w:r w:rsidRPr="0072033E">
        <w:rPr>
          <w:rStyle w:val="Fett"/>
        </w:rPr>
        <w:t>r(Li)</w:t>
      </w:r>
      <w:r>
        <w:t>= 145 pm</w:t>
      </w:r>
    </w:p>
    <w:p w14:paraId="5C1E350B" w14:textId="082DBC52" w:rsidR="0072033E" w:rsidRDefault="0072033E" w:rsidP="0072033E">
      <w:pPr>
        <w:pStyle w:val="Liste2Aufzhlung"/>
      </w:pPr>
      <w:r w:rsidRPr="0072033E">
        <w:rPr>
          <w:rStyle w:val="Fett"/>
        </w:rPr>
        <w:t>r(Na)</w:t>
      </w:r>
      <w:r>
        <w:t>= 180 pm</w:t>
      </w:r>
    </w:p>
    <w:p w14:paraId="5D9E49A3" w14:textId="79B680D0" w:rsidR="0072033E" w:rsidRDefault="0072033E" w:rsidP="0072033E">
      <w:pPr>
        <w:rPr>
          <w:rFonts w:cs="Arial"/>
        </w:rPr>
      </w:pPr>
      <w:r>
        <w:rPr>
          <w:rFonts w:cs="Arial"/>
        </w:rPr>
        <w:t>Ionisierungs-Energien und Radien verlaufen im Trend gegenläufig.</w:t>
      </w:r>
    </w:p>
    <w:p w14:paraId="6978A266" w14:textId="686C890F" w:rsidR="0072033E" w:rsidRDefault="0072033E" w:rsidP="0072033E">
      <w:pPr>
        <w:pStyle w:val="berschrift1"/>
      </w:pPr>
      <w:bookmarkStart w:id="9" w:name="_Toc57624153"/>
      <w:r>
        <w:t>Betrachtung aller Paare</w:t>
      </w:r>
      <w:bookmarkEnd w:id="9"/>
    </w:p>
    <w:p w14:paraId="26D2E555" w14:textId="435BD7A3" w:rsidR="0072033E" w:rsidRDefault="0072033E" w:rsidP="0072033E">
      <w:pPr>
        <w:spacing w:after="240"/>
      </w:pPr>
      <w:r>
        <w:rPr>
          <w:rFonts w:cs="Arial"/>
        </w:rPr>
        <w:t>Das Kopf-Element hat immer den kleineren Radius und die höhere Ionisierungs-Energie.</w:t>
      </w:r>
    </w:p>
    <w:tbl>
      <w:tblPr>
        <w:tblStyle w:val="Tabellenraster"/>
        <w:tblW w:w="5503" w:type="pct"/>
        <w:jc w:val="center"/>
        <w:tblLook w:val="04A0" w:firstRow="1" w:lastRow="0" w:firstColumn="1" w:lastColumn="0" w:noHBand="0" w:noVBand="1"/>
      </w:tblPr>
      <w:tblGrid>
        <w:gridCol w:w="1132"/>
        <w:gridCol w:w="606"/>
        <w:gridCol w:w="606"/>
        <w:gridCol w:w="606"/>
        <w:gridCol w:w="606"/>
        <w:gridCol w:w="495"/>
        <w:gridCol w:w="606"/>
        <w:gridCol w:w="717"/>
        <w:gridCol w:w="606"/>
        <w:gridCol w:w="717"/>
        <w:gridCol w:w="717"/>
        <w:gridCol w:w="717"/>
        <w:gridCol w:w="718"/>
        <w:gridCol w:w="718"/>
        <w:gridCol w:w="717"/>
      </w:tblGrid>
      <w:tr w:rsidR="0072033E" w:rsidRPr="0072033E" w14:paraId="59FA3BF1" w14:textId="77777777" w:rsidTr="0072033E">
        <w:trPr>
          <w:jc w:val="center"/>
        </w:trPr>
        <w:tc>
          <w:tcPr>
            <w:tcW w:w="551" w:type="pct"/>
            <w:shd w:val="clear" w:color="auto" w:fill="DDDDDD" w:themeFill="background2"/>
            <w:hideMark/>
          </w:tcPr>
          <w:p w14:paraId="484735BE" w14:textId="77777777" w:rsidR="0072033E" w:rsidRPr="0072033E" w:rsidRDefault="0072033E" w:rsidP="0072033E">
            <w:pPr>
              <w:rPr>
                <w:lang w:eastAsia="de-DE"/>
              </w:rPr>
            </w:pPr>
          </w:p>
        </w:tc>
        <w:tc>
          <w:tcPr>
            <w:tcW w:w="295" w:type="pct"/>
            <w:shd w:val="clear" w:color="auto" w:fill="DDDDDD" w:themeFill="background2"/>
            <w:hideMark/>
          </w:tcPr>
          <w:p w14:paraId="6EE5A2C5" w14:textId="77777777" w:rsidR="0072033E" w:rsidRPr="0072033E" w:rsidRDefault="0072033E" w:rsidP="0072033E">
            <w:pPr>
              <w:rPr>
                <w:lang w:eastAsia="de-DE"/>
              </w:rPr>
            </w:pPr>
            <w:r w:rsidRPr="0072033E">
              <w:rPr>
                <w:rFonts w:cs="Arial"/>
                <w:b/>
                <w:bCs/>
                <w:lang w:eastAsia="de-DE"/>
              </w:rPr>
              <w:t>Li</w:t>
            </w:r>
          </w:p>
        </w:tc>
        <w:tc>
          <w:tcPr>
            <w:tcW w:w="295" w:type="pct"/>
            <w:shd w:val="clear" w:color="auto" w:fill="DDDDDD" w:themeFill="background2"/>
            <w:hideMark/>
          </w:tcPr>
          <w:p w14:paraId="7AA25D38" w14:textId="77777777" w:rsidR="0072033E" w:rsidRPr="0072033E" w:rsidRDefault="0072033E" w:rsidP="0072033E">
            <w:pPr>
              <w:rPr>
                <w:lang w:eastAsia="de-DE"/>
              </w:rPr>
            </w:pPr>
            <w:r w:rsidRPr="0072033E">
              <w:rPr>
                <w:rFonts w:cs="Arial"/>
                <w:b/>
                <w:bCs/>
                <w:lang w:eastAsia="de-DE"/>
              </w:rPr>
              <w:t>Na</w:t>
            </w:r>
          </w:p>
        </w:tc>
        <w:tc>
          <w:tcPr>
            <w:tcW w:w="295" w:type="pct"/>
            <w:shd w:val="clear" w:color="auto" w:fill="DDDDDD" w:themeFill="background2"/>
            <w:hideMark/>
          </w:tcPr>
          <w:p w14:paraId="41DF1EB6" w14:textId="77777777" w:rsidR="0072033E" w:rsidRPr="0072033E" w:rsidRDefault="0072033E" w:rsidP="0072033E">
            <w:pPr>
              <w:rPr>
                <w:lang w:eastAsia="de-DE"/>
              </w:rPr>
            </w:pPr>
            <w:r w:rsidRPr="0072033E">
              <w:rPr>
                <w:rFonts w:cs="Arial"/>
                <w:b/>
                <w:bCs/>
                <w:lang w:eastAsia="de-DE"/>
              </w:rPr>
              <w:t>Be</w:t>
            </w:r>
          </w:p>
        </w:tc>
        <w:tc>
          <w:tcPr>
            <w:tcW w:w="295" w:type="pct"/>
            <w:shd w:val="clear" w:color="auto" w:fill="DDDDDD" w:themeFill="background2"/>
            <w:hideMark/>
          </w:tcPr>
          <w:p w14:paraId="27A9FF37" w14:textId="77777777" w:rsidR="0072033E" w:rsidRPr="0072033E" w:rsidRDefault="0072033E" w:rsidP="0072033E">
            <w:pPr>
              <w:rPr>
                <w:lang w:eastAsia="de-DE"/>
              </w:rPr>
            </w:pPr>
            <w:r w:rsidRPr="0072033E">
              <w:rPr>
                <w:rFonts w:cs="Arial"/>
                <w:b/>
                <w:bCs/>
                <w:lang w:eastAsia="de-DE"/>
              </w:rPr>
              <w:t>Mg</w:t>
            </w:r>
          </w:p>
        </w:tc>
        <w:tc>
          <w:tcPr>
            <w:tcW w:w="241" w:type="pct"/>
            <w:shd w:val="clear" w:color="auto" w:fill="DDDDDD" w:themeFill="background2"/>
            <w:hideMark/>
          </w:tcPr>
          <w:p w14:paraId="3FB0A551" w14:textId="77777777" w:rsidR="0072033E" w:rsidRPr="0072033E" w:rsidRDefault="0072033E" w:rsidP="0072033E">
            <w:pPr>
              <w:rPr>
                <w:lang w:eastAsia="de-DE"/>
              </w:rPr>
            </w:pPr>
            <w:r w:rsidRPr="0072033E">
              <w:rPr>
                <w:rFonts w:cs="Arial"/>
                <w:b/>
                <w:bCs/>
                <w:lang w:eastAsia="de-DE"/>
              </w:rPr>
              <w:t>B</w:t>
            </w:r>
          </w:p>
        </w:tc>
        <w:tc>
          <w:tcPr>
            <w:tcW w:w="295" w:type="pct"/>
            <w:shd w:val="clear" w:color="auto" w:fill="DDDDDD" w:themeFill="background2"/>
            <w:hideMark/>
          </w:tcPr>
          <w:p w14:paraId="76C2E113" w14:textId="77777777" w:rsidR="0072033E" w:rsidRPr="0072033E" w:rsidRDefault="0072033E" w:rsidP="0072033E">
            <w:pPr>
              <w:rPr>
                <w:lang w:eastAsia="de-DE"/>
              </w:rPr>
            </w:pPr>
            <w:r w:rsidRPr="0072033E">
              <w:rPr>
                <w:rFonts w:cs="Arial"/>
                <w:b/>
                <w:bCs/>
                <w:lang w:eastAsia="de-DE"/>
              </w:rPr>
              <w:t>Al</w:t>
            </w:r>
          </w:p>
        </w:tc>
        <w:tc>
          <w:tcPr>
            <w:tcW w:w="349" w:type="pct"/>
            <w:shd w:val="clear" w:color="auto" w:fill="DDDDDD" w:themeFill="background2"/>
            <w:hideMark/>
          </w:tcPr>
          <w:p w14:paraId="2D418F23" w14:textId="77777777" w:rsidR="0072033E" w:rsidRPr="0072033E" w:rsidRDefault="0072033E" w:rsidP="0072033E">
            <w:pPr>
              <w:rPr>
                <w:lang w:eastAsia="de-DE"/>
              </w:rPr>
            </w:pPr>
            <w:r w:rsidRPr="0072033E">
              <w:rPr>
                <w:rFonts w:cs="Arial"/>
                <w:b/>
                <w:bCs/>
                <w:lang w:eastAsia="de-DE"/>
              </w:rPr>
              <w:t>C</w:t>
            </w:r>
          </w:p>
        </w:tc>
        <w:tc>
          <w:tcPr>
            <w:tcW w:w="295" w:type="pct"/>
            <w:shd w:val="clear" w:color="auto" w:fill="DDDDDD" w:themeFill="background2"/>
            <w:hideMark/>
          </w:tcPr>
          <w:p w14:paraId="471D07A8" w14:textId="77777777" w:rsidR="0072033E" w:rsidRPr="0072033E" w:rsidRDefault="0072033E" w:rsidP="0072033E">
            <w:pPr>
              <w:rPr>
                <w:lang w:eastAsia="de-DE"/>
              </w:rPr>
            </w:pPr>
            <w:r w:rsidRPr="0072033E">
              <w:rPr>
                <w:rFonts w:cs="Arial"/>
                <w:b/>
                <w:bCs/>
                <w:lang w:eastAsia="de-DE"/>
              </w:rPr>
              <w:t>Si</w:t>
            </w:r>
          </w:p>
        </w:tc>
        <w:tc>
          <w:tcPr>
            <w:tcW w:w="349" w:type="pct"/>
            <w:shd w:val="clear" w:color="auto" w:fill="DDDDDD" w:themeFill="background2"/>
            <w:hideMark/>
          </w:tcPr>
          <w:p w14:paraId="3FBB9EFC" w14:textId="77777777" w:rsidR="0072033E" w:rsidRPr="0072033E" w:rsidRDefault="0072033E" w:rsidP="0072033E">
            <w:pPr>
              <w:rPr>
                <w:lang w:eastAsia="de-DE"/>
              </w:rPr>
            </w:pPr>
            <w:r w:rsidRPr="0072033E">
              <w:rPr>
                <w:rFonts w:cs="Arial"/>
                <w:b/>
                <w:bCs/>
                <w:lang w:eastAsia="de-DE"/>
              </w:rPr>
              <w:t>N</w:t>
            </w:r>
          </w:p>
        </w:tc>
        <w:tc>
          <w:tcPr>
            <w:tcW w:w="349" w:type="pct"/>
            <w:shd w:val="clear" w:color="auto" w:fill="DDDDDD" w:themeFill="background2"/>
            <w:hideMark/>
          </w:tcPr>
          <w:p w14:paraId="1BCEF30E" w14:textId="77777777" w:rsidR="0072033E" w:rsidRPr="0072033E" w:rsidRDefault="0072033E" w:rsidP="0072033E">
            <w:pPr>
              <w:rPr>
                <w:lang w:eastAsia="de-DE"/>
              </w:rPr>
            </w:pPr>
            <w:r w:rsidRPr="0072033E">
              <w:rPr>
                <w:rFonts w:cs="Arial"/>
                <w:b/>
                <w:bCs/>
                <w:lang w:eastAsia="de-DE"/>
              </w:rPr>
              <w:t>P</w:t>
            </w:r>
          </w:p>
        </w:tc>
        <w:tc>
          <w:tcPr>
            <w:tcW w:w="349" w:type="pct"/>
            <w:shd w:val="clear" w:color="auto" w:fill="DDDDDD" w:themeFill="background2"/>
            <w:hideMark/>
          </w:tcPr>
          <w:p w14:paraId="6D4F1AD4" w14:textId="77777777" w:rsidR="0072033E" w:rsidRPr="0072033E" w:rsidRDefault="0072033E" w:rsidP="0072033E">
            <w:pPr>
              <w:rPr>
                <w:lang w:eastAsia="de-DE"/>
              </w:rPr>
            </w:pPr>
            <w:r w:rsidRPr="0072033E">
              <w:rPr>
                <w:rFonts w:cs="Arial"/>
                <w:b/>
                <w:bCs/>
                <w:lang w:eastAsia="de-DE"/>
              </w:rPr>
              <w:t>O</w:t>
            </w:r>
          </w:p>
        </w:tc>
        <w:tc>
          <w:tcPr>
            <w:tcW w:w="349" w:type="pct"/>
            <w:shd w:val="clear" w:color="auto" w:fill="DDDDDD" w:themeFill="background2"/>
            <w:hideMark/>
          </w:tcPr>
          <w:p w14:paraId="0EC52071" w14:textId="77777777" w:rsidR="0072033E" w:rsidRPr="0072033E" w:rsidRDefault="0072033E" w:rsidP="0072033E">
            <w:pPr>
              <w:rPr>
                <w:lang w:eastAsia="de-DE"/>
              </w:rPr>
            </w:pPr>
            <w:r w:rsidRPr="0072033E">
              <w:rPr>
                <w:rFonts w:cs="Arial"/>
                <w:b/>
                <w:bCs/>
                <w:lang w:eastAsia="de-DE"/>
              </w:rPr>
              <w:t>S</w:t>
            </w:r>
          </w:p>
        </w:tc>
        <w:tc>
          <w:tcPr>
            <w:tcW w:w="349" w:type="pct"/>
            <w:shd w:val="clear" w:color="auto" w:fill="DDDDDD" w:themeFill="background2"/>
            <w:hideMark/>
          </w:tcPr>
          <w:p w14:paraId="3B7A5868" w14:textId="77777777" w:rsidR="0072033E" w:rsidRPr="0072033E" w:rsidRDefault="0072033E" w:rsidP="0072033E">
            <w:pPr>
              <w:rPr>
                <w:lang w:eastAsia="de-DE"/>
              </w:rPr>
            </w:pPr>
            <w:r w:rsidRPr="0072033E">
              <w:rPr>
                <w:rFonts w:cs="Arial"/>
                <w:b/>
                <w:bCs/>
                <w:lang w:eastAsia="de-DE"/>
              </w:rPr>
              <w:t>F</w:t>
            </w:r>
          </w:p>
        </w:tc>
        <w:tc>
          <w:tcPr>
            <w:tcW w:w="349" w:type="pct"/>
            <w:shd w:val="clear" w:color="auto" w:fill="DDDDDD" w:themeFill="background2"/>
            <w:hideMark/>
          </w:tcPr>
          <w:p w14:paraId="5F9E60F3" w14:textId="77777777" w:rsidR="0072033E" w:rsidRPr="0072033E" w:rsidRDefault="0072033E" w:rsidP="0072033E">
            <w:pPr>
              <w:rPr>
                <w:lang w:eastAsia="de-DE"/>
              </w:rPr>
            </w:pPr>
            <w:r w:rsidRPr="0072033E">
              <w:rPr>
                <w:rFonts w:cs="Arial"/>
                <w:b/>
                <w:bCs/>
                <w:lang w:eastAsia="de-DE"/>
              </w:rPr>
              <w:t>Cl</w:t>
            </w:r>
          </w:p>
        </w:tc>
      </w:tr>
      <w:tr w:rsidR="0072033E" w:rsidRPr="0072033E" w14:paraId="49217E96" w14:textId="77777777" w:rsidTr="0072033E">
        <w:trPr>
          <w:jc w:val="center"/>
        </w:trPr>
        <w:tc>
          <w:tcPr>
            <w:tcW w:w="551" w:type="pct"/>
            <w:shd w:val="clear" w:color="auto" w:fill="DDDDDD" w:themeFill="background2"/>
            <w:hideMark/>
          </w:tcPr>
          <w:p w14:paraId="6FDA7B71" w14:textId="48291349" w:rsidR="0072033E" w:rsidRPr="0072033E" w:rsidRDefault="0072033E" w:rsidP="0072033E">
            <w:pPr>
              <w:rPr>
                <w:lang w:eastAsia="de-DE"/>
              </w:rPr>
            </w:pPr>
            <w:r w:rsidRPr="0072033E">
              <w:rPr>
                <w:rFonts w:cs="Arial"/>
                <w:b/>
                <w:bCs/>
                <w:lang w:eastAsia="de-DE"/>
              </w:rPr>
              <w:t>IE</w:t>
            </w:r>
            <w:r>
              <w:rPr>
                <w:rFonts w:cs="Arial"/>
                <w:b/>
                <w:bCs/>
                <w:lang w:eastAsia="de-DE"/>
              </w:rPr>
              <w:t xml:space="preserve"> [</w:t>
            </w:r>
            <w:r w:rsidRPr="0072033E">
              <w:rPr>
                <w:rFonts w:cs="Arial"/>
                <w:b/>
                <w:bCs/>
                <w:lang w:eastAsia="de-DE"/>
              </w:rPr>
              <w:t>eV</w:t>
            </w:r>
            <w:r>
              <w:rPr>
                <w:rFonts w:cs="Arial"/>
                <w:b/>
                <w:bCs/>
                <w:lang w:eastAsia="de-DE"/>
              </w:rPr>
              <w:t>]</w:t>
            </w:r>
          </w:p>
        </w:tc>
        <w:tc>
          <w:tcPr>
            <w:tcW w:w="295" w:type="pct"/>
            <w:hideMark/>
          </w:tcPr>
          <w:p w14:paraId="2BBE97A9" w14:textId="77777777" w:rsidR="0072033E" w:rsidRPr="0072033E" w:rsidRDefault="0072033E" w:rsidP="0072033E">
            <w:pPr>
              <w:rPr>
                <w:sz w:val="20"/>
                <w:szCs w:val="18"/>
                <w:lang w:eastAsia="de-DE"/>
              </w:rPr>
            </w:pPr>
            <w:r w:rsidRPr="0072033E">
              <w:rPr>
                <w:rFonts w:cs="Arial"/>
                <w:sz w:val="20"/>
                <w:szCs w:val="18"/>
                <w:lang w:eastAsia="de-DE"/>
              </w:rPr>
              <w:t>5,39</w:t>
            </w:r>
          </w:p>
        </w:tc>
        <w:tc>
          <w:tcPr>
            <w:tcW w:w="295" w:type="pct"/>
            <w:hideMark/>
          </w:tcPr>
          <w:p w14:paraId="49CD00BE" w14:textId="77777777" w:rsidR="0072033E" w:rsidRPr="0072033E" w:rsidRDefault="0072033E" w:rsidP="0072033E">
            <w:pPr>
              <w:rPr>
                <w:sz w:val="20"/>
                <w:szCs w:val="18"/>
                <w:lang w:eastAsia="de-DE"/>
              </w:rPr>
            </w:pPr>
            <w:r w:rsidRPr="0072033E">
              <w:rPr>
                <w:rFonts w:cs="Arial"/>
                <w:sz w:val="20"/>
                <w:szCs w:val="18"/>
                <w:lang w:eastAsia="de-DE"/>
              </w:rPr>
              <w:t>5,14</w:t>
            </w:r>
          </w:p>
        </w:tc>
        <w:tc>
          <w:tcPr>
            <w:tcW w:w="295" w:type="pct"/>
            <w:hideMark/>
          </w:tcPr>
          <w:p w14:paraId="58A24466" w14:textId="77777777" w:rsidR="0072033E" w:rsidRPr="0072033E" w:rsidRDefault="0072033E" w:rsidP="0072033E">
            <w:pPr>
              <w:rPr>
                <w:sz w:val="20"/>
                <w:szCs w:val="18"/>
                <w:lang w:eastAsia="de-DE"/>
              </w:rPr>
            </w:pPr>
            <w:r w:rsidRPr="0072033E">
              <w:rPr>
                <w:rFonts w:cs="Arial"/>
                <w:sz w:val="20"/>
                <w:szCs w:val="18"/>
                <w:lang w:eastAsia="de-DE"/>
              </w:rPr>
              <w:t>9,32</w:t>
            </w:r>
          </w:p>
        </w:tc>
        <w:tc>
          <w:tcPr>
            <w:tcW w:w="295" w:type="pct"/>
            <w:hideMark/>
          </w:tcPr>
          <w:p w14:paraId="6426F2EA" w14:textId="77777777" w:rsidR="0072033E" w:rsidRPr="0072033E" w:rsidRDefault="0072033E" w:rsidP="0072033E">
            <w:pPr>
              <w:rPr>
                <w:sz w:val="20"/>
                <w:szCs w:val="18"/>
                <w:lang w:eastAsia="de-DE"/>
              </w:rPr>
            </w:pPr>
            <w:r w:rsidRPr="0072033E">
              <w:rPr>
                <w:rFonts w:cs="Arial"/>
                <w:sz w:val="20"/>
                <w:szCs w:val="18"/>
                <w:lang w:eastAsia="de-DE"/>
              </w:rPr>
              <w:t>7,65</w:t>
            </w:r>
          </w:p>
        </w:tc>
        <w:tc>
          <w:tcPr>
            <w:tcW w:w="241" w:type="pct"/>
            <w:hideMark/>
          </w:tcPr>
          <w:p w14:paraId="4541F07F" w14:textId="77777777" w:rsidR="0072033E" w:rsidRPr="0072033E" w:rsidRDefault="0072033E" w:rsidP="0072033E">
            <w:pPr>
              <w:rPr>
                <w:sz w:val="20"/>
                <w:szCs w:val="18"/>
                <w:lang w:eastAsia="de-DE"/>
              </w:rPr>
            </w:pPr>
            <w:r w:rsidRPr="0072033E">
              <w:rPr>
                <w:rFonts w:cs="Arial"/>
                <w:sz w:val="20"/>
                <w:szCs w:val="18"/>
                <w:lang w:eastAsia="de-DE"/>
              </w:rPr>
              <w:t>8,3</w:t>
            </w:r>
          </w:p>
        </w:tc>
        <w:tc>
          <w:tcPr>
            <w:tcW w:w="295" w:type="pct"/>
            <w:hideMark/>
          </w:tcPr>
          <w:p w14:paraId="0DB40AC9" w14:textId="77777777" w:rsidR="0072033E" w:rsidRPr="0072033E" w:rsidRDefault="0072033E" w:rsidP="0072033E">
            <w:pPr>
              <w:rPr>
                <w:sz w:val="20"/>
                <w:szCs w:val="18"/>
                <w:lang w:eastAsia="de-DE"/>
              </w:rPr>
            </w:pPr>
            <w:r w:rsidRPr="0072033E">
              <w:rPr>
                <w:rFonts w:cs="Arial"/>
                <w:sz w:val="20"/>
                <w:szCs w:val="18"/>
                <w:lang w:eastAsia="de-DE"/>
              </w:rPr>
              <w:t>5,99</w:t>
            </w:r>
          </w:p>
        </w:tc>
        <w:tc>
          <w:tcPr>
            <w:tcW w:w="349" w:type="pct"/>
            <w:hideMark/>
          </w:tcPr>
          <w:p w14:paraId="4F0E81E8" w14:textId="77777777" w:rsidR="0072033E" w:rsidRPr="0072033E" w:rsidRDefault="0072033E" w:rsidP="0072033E">
            <w:pPr>
              <w:rPr>
                <w:sz w:val="20"/>
                <w:szCs w:val="18"/>
                <w:lang w:eastAsia="de-DE"/>
              </w:rPr>
            </w:pPr>
            <w:r w:rsidRPr="0072033E">
              <w:rPr>
                <w:rFonts w:cs="Arial"/>
                <w:sz w:val="20"/>
                <w:szCs w:val="18"/>
                <w:lang w:eastAsia="de-DE"/>
              </w:rPr>
              <w:t>11,26</w:t>
            </w:r>
          </w:p>
        </w:tc>
        <w:tc>
          <w:tcPr>
            <w:tcW w:w="295" w:type="pct"/>
            <w:hideMark/>
          </w:tcPr>
          <w:p w14:paraId="7A9A86A8" w14:textId="77777777" w:rsidR="0072033E" w:rsidRPr="0072033E" w:rsidRDefault="0072033E" w:rsidP="0072033E">
            <w:pPr>
              <w:rPr>
                <w:sz w:val="20"/>
                <w:szCs w:val="18"/>
                <w:lang w:eastAsia="de-DE"/>
              </w:rPr>
            </w:pPr>
            <w:r w:rsidRPr="0072033E">
              <w:rPr>
                <w:rFonts w:cs="Arial"/>
                <w:sz w:val="20"/>
                <w:szCs w:val="18"/>
                <w:lang w:eastAsia="de-DE"/>
              </w:rPr>
              <w:t>8,15</w:t>
            </w:r>
          </w:p>
        </w:tc>
        <w:tc>
          <w:tcPr>
            <w:tcW w:w="349" w:type="pct"/>
            <w:hideMark/>
          </w:tcPr>
          <w:p w14:paraId="152CD205" w14:textId="77777777" w:rsidR="0072033E" w:rsidRPr="0072033E" w:rsidRDefault="0072033E" w:rsidP="0072033E">
            <w:pPr>
              <w:rPr>
                <w:sz w:val="20"/>
                <w:szCs w:val="18"/>
                <w:lang w:eastAsia="de-DE"/>
              </w:rPr>
            </w:pPr>
            <w:r w:rsidRPr="0072033E">
              <w:rPr>
                <w:rFonts w:cs="Arial"/>
                <w:sz w:val="20"/>
                <w:szCs w:val="18"/>
                <w:lang w:eastAsia="de-DE"/>
              </w:rPr>
              <w:t>14,53</w:t>
            </w:r>
          </w:p>
        </w:tc>
        <w:tc>
          <w:tcPr>
            <w:tcW w:w="349" w:type="pct"/>
            <w:hideMark/>
          </w:tcPr>
          <w:p w14:paraId="7381CE5F" w14:textId="77777777" w:rsidR="0072033E" w:rsidRPr="0072033E" w:rsidRDefault="0072033E" w:rsidP="0072033E">
            <w:pPr>
              <w:rPr>
                <w:sz w:val="20"/>
                <w:szCs w:val="18"/>
                <w:lang w:eastAsia="de-DE"/>
              </w:rPr>
            </w:pPr>
            <w:r w:rsidRPr="0072033E">
              <w:rPr>
                <w:rFonts w:cs="Arial"/>
                <w:sz w:val="20"/>
                <w:szCs w:val="18"/>
                <w:lang w:eastAsia="de-DE"/>
              </w:rPr>
              <w:t>10,49</w:t>
            </w:r>
          </w:p>
        </w:tc>
        <w:tc>
          <w:tcPr>
            <w:tcW w:w="349" w:type="pct"/>
            <w:hideMark/>
          </w:tcPr>
          <w:p w14:paraId="55D71A6E" w14:textId="77777777" w:rsidR="0072033E" w:rsidRPr="0072033E" w:rsidRDefault="0072033E" w:rsidP="0072033E">
            <w:pPr>
              <w:rPr>
                <w:sz w:val="20"/>
                <w:szCs w:val="18"/>
                <w:lang w:eastAsia="de-DE"/>
              </w:rPr>
            </w:pPr>
            <w:r w:rsidRPr="0072033E">
              <w:rPr>
                <w:rFonts w:cs="Arial"/>
                <w:sz w:val="20"/>
                <w:szCs w:val="18"/>
                <w:lang w:eastAsia="de-DE"/>
              </w:rPr>
              <w:t>13,62</w:t>
            </w:r>
          </w:p>
        </w:tc>
        <w:tc>
          <w:tcPr>
            <w:tcW w:w="349" w:type="pct"/>
            <w:hideMark/>
          </w:tcPr>
          <w:p w14:paraId="381DDAFB" w14:textId="77777777" w:rsidR="0072033E" w:rsidRPr="0072033E" w:rsidRDefault="0072033E" w:rsidP="0072033E">
            <w:pPr>
              <w:rPr>
                <w:sz w:val="20"/>
                <w:szCs w:val="18"/>
                <w:lang w:eastAsia="de-DE"/>
              </w:rPr>
            </w:pPr>
            <w:r w:rsidRPr="0072033E">
              <w:rPr>
                <w:rFonts w:cs="Arial"/>
                <w:sz w:val="20"/>
                <w:szCs w:val="18"/>
                <w:lang w:eastAsia="de-DE"/>
              </w:rPr>
              <w:t>10,36</w:t>
            </w:r>
          </w:p>
        </w:tc>
        <w:tc>
          <w:tcPr>
            <w:tcW w:w="349" w:type="pct"/>
            <w:hideMark/>
          </w:tcPr>
          <w:p w14:paraId="6C66B409" w14:textId="77777777" w:rsidR="0072033E" w:rsidRPr="0072033E" w:rsidRDefault="0072033E" w:rsidP="0072033E">
            <w:pPr>
              <w:rPr>
                <w:sz w:val="20"/>
                <w:szCs w:val="18"/>
                <w:lang w:eastAsia="de-DE"/>
              </w:rPr>
            </w:pPr>
            <w:r w:rsidRPr="0072033E">
              <w:rPr>
                <w:rFonts w:cs="Arial"/>
                <w:sz w:val="20"/>
                <w:szCs w:val="18"/>
                <w:lang w:eastAsia="de-DE"/>
              </w:rPr>
              <w:t>17,42</w:t>
            </w:r>
          </w:p>
        </w:tc>
        <w:tc>
          <w:tcPr>
            <w:tcW w:w="349" w:type="pct"/>
            <w:hideMark/>
          </w:tcPr>
          <w:p w14:paraId="3B15A9D7" w14:textId="77777777" w:rsidR="0072033E" w:rsidRPr="0072033E" w:rsidRDefault="0072033E" w:rsidP="0072033E">
            <w:pPr>
              <w:rPr>
                <w:sz w:val="20"/>
                <w:szCs w:val="18"/>
                <w:lang w:eastAsia="de-DE"/>
              </w:rPr>
            </w:pPr>
            <w:r w:rsidRPr="0072033E">
              <w:rPr>
                <w:rFonts w:cs="Arial"/>
                <w:sz w:val="20"/>
                <w:szCs w:val="18"/>
                <w:lang w:eastAsia="de-DE"/>
              </w:rPr>
              <w:t>12,97</w:t>
            </w:r>
          </w:p>
        </w:tc>
      </w:tr>
      <w:tr w:rsidR="0072033E" w:rsidRPr="0072033E" w14:paraId="03931F0A" w14:textId="77777777" w:rsidTr="0072033E">
        <w:trPr>
          <w:jc w:val="center"/>
        </w:trPr>
        <w:tc>
          <w:tcPr>
            <w:tcW w:w="551" w:type="pct"/>
            <w:shd w:val="clear" w:color="auto" w:fill="DDDDDD" w:themeFill="background2"/>
            <w:hideMark/>
          </w:tcPr>
          <w:p w14:paraId="1FE78D66" w14:textId="77777777" w:rsidR="0072033E" w:rsidRDefault="0072033E" w:rsidP="0072033E">
            <w:pPr>
              <w:rPr>
                <w:rFonts w:cs="Arial"/>
                <w:b/>
                <w:bCs/>
                <w:lang w:eastAsia="de-DE"/>
              </w:rPr>
            </w:pPr>
            <w:r w:rsidRPr="0072033E">
              <w:rPr>
                <w:rFonts w:cs="Arial"/>
                <w:b/>
                <w:bCs/>
                <w:lang w:eastAsia="de-DE"/>
              </w:rPr>
              <w:t>Radius</w:t>
            </w:r>
          </w:p>
          <w:p w14:paraId="25022666" w14:textId="5D44330D" w:rsidR="0072033E" w:rsidRPr="0072033E" w:rsidRDefault="0072033E" w:rsidP="0072033E">
            <w:pPr>
              <w:rPr>
                <w:lang w:eastAsia="de-DE"/>
              </w:rPr>
            </w:pPr>
            <w:r>
              <w:rPr>
                <w:rFonts w:cs="Arial"/>
                <w:b/>
                <w:bCs/>
                <w:lang w:eastAsia="de-DE"/>
              </w:rPr>
              <w:t>[</w:t>
            </w:r>
            <w:r w:rsidRPr="0072033E">
              <w:rPr>
                <w:rFonts w:cs="Arial"/>
                <w:b/>
                <w:bCs/>
                <w:lang w:eastAsia="de-DE"/>
              </w:rPr>
              <w:t>pm</w:t>
            </w:r>
            <w:r>
              <w:rPr>
                <w:rFonts w:cs="Arial"/>
                <w:b/>
                <w:bCs/>
                <w:lang w:eastAsia="de-DE"/>
              </w:rPr>
              <w:t>]</w:t>
            </w:r>
          </w:p>
        </w:tc>
        <w:tc>
          <w:tcPr>
            <w:tcW w:w="295" w:type="pct"/>
            <w:hideMark/>
          </w:tcPr>
          <w:p w14:paraId="5E87CBBA" w14:textId="77777777" w:rsidR="0072033E" w:rsidRPr="0072033E" w:rsidRDefault="0072033E" w:rsidP="0072033E">
            <w:pPr>
              <w:rPr>
                <w:sz w:val="20"/>
                <w:szCs w:val="18"/>
                <w:lang w:eastAsia="de-DE"/>
              </w:rPr>
            </w:pPr>
            <w:r w:rsidRPr="0072033E">
              <w:rPr>
                <w:rFonts w:cs="Arial"/>
                <w:sz w:val="20"/>
                <w:szCs w:val="18"/>
                <w:lang w:eastAsia="de-DE"/>
              </w:rPr>
              <w:t>145</w:t>
            </w:r>
          </w:p>
        </w:tc>
        <w:tc>
          <w:tcPr>
            <w:tcW w:w="295" w:type="pct"/>
            <w:hideMark/>
          </w:tcPr>
          <w:p w14:paraId="1A9F9303" w14:textId="77777777" w:rsidR="0072033E" w:rsidRPr="0072033E" w:rsidRDefault="0072033E" w:rsidP="0072033E">
            <w:pPr>
              <w:rPr>
                <w:sz w:val="20"/>
                <w:szCs w:val="18"/>
                <w:lang w:eastAsia="de-DE"/>
              </w:rPr>
            </w:pPr>
            <w:r w:rsidRPr="0072033E">
              <w:rPr>
                <w:rFonts w:cs="Arial"/>
                <w:sz w:val="20"/>
                <w:szCs w:val="18"/>
                <w:lang w:eastAsia="de-DE"/>
              </w:rPr>
              <w:t>180</w:t>
            </w:r>
          </w:p>
        </w:tc>
        <w:tc>
          <w:tcPr>
            <w:tcW w:w="295" w:type="pct"/>
            <w:hideMark/>
          </w:tcPr>
          <w:p w14:paraId="76D797E7" w14:textId="77777777" w:rsidR="0072033E" w:rsidRPr="0072033E" w:rsidRDefault="0072033E" w:rsidP="0072033E">
            <w:pPr>
              <w:rPr>
                <w:sz w:val="20"/>
                <w:szCs w:val="18"/>
                <w:lang w:eastAsia="de-DE"/>
              </w:rPr>
            </w:pPr>
            <w:r w:rsidRPr="0072033E">
              <w:rPr>
                <w:rFonts w:cs="Arial"/>
                <w:sz w:val="20"/>
                <w:szCs w:val="18"/>
                <w:lang w:eastAsia="de-DE"/>
              </w:rPr>
              <w:t>105</w:t>
            </w:r>
          </w:p>
        </w:tc>
        <w:tc>
          <w:tcPr>
            <w:tcW w:w="295" w:type="pct"/>
            <w:hideMark/>
          </w:tcPr>
          <w:p w14:paraId="47EB7380" w14:textId="77777777" w:rsidR="0072033E" w:rsidRPr="0072033E" w:rsidRDefault="0072033E" w:rsidP="0072033E">
            <w:pPr>
              <w:rPr>
                <w:sz w:val="20"/>
                <w:szCs w:val="18"/>
                <w:lang w:eastAsia="de-DE"/>
              </w:rPr>
            </w:pPr>
            <w:r w:rsidRPr="0072033E">
              <w:rPr>
                <w:rFonts w:cs="Arial"/>
                <w:sz w:val="20"/>
                <w:szCs w:val="18"/>
                <w:lang w:eastAsia="de-DE"/>
              </w:rPr>
              <w:t>150</w:t>
            </w:r>
          </w:p>
        </w:tc>
        <w:tc>
          <w:tcPr>
            <w:tcW w:w="241" w:type="pct"/>
            <w:hideMark/>
          </w:tcPr>
          <w:p w14:paraId="2EBAD5A2" w14:textId="77777777" w:rsidR="0072033E" w:rsidRPr="0072033E" w:rsidRDefault="0072033E" w:rsidP="0072033E">
            <w:pPr>
              <w:rPr>
                <w:sz w:val="20"/>
                <w:szCs w:val="18"/>
                <w:lang w:eastAsia="de-DE"/>
              </w:rPr>
            </w:pPr>
            <w:r w:rsidRPr="0072033E">
              <w:rPr>
                <w:rFonts w:cs="Arial"/>
                <w:sz w:val="20"/>
                <w:szCs w:val="18"/>
                <w:lang w:eastAsia="de-DE"/>
              </w:rPr>
              <w:t>85</w:t>
            </w:r>
          </w:p>
        </w:tc>
        <w:tc>
          <w:tcPr>
            <w:tcW w:w="295" w:type="pct"/>
            <w:hideMark/>
          </w:tcPr>
          <w:p w14:paraId="50A2836A" w14:textId="77777777" w:rsidR="0072033E" w:rsidRPr="0072033E" w:rsidRDefault="0072033E" w:rsidP="0072033E">
            <w:pPr>
              <w:rPr>
                <w:sz w:val="20"/>
                <w:szCs w:val="18"/>
                <w:lang w:eastAsia="de-DE"/>
              </w:rPr>
            </w:pPr>
            <w:r w:rsidRPr="0072033E">
              <w:rPr>
                <w:rFonts w:cs="Arial"/>
                <w:sz w:val="20"/>
                <w:szCs w:val="18"/>
                <w:lang w:eastAsia="de-DE"/>
              </w:rPr>
              <w:t>125</w:t>
            </w:r>
          </w:p>
        </w:tc>
        <w:tc>
          <w:tcPr>
            <w:tcW w:w="349" w:type="pct"/>
            <w:hideMark/>
          </w:tcPr>
          <w:p w14:paraId="05985201" w14:textId="77777777" w:rsidR="0072033E" w:rsidRPr="0072033E" w:rsidRDefault="0072033E" w:rsidP="0072033E">
            <w:pPr>
              <w:rPr>
                <w:sz w:val="20"/>
                <w:szCs w:val="18"/>
                <w:lang w:eastAsia="de-DE"/>
              </w:rPr>
            </w:pPr>
            <w:r w:rsidRPr="0072033E">
              <w:rPr>
                <w:rFonts w:cs="Arial"/>
                <w:sz w:val="20"/>
                <w:szCs w:val="18"/>
                <w:lang w:eastAsia="de-DE"/>
              </w:rPr>
              <w:t>70</w:t>
            </w:r>
          </w:p>
        </w:tc>
        <w:tc>
          <w:tcPr>
            <w:tcW w:w="295" w:type="pct"/>
            <w:hideMark/>
          </w:tcPr>
          <w:p w14:paraId="3F8E9155" w14:textId="77777777" w:rsidR="0072033E" w:rsidRPr="0072033E" w:rsidRDefault="0072033E" w:rsidP="0072033E">
            <w:pPr>
              <w:rPr>
                <w:sz w:val="20"/>
                <w:szCs w:val="18"/>
                <w:lang w:eastAsia="de-DE"/>
              </w:rPr>
            </w:pPr>
            <w:r w:rsidRPr="0072033E">
              <w:rPr>
                <w:rFonts w:cs="Arial"/>
                <w:sz w:val="20"/>
                <w:szCs w:val="18"/>
                <w:lang w:eastAsia="de-DE"/>
              </w:rPr>
              <w:t>110</w:t>
            </w:r>
          </w:p>
        </w:tc>
        <w:tc>
          <w:tcPr>
            <w:tcW w:w="349" w:type="pct"/>
            <w:hideMark/>
          </w:tcPr>
          <w:p w14:paraId="5B6A40B8" w14:textId="77777777" w:rsidR="0072033E" w:rsidRPr="0072033E" w:rsidRDefault="0072033E" w:rsidP="0072033E">
            <w:pPr>
              <w:rPr>
                <w:sz w:val="20"/>
                <w:szCs w:val="18"/>
                <w:lang w:eastAsia="de-DE"/>
              </w:rPr>
            </w:pPr>
            <w:r w:rsidRPr="0072033E">
              <w:rPr>
                <w:rFonts w:cs="Arial"/>
                <w:sz w:val="20"/>
                <w:szCs w:val="18"/>
                <w:lang w:eastAsia="de-DE"/>
              </w:rPr>
              <w:t>65</w:t>
            </w:r>
          </w:p>
        </w:tc>
        <w:tc>
          <w:tcPr>
            <w:tcW w:w="349" w:type="pct"/>
            <w:hideMark/>
          </w:tcPr>
          <w:p w14:paraId="1641C0B1" w14:textId="77777777" w:rsidR="0072033E" w:rsidRPr="0072033E" w:rsidRDefault="0072033E" w:rsidP="0072033E">
            <w:pPr>
              <w:rPr>
                <w:sz w:val="20"/>
                <w:szCs w:val="18"/>
                <w:lang w:eastAsia="de-DE"/>
              </w:rPr>
            </w:pPr>
            <w:r w:rsidRPr="0072033E">
              <w:rPr>
                <w:rFonts w:cs="Arial"/>
                <w:sz w:val="20"/>
                <w:szCs w:val="18"/>
                <w:lang w:eastAsia="de-DE"/>
              </w:rPr>
              <w:t>100</w:t>
            </w:r>
          </w:p>
        </w:tc>
        <w:tc>
          <w:tcPr>
            <w:tcW w:w="349" w:type="pct"/>
            <w:hideMark/>
          </w:tcPr>
          <w:p w14:paraId="738A04B7" w14:textId="77777777" w:rsidR="0072033E" w:rsidRPr="0072033E" w:rsidRDefault="0072033E" w:rsidP="0072033E">
            <w:pPr>
              <w:rPr>
                <w:sz w:val="20"/>
                <w:szCs w:val="18"/>
                <w:lang w:eastAsia="de-DE"/>
              </w:rPr>
            </w:pPr>
            <w:r w:rsidRPr="0072033E">
              <w:rPr>
                <w:rFonts w:cs="Arial"/>
                <w:sz w:val="20"/>
                <w:szCs w:val="18"/>
                <w:lang w:eastAsia="de-DE"/>
              </w:rPr>
              <w:t>60</w:t>
            </w:r>
          </w:p>
        </w:tc>
        <w:tc>
          <w:tcPr>
            <w:tcW w:w="349" w:type="pct"/>
            <w:hideMark/>
          </w:tcPr>
          <w:p w14:paraId="10E3C616" w14:textId="77777777" w:rsidR="0072033E" w:rsidRPr="0072033E" w:rsidRDefault="0072033E" w:rsidP="0072033E">
            <w:pPr>
              <w:rPr>
                <w:sz w:val="20"/>
                <w:szCs w:val="18"/>
                <w:lang w:eastAsia="de-DE"/>
              </w:rPr>
            </w:pPr>
            <w:r w:rsidRPr="0072033E">
              <w:rPr>
                <w:rFonts w:cs="Arial"/>
                <w:sz w:val="20"/>
                <w:szCs w:val="18"/>
                <w:lang w:eastAsia="de-DE"/>
              </w:rPr>
              <w:t>100</w:t>
            </w:r>
          </w:p>
        </w:tc>
        <w:tc>
          <w:tcPr>
            <w:tcW w:w="349" w:type="pct"/>
            <w:hideMark/>
          </w:tcPr>
          <w:p w14:paraId="0D32F929" w14:textId="77777777" w:rsidR="0072033E" w:rsidRPr="0072033E" w:rsidRDefault="0072033E" w:rsidP="0072033E">
            <w:pPr>
              <w:rPr>
                <w:sz w:val="20"/>
                <w:szCs w:val="18"/>
                <w:lang w:eastAsia="de-DE"/>
              </w:rPr>
            </w:pPr>
            <w:r w:rsidRPr="0072033E">
              <w:rPr>
                <w:rFonts w:cs="Arial"/>
                <w:sz w:val="20"/>
                <w:szCs w:val="18"/>
                <w:lang w:eastAsia="de-DE"/>
              </w:rPr>
              <w:t>50</w:t>
            </w:r>
          </w:p>
        </w:tc>
        <w:tc>
          <w:tcPr>
            <w:tcW w:w="349" w:type="pct"/>
            <w:hideMark/>
          </w:tcPr>
          <w:p w14:paraId="778D5216" w14:textId="77777777" w:rsidR="0072033E" w:rsidRPr="0072033E" w:rsidRDefault="0072033E" w:rsidP="0072033E">
            <w:pPr>
              <w:rPr>
                <w:sz w:val="20"/>
                <w:szCs w:val="18"/>
                <w:lang w:eastAsia="de-DE"/>
              </w:rPr>
            </w:pPr>
            <w:r w:rsidRPr="0072033E">
              <w:rPr>
                <w:rFonts w:cs="Arial"/>
                <w:sz w:val="20"/>
                <w:szCs w:val="18"/>
                <w:lang w:eastAsia="de-DE"/>
              </w:rPr>
              <w:t>100</w:t>
            </w:r>
          </w:p>
        </w:tc>
      </w:tr>
    </w:tbl>
    <w:p w14:paraId="356C6A26" w14:textId="2BE5D785" w:rsidR="0072033E" w:rsidRDefault="0072033E" w:rsidP="0072033E">
      <w:pPr>
        <w:pStyle w:val="Beschriftung"/>
      </w:pPr>
      <w:r>
        <w:t xml:space="preserve">Abb. </w:t>
      </w:r>
      <w:r w:rsidR="0013167E">
        <w:fldChar w:fldCharType="begin"/>
      </w:r>
      <w:r w:rsidR="0013167E">
        <w:instrText xml:space="preserve"> SEQ Abb. \* ARABIC </w:instrText>
      </w:r>
      <w:r w:rsidR="0013167E">
        <w:fldChar w:fldCharType="separate"/>
      </w:r>
      <w:r w:rsidR="0013167E">
        <w:rPr>
          <w:noProof/>
        </w:rPr>
        <w:t>1</w:t>
      </w:r>
      <w:r w:rsidR="0013167E">
        <w:rPr>
          <w:noProof/>
        </w:rPr>
        <w:fldChar w:fldCharType="end"/>
      </w:r>
      <w:r>
        <w:t>: Tabelle IE und Radien</w:t>
      </w:r>
    </w:p>
    <w:p w14:paraId="7E9D478D" w14:textId="29DE45E5" w:rsidR="0072033E" w:rsidRDefault="0072033E" w:rsidP="0072033E">
      <w:pPr>
        <w:rPr>
          <w:rFonts w:cs="Arial"/>
        </w:rPr>
      </w:pPr>
      <w:r>
        <w:rPr>
          <w:rFonts w:cs="Arial"/>
        </w:rPr>
        <w:t>In allen Haupt-Gruppen ist das Element der 3. Periode zu groß, um Mehrfach-Bindungen zu bilden und somit den Kohlenstoff in lebenswichtigen Stoffen zu ersetzen.</w:t>
      </w:r>
    </w:p>
    <w:p w14:paraId="4F2C31C4" w14:textId="4B8FFEFD" w:rsidR="0072033E" w:rsidRDefault="0072033E" w:rsidP="0072033E">
      <w:pPr>
        <w:pStyle w:val="Bilder"/>
      </w:pPr>
      <w:r>
        <w:rPr>
          <w:lang w:eastAsia="de-DE"/>
        </w:rPr>
        <w:drawing>
          <wp:inline distT="0" distB="0" distL="0" distR="0" wp14:anchorId="58944B27" wp14:editId="0D92C4F8">
            <wp:extent cx="5496301" cy="3600000"/>
            <wp:effectExtent l="0" t="0" r="952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6301" cy="3600000"/>
                    </a:xfrm>
                    <a:prstGeom prst="rect">
                      <a:avLst/>
                    </a:prstGeom>
                    <a:noFill/>
                    <a:ln>
                      <a:noFill/>
                    </a:ln>
                  </pic:spPr>
                </pic:pic>
              </a:graphicData>
            </a:graphic>
          </wp:inline>
        </w:drawing>
      </w:r>
    </w:p>
    <w:p w14:paraId="6E360CE5" w14:textId="6BEDF361" w:rsidR="0072033E" w:rsidRDefault="0072033E" w:rsidP="0072033E">
      <w:pPr>
        <w:pStyle w:val="Beschriftung"/>
      </w:pPr>
      <w:r>
        <w:t xml:space="preserve">Abb. </w:t>
      </w:r>
      <w:r w:rsidR="0013167E">
        <w:fldChar w:fldCharType="begin"/>
      </w:r>
      <w:r w:rsidR="0013167E">
        <w:instrText xml:space="preserve"> SEQ Abb. \* ARABIC </w:instrText>
      </w:r>
      <w:r w:rsidR="0013167E">
        <w:fldChar w:fldCharType="separate"/>
      </w:r>
      <w:r w:rsidR="0013167E">
        <w:rPr>
          <w:noProof/>
        </w:rPr>
        <w:t>2</w:t>
      </w:r>
      <w:r w:rsidR="0013167E">
        <w:rPr>
          <w:noProof/>
        </w:rPr>
        <w:fldChar w:fldCharType="end"/>
      </w:r>
      <w:r>
        <w:t>: Mehrfach-Bindungen in verschiedenen Haupt-Gruppen</w:t>
      </w:r>
    </w:p>
    <w:p w14:paraId="206DB77A" w14:textId="77777777" w:rsidR="00D13070" w:rsidRDefault="00D13070">
      <w:pPr>
        <w:spacing w:before="0"/>
        <w:jc w:val="left"/>
        <w:rPr>
          <w:rStyle w:val="Fett"/>
          <w:color w:val="008000" w:themeColor="accent3" w:themeShade="80"/>
        </w:rPr>
      </w:pPr>
      <w:r>
        <w:rPr>
          <w:rStyle w:val="Fett"/>
        </w:rPr>
        <w:br w:type="page"/>
      </w:r>
    </w:p>
    <w:p w14:paraId="623DE981" w14:textId="497E7ECA" w:rsidR="0072033E" w:rsidRPr="00CE6509" w:rsidRDefault="0072033E" w:rsidP="008B2DBB">
      <w:pPr>
        <w:pStyle w:val="Grn"/>
        <w:rPr>
          <w:rFonts w:cs="Arial"/>
        </w:rPr>
      </w:pPr>
      <w:r w:rsidRPr="0072033E">
        <w:rPr>
          <w:rStyle w:val="Fett"/>
        </w:rPr>
        <w:lastRenderedPageBreak/>
        <w:t>Doppelbindungs-Regel:</w:t>
      </w:r>
      <w:r w:rsidR="00CE6509">
        <w:rPr>
          <w:rStyle w:val="Fett"/>
        </w:rPr>
        <w:t xml:space="preserve"> </w:t>
      </w:r>
      <w:r w:rsidRPr="00CE6509">
        <w:rPr>
          <w:rFonts w:cs="Arial"/>
        </w:rPr>
        <w:t>Die empirisch aufgestellte Doppelbindungs-Regel besagt, dass es den Elementen des 3. Periode des Periodensystems nicht mehr möglich sein sollte, stabile chemische Verbindungen mit Mehrfach-Bindungen auszubilden.</w:t>
      </w:r>
    </w:p>
    <w:p w14:paraId="54C67FD5" w14:textId="6AB36921" w:rsidR="0072033E" w:rsidRDefault="0072033E" w:rsidP="0072033E">
      <w:pPr>
        <w:pStyle w:val="berschrift1"/>
      </w:pPr>
      <w:bookmarkStart w:id="10" w:name="_Toc57624154"/>
      <w:r>
        <w:t>Allgemeine Trends im PSE</w:t>
      </w:r>
      <w:bookmarkEnd w:id="10"/>
    </w:p>
    <w:p w14:paraId="7FD4FDA3" w14:textId="63369F34" w:rsidR="0072033E" w:rsidRDefault="0072033E" w:rsidP="0072033E">
      <w:pPr>
        <w:pStyle w:val="Bilder"/>
      </w:pPr>
      <w:r>
        <w:rPr>
          <w:lang w:eastAsia="de-DE"/>
        </w:rPr>
        <w:drawing>
          <wp:inline distT="0" distB="0" distL="0" distR="0" wp14:anchorId="25023948" wp14:editId="5D0183CF">
            <wp:extent cx="3868791"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8791" cy="2880000"/>
                    </a:xfrm>
                    <a:prstGeom prst="rect">
                      <a:avLst/>
                    </a:prstGeom>
                    <a:noFill/>
                    <a:ln>
                      <a:noFill/>
                    </a:ln>
                  </pic:spPr>
                </pic:pic>
              </a:graphicData>
            </a:graphic>
          </wp:inline>
        </w:drawing>
      </w:r>
    </w:p>
    <w:p w14:paraId="4186731E" w14:textId="140A3040" w:rsidR="0072033E" w:rsidRDefault="0072033E" w:rsidP="0072033E">
      <w:pPr>
        <w:pStyle w:val="Beschriftung"/>
      </w:pPr>
      <w:r>
        <w:t xml:space="preserve">Abb. </w:t>
      </w:r>
      <w:r w:rsidR="0013167E">
        <w:fldChar w:fldCharType="begin"/>
      </w:r>
      <w:r w:rsidR="0013167E">
        <w:instrText xml:space="preserve"> SEQ Abb. \* ARABIC </w:instrText>
      </w:r>
      <w:r w:rsidR="0013167E">
        <w:fldChar w:fldCharType="separate"/>
      </w:r>
      <w:r w:rsidR="0013167E">
        <w:rPr>
          <w:noProof/>
        </w:rPr>
        <w:t>3</w:t>
      </w:r>
      <w:r w:rsidR="0013167E">
        <w:rPr>
          <w:noProof/>
        </w:rPr>
        <w:fldChar w:fldCharType="end"/>
      </w:r>
      <w:r>
        <w:t>: Trends im PSE [</w:t>
      </w:r>
      <w:r>
        <w:fldChar w:fldCharType="begin"/>
      </w:r>
      <w:r>
        <w:instrText xml:space="preserve"> REF _Ref57624089 \r \h </w:instrText>
      </w:r>
      <w:r>
        <w:fldChar w:fldCharType="separate"/>
      </w:r>
      <w:r w:rsidR="0013167E">
        <w:t>1</w:t>
      </w:r>
      <w:r>
        <w:fldChar w:fldCharType="end"/>
      </w:r>
      <w:r>
        <w:t>]</w:t>
      </w:r>
    </w:p>
    <w:p w14:paraId="6C52DD93" w14:textId="433F94F5" w:rsidR="0072033E" w:rsidRDefault="0072033E" w:rsidP="0072033E">
      <w:pPr>
        <w:pStyle w:val="Zusammenfassung"/>
      </w:pPr>
      <w:r w:rsidRPr="0072033E">
        <w:rPr>
          <w:rStyle w:val="Fett"/>
        </w:rPr>
        <w:t>Zusammenfassung</w:t>
      </w:r>
      <w:r>
        <w:rPr>
          <w:rStyle w:val="Fett"/>
        </w:rPr>
        <w:t>:</w:t>
      </w:r>
      <w:r w:rsidRPr="0072033E">
        <w:t xml:space="preserve"> Die Ionisierungs-Energie verläuft im PSE gegensätzlich zum Atom-Radius. Elemente ab der dritten Periode haben einen zu großen Atom-Radius, um Mehrfach-Bindungen auszubilden. Es kommen prinzipiell nur Elemente der zweiten Periode für neue Lebensformen in Betracht, viele davon sind allerdings aus anderen Gründen auszuschließen.</w:t>
      </w:r>
    </w:p>
    <w:p w14:paraId="7942525E" w14:textId="023F94B4" w:rsidR="00CE6509" w:rsidRPr="0072033E" w:rsidRDefault="00CE6509" w:rsidP="00CE6509">
      <w:pPr>
        <w:pStyle w:val="EinstiegAbschluss"/>
      </w:pPr>
      <w:r>
        <w:rPr>
          <w:rStyle w:val="Fett"/>
        </w:rPr>
        <w:t>Abschluss:</w:t>
      </w:r>
      <w:r>
        <w:t xml:space="preserve"> fehlt.</w:t>
      </w:r>
    </w:p>
    <w:p w14:paraId="171007BD" w14:textId="77777777" w:rsidR="00CE6509" w:rsidRDefault="00CE6509" w:rsidP="00931B30">
      <w:pPr>
        <w:rPr>
          <w:b/>
          <w:bCs/>
        </w:rPr>
      </w:pPr>
    </w:p>
    <w:p w14:paraId="2A8C06EE" w14:textId="59CC8B7C" w:rsidR="00931B30" w:rsidRDefault="00931B30" w:rsidP="00931B30">
      <w:pPr>
        <w:rPr>
          <w:b/>
          <w:bCs/>
        </w:rPr>
      </w:pPr>
      <w:r w:rsidRPr="000E61E0">
        <w:rPr>
          <w:b/>
          <w:bCs/>
        </w:rPr>
        <w:t>Quellen:</w:t>
      </w:r>
    </w:p>
    <w:bookmarkStart w:id="11" w:name="_Ref57624089"/>
    <w:p w14:paraId="5645FAFC" w14:textId="472F3B66" w:rsidR="001A28C0" w:rsidRDefault="001A28C0" w:rsidP="001A28C0">
      <w:pPr>
        <w:pStyle w:val="AufzhlungStandard"/>
      </w:pPr>
      <w:r>
        <w:fldChar w:fldCharType="begin"/>
      </w:r>
      <w:r>
        <w:instrText xml:space="preserve"> HYPERLINK "http://www.periodensystem.info" </w:instrText>
      </w:r>
      <w:r>
        <w:fldChar w:fldCharType="separate"/>
      </w:r>
      <w:r>
        <w:rPr>
          <w:rStyle w:val="Hyperlink"/>
          <w:rFonts w:cs="Arial"/>
        </w:rPr>
        <w:t>http://www.periodensystem.info</w:t>
      </w:r>
      <w:r>
        <w:fldChar w:fldCharType="end"/>
      </w:r>
      <w:r>
        <w:t>, 30.10.2012 (12 weitere Quellen)</w:t>
      </w:r>
      <w:bookmarkEnd w:id="11"/>
    </w:p>
    <w:p w14:paraId="55BA83C4" w14:textId="4F88A435" w:rsidR="001A28C0" w:rsidRPr="00CE6509" w:rsidRDefault="0013167E" w:rsidP="001A28C0">
      <w:pPr>
        <w:pStyle w:val="AufzhlungStandard"/>
      </w:pPr>
      <w:hyperlink r:id="rId14" w:history="1">
        <w:r w:rsidR="001A28C0">
          <w:rPr>
            <w:rStyle w:val="Hyperlink"/>
            <w:rFonts w:cs="Arial"/>
          </w:rPr>
          <w:t>http://www.chemie.de/lexikon/doppelbindungsregel.html</w:t>
        </w:r>
      </w:hyperlink>
      <w:r w:rsidR="001A28C0">
        <w:t>, 30.10.2012 (</w:t>
      </w:r>
      <w:r w:rsidR="001A28C0" w:rsidRPr="00CE6509">
        <w:t>Quelle verschollen, 30.11.2020)</w:t>
      </w:r>
    </w:p>
    <w:p w14:paraId="6F5DD775" w14:textId="481052F4" w:rsidR="001A28C0" w:rsidRPr="00CE6509" w:rsidRDefault="0013167E" w:rsidP="001A28C0">
      <w:pPr>
        <w:pStyle w:val="AufzhlungStandard"/>
      </w:pPr>
      <w:hyperlink r:id="rId15" w:history="1">
        <w:r w:rsidR="001A28C0" w:rsidRPr="00627B5D">
          <w:rPr>
            <w:rStyle w:val="Hyperlink"/>
            <w:rFonts w:cs="Arial"/>
          </w:rPr>
          <w:t>http://w3.restens.lu/ddnuc/COURS/images/haupt.gif</w:t>
        </w:r>
      </w:hyperlink>
      <w:r w:rsidR="001A28C0">
        <w:rPr>
          <w:color w:val="000000"/>
        </w:rPr>
        <w:t xml:space="preserve">, 30.10.2012 </w:t>
      </w:r>
      <w:r w:rsidR="001A28C0">
        <w:t>(</w:t>
      </w:r>
      <w:r w:rsidR="001A28C0" w:rsidRPr="00CE6509">
        <w:t>Quelle verschollen, 30.11.2020)</w:t>
      </w:r>
    </w:p>
    <w:p w14:paraId="7E1F9ADC" w14:textId="354B4258" w:rsidR="001A28C0" w:rsidRDefault="0013167E" w:rsidP="001A28C0">
      <w:pPr>
        <w:pStyle w:val="AufzhlungStandard"/>
      </w:pPr>
      <w:hyperlink r:id="rId16" w:history="1">
        <w:r w:rsidR="001A28C0" w:rsidRPr="00627B5D">
          <w:rPr>
            <w:rStyle w:val="Hyperlink"/>
            <w:rFonts w:cs="Arial"/>
          </w:rPr>
          <w:t>http://www.zeitungsartikel.biz/wp-content/uploads/2011/03/Pflanzen-klonen.jpg</w:t>
        </w:r>
      </w:hyperlink>
      <w:r w:rsidR="001A28C0">
        <w:t>, 30.10.2012 (</w:t>
      </w:r>
      <w:r w:rsidR="001A28C0" w:rsidRPr="00CE6509">
        <w:t>Quelle verschollen, 30.11.2020)</w:t>
      </w:r>
    </w:p>
    <w:p w14:paraId="1D84F7C3" w14:textId="233CEC6F" w:rsidR="001A28C0" w:rsidRPr="00CE6509" w:rsidRDefault="0013167E" w:rsidP="001A28C0">
      <w:pPr>
        <w:pStyle w:val="AufzhlungStandard"/>
      </w:pPr>
      <w:hyperlink r:id="rId17" w:history="1">
        <w:r w:rsidR="001A28C0" w:rsidRPr="00627B5D">
          <w:rPr>
            <w:rStyle w:val="Hyperlink"/>
            <w:rFonts w:cs="Arial"/>
          </w:rPr>
          <w:t>http://paul-langrock.de/images/solaenergie/sol13.jpg</w:t>
        </w:r>
      </w:hyperlink>
      <w:r w:rsidR="001A28C0">
        <w:t>, 22.1..2012 (</w:t>
      </w:r>
      <w:bookmarkStart w:id="12" w:name="_GoBack"/>
      <w:r w:rsidR="001A28C0" w:rsidRPr="00CE6509">
        <w:t>Quelle verschollen, 30.11.2020)</w:t>
      </w:r>
    </w:p>
    <w:bookmarkEnd w:id="12"/>
    <w:p w14:paraId="1121C7D6" w14:textId="73471638" w:rsidR="001A28C0" w:rsidRDefault="0013167E" w:rsidP="001A28C0">
      <w:pPr>
        <w:pStyle w:val="AufzhlungStandard"/>
      </w:pPr>
      <w:r>
        <w:fldChar w:fldCharType="begin"/>
      </w:r>
      <w:r>
        <w:instrText xml:space="preserve"> HYPER</w:instrText>
      </w:r>
      <w:r>
        <w:instrText xml:space="preserve">LINK "http://static.pagenstecher.de/uploads/7/7b/7b1/7b10/Planet1.jpg" </w:instrText>
      </w:r>
      <w:r>
        <w:fldChar w:fldCharType="separate"/>
      </w:r>
      <w:r w:rsidR="001A28C0" w:rsidRPr="00627B5D">
        <w:rPr>
          <w:rStyle w:val="Hyperlink"/>
          <w:rFonts w:cs="Arial"/>
        </w:rPr>
        <w:t>http://static.pagenstecher.de/uploads/7/7b/7b1/7b10/Planet1.jpg</w:t>
      </w:r>
      <w:r>
        <w:rPr>
          <w:rStyle w:val="Hyperlink"/>
          <w:rFonts w:cs="Arial"/>
        </w:rPr>
        <w:fldChar w:fldCharType="end"/>
      </w:r>
      <w:r w:rsidR="001A28C0">
        <w:t>, 22.11.2012</w:t>
      </w:r>
    </w:p>
    <w:p w14:paraId="57FC27F8" w14:textId="092C4F85" w:rsidR="001A28C0" w:rsidRDefault="0013167E" w:rsidP="001A28C0">
      <w:pPr>
        <w:pStyle w:val="AufzhlungStandard"/>
      </w:pPr>
      <w:hyperlink r:id="rId18" w:history="1">
        <w:r w:rsidR="001A28C0" w:rsidRPr="00627B5D">
          <w:rPr>
            <w:rStyle w:val="Hyperlink"/>
            <w:rFonts w:cs="Arial"/>
          </w:rPr>
          <w:t>http://www.focus.de/wissen/diverses/kein-phosphor-ersatz-durch-vermeindliche-alien-bakterien-folgen-auch-irdischen-gesetzen_aid_779293.html</w:t>
        </w:r>
      </w:hyperlink>
      <w:r w:rsidR="001A28C0">
        <w:t>, 13.11.2012</w:t>
      </w:r>
    </w:p>
    <w:sectPr w:rsidR="001A28C0" w:rsidSect="0072033E">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74CEC" w14:textId="77777777" w:rsidR="0098176B" w:rsidRDefault="0098176B" w:rsidP="005A7DCE">
      <w:pPr>
        <w:spacing w:before="0"/>
      </w:pPr>
      <w:r>
        <w:separator/>
      </w:r>
    </w:p>
  </w:endnote>
  <w:endnote w:type="continuationSeparator" w:id="0">
    <w:p w14:paraId="32085379" w14:textId="77777777" w:rsidR="0098176B" w:rsidRDefault="0098176B"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376AADC4" w:rsidR="008039D1" w:rsidRDefault="008039D1">
        <w:pPr>
          <w:pStyle w:val="Fuzeile"/>
          <w:jc w:val="center"/>
        </w:pPr>
        <w:r>
          <w:fldChar w:fldCharType="begin"/>
        </w:r>
        <w:r>
          <w:instrText>PAGE    \* MERGEFORMAT</w:instrText>
        </w:r>
        <w:r>
          <w:fldChar w:fldCharType="separate"/>
        </w:r>
        <w:r w:rsidR="0013167E">
          <w:rPr>
            <w:noProof/>
          </w:rPr>
          <w:t>3</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6BF6" w14:textId="77777777" w:rsidR="0098176B" w:rsidRDefault="0098176B" w:rsidP="005A7DCE">
      <w:pPr>
        <w:spacing w:before="0"/>
      </w:pPr>
      <w:r>
        <w:separator/>
      </w:r>
    </w:p>
  </w:footnote>
  <w:footnote w:type="continuationSeparator" w:id="0">
    <w:p w14:paraId="204198FC" w14:textId="77777777" w:rsidR="0098176B" w:rsidRDefault="0098176B"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2E161D4"/>
    <w:multiLevelType w:val="multilevel"/>
    <w:tmpl w:val="9E000708"/>
    <w:lvl w:ilvl="0">
      <w:start w:val="1"/>
      <w:numFmt w:val="none"/>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sz w:val="24"/>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75A0EEC"/>
    <w:multiLevelType w:val="multilevel"/>
    <w:tmpl w:val="69D6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8"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0" w15:restartNumberingAfterBreak="0">
    <w:nsid w:val="7F566DAC"/>
    <w:multiLevelType w:val="multilevel"/>
    <w:tmpl w:val="929863DA"/>
    <w:lvl w:ilvl="0">
      <w:start w:val="1"/>
      <w:numFmt w:val="bullet"/>
      <w:pStyle w:val="AufzhlungEinzug"/>
      <w:lvlText w:val=""/>
      <w:lvlJc w:val="left"/>
      <w:pPr>
        <w:ind w:left="709"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09" w:hanging="425"/>
      </w:pPr>
      <w:rPr>
        <w:rFonts w:hint="default"/>
        <w:color w:val="auto"/>
        <w:sz w:val="24"/>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num w:numId="1">
    <w:abstractNumId w:val="18"/>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16"/>
  </w:num>
  <w:num w:numId="21">
    <w:abstractNumId w:val="6"/>
  </w:num>
  <w:num w:numId="22">
    <w:abstractNumId w:val="5"/>
  </w:num>
  <w:num w:numId="23">
    <w:abstractNumId w:val="12"/>
  </w:num>
  <w:num w:numId="24">
    <w:abstractNumId w:val="20"/>
    <w:lvlOverride w:ilvl="0">
      <w:lvl w:ilvl="0">
        <w:start w:val="1"/>
        <w:numFmt w:val="bullet"/>
        <w:pStyle w:val="AufzhlungEinzug"/>
        <w:lvlText w:val=""/>
        <w:lvlJc w:val="left"/>
        <w:pPr>
          <w:ind w:left="992" w:hanging="425"/>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992" w:hanging="425"/>
        </w:pPr>
        <w:rPr>
          <w:rFonts w:hint="default"/>
          <w:color w:val="auto"/>
          <w:sz w:val="24"/>
        </w:rPr>
      </w:lvl>
    </w:lvlOverride>
    <w:lvlOverride w:ilvl="2">
      <w:lvl w:ilvl="2">
        <w:start w:val="1"/>
        <w:numFmt w:val="lowerLetter"/>
        <w:lvlText w:val="%3)"/>
        <w:lvlJc w:val="left"/>
        <w:pPr>
          <w:ind w:left="992" w:hanging="425"/>
        </w:pPr>
        <w:rPr>
          <w:rFonts w:hint="default"/>
        </w:rPr>
      </w:lvl>
    </w:lvlOverride>
    <w:lvlOverride w:ilvl="3">
      <w:lvl w:ilvl="3">
        <w:start w:val="1"/>
        <w:numFmt w:val="none"/>
        <w:lvlText w:val=""/>
        <w:lvlJc w:val="left"/>
        <w:pPr>
          <w:ind w:left="992" w:hanging="425"/>
        </w:pPr>
        <w:rPr>
          <w:rFonts w:hint="default"/>
        </w:rPr>
      </w:lvl>
    </w:lvlOverride>
    <w:lvlOverride w:ilvl="4">
      <w:lvl w:ilvl="4">
        <w:start w:val="1"/>
        <w:numFmt w:val="none"/>
        <w:lvlText w:val=""/>
        <w:lvlJc w:val="left"/>
        <w:pPr>
          <w:ind w:left="992" w:hanging="425"/>
        </w:pPr>
        <w:rPr>
          <w:rFonts w:hint="default"/>
        </w:rPr>
      </w:lvl>
    </w:lvlOverride>
    <w:lvlOverride w:ilvl="5">
      <w:lvl w:ilvl="5">
        <w:start w:val="1"/>
        <w:numFmt w:val="none"/>
        <w:lvlText w:val=""/>
        <w:lvlJc w:val="left"/>
        <w:pPr>
          <w:ind w:left="992" w:hanging="425"/>
        </w:pPr>
        <w:rPr>
          <w:rFonts w:hint="default"/>
        </w:rPr>
      </w:lvl>
    </w:lvlOverride>
    <w:lvlOverride w:ilvl="6">
      <w:lvl w:ilvl="6">
        <w:start w:val="1"/>
        <w:numFmt w:val="none"/>
        <w:lvlText w:val=""/>
        <w:lvlJc w:val="left"/>
        <w:pPr>
          <w:ind w:left="992" w:hanging="425"/>
        </w:pPr>
        <w:rPr>
          <w:rFonts w:hint="default"/>
        </w:rPr>
      </w:lvl>
    </w:lvlOverride>
    <w:lvlOverride w:ilvl="7">
      <w:lvl w:ilvl="7">
        <w:start w:val="1"/>
        <w:numFmt w:val="none"/>
        <w:lvlText w:val=""/>
        <w:lvlJc w:val="left"/>
        <w:pPr>
          <w:ind w:left="992" w:hanging="425"/>
        </w:pPr>
        <w:rPr>
          <w:rFonts w:hint="default"/>
        </w:rPr>
      </w:lvl>
    </w:lvlOverride>
    <w:lvlOverride w:ilvl="8">
      <w:lvl w:ilvl="8">
        <w:start w:val="1"/>
        <w:numFmt w:val="none"/>
        <w:lvlText w:val=""/>
        <w:lvlJc w:val="left"/>
        <w:pPr>
          <w:ind w:left="992" w:hanging="425"/>
        </w:pPr>
        <w:rPr>
          <w:rFonts w:hint="default"/>
        </w:rPr>
      </w:lvl>
    </w:lvlOverride>
  </w:num>
  <w:num w:numId="25">
    <w:abstractNumId w:val="20"/>
    <w:lvlOverride w:ilvl="0">
      <w:startOverride w:val="1"/>
      <w:lvl w:ilvl="0">
        <w:start w:val="1"/>
        <w:numFmt w:val="bullet"/>
        <w:pStyle w:val="AufzhlungEinzug"/>
        <w:lvlText w:val=""/>
        <w:lvlJc w:val="left"/>
        <w:pPr>
          <w:ind w:left="992" w:hanging="425"/>
        </w:pPr>
        <w:rPr>
          <w:rFonts w:ascii="Symbol" w:hAnsi="Symbol" w:hint="default"/>
          <w:b w:val="0"/>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Text w:val="%2."/>
        <w:lvlJc w:val="left"/>
        <w:pPr>
          <w:ind w:left="992" w:hanging="425"/>
        </w:pPr>
        <w:rPr>
          <w:rFonts w:hint="default"/>
          <w:color w:val="auto"/>
          <w:sz w:val="24"/>
        </w:rPr>
      </w:lvl>
    </w:lvlOverride>
    <w:lvlOverride w:ilvl="2">
      <w:startOverride w:val="1"/>
      <w:lvl w:ilvl="2">
        <w:start w:val="1"/>
        <w:numFmt w:val="lowerLetter"/>
        <w:lvlText w:val="%3)"/>
        <w:lvlJc w:val="left"/>
        <w:pPr>
          <w:ind w:left="992" w:hanging="425"/>
        </w:pPr>
        <w:rPr>
          <w:rFonts w:hint="default"/>
        </w:rPr>
      </w:lvl>
    </w:lvlOverride>
    <w:lvlOverride w:ilvl="3">
      <w:startOverride w:val="1"/>
      <w:lvl w:ilvl="3">
        <w:start w:val="1"/>
        <w:numFmt w:val="none"/>
        <w:lvlText w:val=""/>
        <w:lvlJc w:val="left"/>
        <w:pPr>
          <w:ind w:left="992" w:hanging="425"/>
        </w:pPr>
        <w:rPr>
          <w:rFonts w:hint="default"/>
        </w:rPr>
      </w:lvl>
    </w:lvlOverride>
    <w:lvlOverride w:ilvl="4">
      <w:startOverride w:val="1"/>
      <w:lvl w:ilvl="4">
        <w:start w:val="1"/>
        <w:numFmt w:val="none"/>
        <w:lvlText w:val=""/>
        <w:lvlJc w:val="left"/>
        <w:pPr>
          <w:ind w:left="992" w:hanging="425"/>
        </w:pPr>
        <w:rPr>
          <w:rFonts w:hint="default"/>
        </w:rPr>
      </w:lvl>
    </w:lvlOverride>
    <w:lvlOverride w:ilvl="5">
      <w:startOverride w:val="1"/>
      <w:lvl w:ilvl="5">
        <w:start w:val="1"/>
        <w:numFmt w:val="none"/>
        <w:lvlText w:val=""/>
        <w:lvlJc w:val="left"/>
        <w:pPr>
          <w:ind w:left="992" w:hanging="425"/>
        </w:pPr>
        <w:rPr>
          <w:rFonts w:hint="default"/>
        </w:rPr>
      </w:lvl>
    </w:lvlOverride>
    <w:lvlOverride w:ilvl="6">
      <w:startOverride w:val="1"/>
      <w:lvl w:ilvl="6">
        <w:start w:val="1"/>
        <w:numFmt w:val="none"/>
        <w:lvlText w:val=""/>
        <w:lvlJc w:val="left"/>
        <w:pPr>
          <w:ind w:left="992" w:hanging="425"/>
        </w:pPr>
        <w:rPr>
          <w:rFonts w:hint="default"/>
        </w:rPr>
      </w:lvl>
    </w:lvlOverride>
    <w:lvlOverride w:ilvl="7">
      <w:startOverride w:val="1"/>
      <w:lvl w:ilvl="7">
        <w:start w:val="1"/>
        <w:numFmt w:val="none"/>
        <w:lvlText w:val=""/>
        <w:lvlJc w:val="left"/>
        <w:pPr>
          <w:ind w:left="992" w:hanging="425"/>
        </w:pPr>
        <w:rPr>
          <w:rFonts w:hint="default"/>
        </w:rPr>
      </w:lvl>
    </w:lvlOverride>
    <w:lvlOverride w:ilvl="8">
      <w:startOverride w:val="1"/>
      <w:lvl w:ilvl="8">
        <w:start w:val="1"/>
        <w:numFmt w:val="none"/>
        <w:lvlText w:val=""/>
        <w:lvlJc w:val="left"/>
        <w:pPr>
          <w:ind w:left="992" w:hanging="425"/>
        </w:pPr>
        <w:rPr>
          <w:rFonts w:hint="default"/>
        </w:rPr>
      </w:lvl>
    </w:lvlOverride>
  </w:num>
  <w:num w:numId="26">
    <w:abstractNumId w:val="17"/>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673EE"/>
    <w:rsid w:val="000712A2"/>
    <w:rsid w:val="00074491"/>
    <w:rsid w:val="000D4A1C"/>
    <w:rsid w:val="000E61E0"/>
    <w:rsid w:val="0013167E"/>
    <w:rsid w:val="001A28C0"/>
    <w:rsid w:val="001B0E73"/>
    <w:rsid w:val="001D6942"/>
    <w:rsid w:val="00286533"/>
    <w:rsid w:val="0029716A"/>
    <w:rsid w:val="0033663A"/>
    <w:rsid w:val="0036111E"/>
    <w:rsid w:val="003E490E"/>
    <w:rsid w:val="00480635"/>
    <w:rsid w:val="004A4B07"/>
    <w:rsid w:val="005633FE"/>
    <w:rsid w:val="005A7DCE"/>
    <w:rsid w:val="005D5199"/>
    <w:rsid w:val="006841CE"/>
    <w:rsid w:val="006F1D4F"/>
    <w:rsid w:val="007161D1"/>
    <w:rsid w:val="0072033E"/>
    <w:rsid w:val="007514D3"/>
    <w:rsid w:val="00783295"/>
    <w:rsid w:val="007B2C80"/>
    <w:rsid w:val="007F18E1"/>
    <w:rsid w:val="008039D1"/>
    <w:rsid w:val="008117E4"/>
    <w:rsid w:val="00825BFE"/>
    <w:rsid w:val="00850560"/>
    <w:rsid w:val="00883728"/>
    <w:rsid w:val="008A524D"/>
    <w:rsid w:val="00931B30"/>
    <w:rsid w:val="009710A6"/>
    <w:rsid w:val="0098176B"/>
    <w:rsid w:val="009B4835"/>
    <w:rsid w:val="00A21130"/>
    <w:rsid w:val="00A25B94"/>
    <w:rsid w:val="00A5383F"/>
    <w:rsid w:val="00AA5D66"/>
    <w:rsid w:val="00AB7E4B"/>
    <w:rsid w:val="00AE53F0"/>
    <w:rsid w:val="00AF7672"/>
    <w:rsid w:val="00B10DD4"/>
    <w:rsid w:val="00B85024"/>
    <w:rsid w:val="00C511E6"/>
    <w:rsid w:val="00CA413D"/>
    <w:rsid w:val="00CE4930"/>
    <w:rsid w:val="00CE6509"/>
    <w:rsid w:val="00D13070"/>
    <w:rsid w:val="00D97908"/>
    <w:rsid w:val="00E14DE1"/>
    <w:rsid w:val="00E20AF3"/>
    <w:rsid w:val="00E50811"/>
    <w:rsid w:val="00E54A99"/>
    <w:rsid w:val="00E8473B"/>
    <w:rsid w:val="00E94F6E"/>
    <w:rsid w:val="00F76D18"/>
    <w:rsid w:val="00FA7EC2"/>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qFormat/>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A28C0"/>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UnresolvedMention">
    <w:name w:val="Unresolved Mention"/>
    <w:basedOn w:val="Absatz-Standardschriftart"/>
    <w:uiPriority w:val="99"/>
    <w:semiHidden/>
    <w:unhideWhenUsed/>
    <w:rsid w:val="001A28C0"/>
    <w:rPr>
      <w:color w:val="605E5C"/>
      <w:shd w:val="clear" w:color="auto" w:fill="E1DFDD"/>
    </w:rPr>
  </w:style>
  <w:style w:type="paragraph" w:customStyle="1" w:styleId="AufzhlungEinzug">
    <w:name w:val="Aufzählung Einzug"/>
    <w:basedOn w:val="AufzhlungStandard"/>
    <w:qFormat/>
    <w:rsid w:val="0072033E"/>
    <w:pPr>
      <w:numPr>
        <w:numId w:val="24"/>
      </w:numPr>
    </w:pPr>
    <w:rPr>
      <w:szCs w:val="24"/>
    </w:rPr>
  </w:style>
  <w:style w:type="paragraph" w:styleId="Zitat">
    <w:name w:val="Quote"/>
    <w:basedOn w:val="Standard"/>
    <w:next w:val="Standard"/>
    <w:link w:val="ZitatZchn"/>
    <w:uiPriority w:val="29"/>
    <w:rsid w:val="0072033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203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3791">
      <w:bodyDiv w:val="1"/>
      <w:marLeft w:val="0"/>
      <w:marRight w:val="0"/>
      <w:marTop w:val="0"/>
      <w:marBottom w:val="0"/>
      <w:divBdr>
        <w:top w:val="none" w:sz="0" w:space="0" w:color="auto"/>
        <w:left w:val="none" w:sz="0" w:space="0" w:color="auto"/>
        <w:bottom w:val="none" w:sz="0" w:space="0" w:color="auto"/>
        <w:right w:val="none" w:sz="0" w:space="0" w:color="auto"/>
      </w:divBdr>
    </w:div>
    <w:div w:id="971911054">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671904621">
      <w:bodyDiv w:val="1"/>
      <w:marLeft w:val="0"/>
      <w:marRight w:val="0"/>
      <w:marTop w:val="0"/>
      <w:marBottom w:val="0"/>
      <w:divBdr>
        <w:top w:val="none" w:sz="0" w:space="0" w:color="auto"/>
        <w:left w:val="none" w:sz="0" w:space="0" w:color="auto"/>
        <w:bottom w:val="none" w:sz="0" w:space="0" w:color="auto"/>
        <w:right w:val="none" w:sz="0" w:space="0" w:color="auto"/>
      </w:divBdr>
    </w:div>
    <w:div w:id="20318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focus.de/wissen/diverses/kein-phosphor-ersatz-durch-vermeindliche-alien-bakterien-folgen-auch-irdischen-gesetzen_aid_77929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paul-langrock.de/images/solaenergie/sol13.jpg" TargetMode="External"/><Relationship Id="rId2" Type="http://schemas.openxmlformats.org/officeDocument/2006/relationships/numbering" Target="numbering.xml"/><Relationship Id="rId16" Type="http://schemas.openxmlformats.org/officeDocument/2006/relationships/hyperlink" Target="http://www.zeitungsartikel.biz/wp-content/uploads/2011/03/Pflanzen-klonen.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3.restens.lu/ddnuc/COURS/images/haupt.gi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hemie.de/lexikon/doppelbindungsregel.htm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26EB-886C-4CB2-833C-414B0AD2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2021-02-24T14:30:00Z</cp:lastPrinted>
  <dcterms:created xsi:type="dcterms:W3CDTF">2020-11-30T08:56:00Z</dcterms:created>
  <dcterms:modified xsi:type="dcterms:W3CDTF">2021-02-24T14:30:00Z</dcterms:modified>
</cp:coreProperties>
</file>