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6F68BF" w:rsidRDefault="006F68BF"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6F68BF" w:rsidRDefault="006F68BF"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695047A1" w:rsidR="00AE53F0" w:rsidRPr="00860B3F" w:rsidRDefault="00E8473B" w:rsidP="00860B3F">
      <w:pPr>
        <w:pStyle w:val="Seminar"/>
      </w:pPr>
      <w:r w:rsidRPr="00860B3F">
        <w:t>Seminar</w:t>
      </w:r>
      <w:r w:rsidR="00FD7888" w:rsidRPr="00860B3F">
        <w:t xml:space="preserve"> „Übungen im Vortragen –</w:t>
      </w:r>
      <w:r w:rsidR="00860B3F" w:rsidRPr="00860B3F">
        <w:t xml:space="preserve"> </w:t>
      </w:r>
      <w:r w:rsidR="00FD7888" w:rsidRPr="00860B3F">
        <w:t>PC“</w:t>
      </w:r>
    </w:p>
    <w:p w14:paraId="61C6F5BC" w14:textId="67DBDA91" w:rsidR="00E8473B" w:rsidRDefault="00860B3F" w:rsidP="005633FE">
      <w:pPr>
        <w:pStyle w:val="Titel"/>
      </w:pPr>
      <w:r>
        <w:t>Mizellen</w:t>
      </w:r>
    </w:p>
    <w:p w14:paraId="28CE20D7" w14:textId="55CE3BF2" w:rsidR="00E8473B" w:rsidRDefault="00860B3F" w:rsidP="00E8473B">
      <w:pPr>
        <w:pStyle w:val="Autor"/>
      </w:pPr>
      <w:r>
        <w:t xml:space="preserve">Ilona Baumann, WS 12/13; Kevin </w:t>
      </w:r>
      <w:proofErr w:type="spellStart"/>
      <w:r>
        <w:t>Eichelsdörfer</w:t>
      </w:r>
      <w:proofErr w:type="spellEnd"/>
      <w:r>
        <w:t>, SS 16</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5997D5A6" w14:textId="0AE645F2" w:rsidR="00617E0A"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617E0A" w:rsidRPr="002E7F21">
            <w:rPr>
              <w:rStyle w:val="Hyperlink"/>
              <w:noProof/>
            </w:rPr>
            <w:fldChar w:fldCharType="begin"/>
          </w:r>
          <w:r w:rsidR="00617E0A" w:rsidRPr="002E7F21">
            <w:rPr>
              <w:rStyle w:val="Hyperlink"/>
              <w:noProof/>
            </w:rPr>
            <w:instrText xml:space="preserve"> </w:instrText>
          </w:r>
          <w:r w:rsidR="00617E0A">
            <w:rPr>
              <w:noProof/>
            </w:rPr>
            <w:instrText>HYPERLINK \l "_Toc59453194"</w:instrText>
          </w:r>
          <w:r w:rsidR="00617E0A" w:rsidRPr="002E7F21">
            <w:rPr>
              <w:rStyle w:val="Hyperlink"/>
              <w:noProof/>
            </w:rPr>
            <w:instrText xml:space="preserve"> </w:instrText>
          </w:r>
          <w:r w:rsidR="00617E0A" w:rsidRPr="002E7F21">
            <w:rPr>
              <w:rStyle w:val="Hyperlink"/>
              <w:noProof/>
            </w:rPr>
          </w:r>
          <w:r w:rsidR="00617E0A" w:rsidRPr="002E7F21">
            <w:rPr>
              <w:rStyle w:val="Hyperlink"/>
              <w:noProof/>
            </w:rPr>
            <w:fldChar w:fldCharType="separate"/>
          </w:r>
          <w:r w:rsidR="00617E0A" w:rsidRPr="002E7F21">
            <w:rPr>
              <w:rStyle w:val="Hyperlink"/>
              <w:noProof/>
            </w:rPr>
            <w:t>1</w:t>
          </w:r>
          <w:r w:rsidR="00617E0A">
            <w:rPr>
              <w:rFonts w:asciiTheme="minorHAnsi" w:eastAsiaTheme="minorEastAsia" w:hAnsiTheme="minorHAnsi"/>
              <w:noProof/>
              <w:sz w:val="22"/>
              <w:lang w:eastAsia="de-DE"/>
            </w:rPr>
            <w:tab/>
          </w:r>
          <w:r w:rsidR="00617E0A" w:rsidRPr="002E7F21">
            <w:rPr>
              <w:rStyle w:val="Hyperlink"/>
              <w:noProof/>
            </w:rPr>
            <w:t>Hintergrund-Informationen</w:t>
          </w:r>
          <w:r w:rsidR="00617E0A">
            <w:rPr>
              <w:noProof/>
              <w:webHidden/>
            </w:rPr>
            <w:tab/>
          </w:r>
          <w:r w:rsidR="00617E0A">
            <w:rPr>
              <w:noProof/>
              <w:webHidden/>
            </w:rPr>
            <w:fldChar w:fldCharType="begin"/>
          </w:r>
          <w:r w:rsidR="00617E0A">
            <w:rPr>
              <w:noProof/>
              <w:webHidden/>
            </w:rPr>
            <w:instrText xml:space="preserve"> PAGEREF _Toc59453194 \h </w:instrText>
          </w:r>
          <w:r w:rsidR="00617E0A">
            <w:rPr>
              <w:noProof/>
              <w:webHidden/>
            </w:rPr>
          </w:r>
          <w:r w:rsidR="00617E0A">
            <w:rPr>
              <w:noProof/>
              <w:webHidden/>
            </w:rPr>
            <w:fldChar w:fldCharType="separate"/>
          </w:r>
          <w:r w:rsidR="001345C3">
            <w:rPr>
              <w:noProof/>
              <w:webHidden/>
            </w:rPr>
            <w:t>1</w:t>
          </w:r>
          <w:r w:rsidR="00617E0A">
            <w:rPr>
              <w:noProof/>
              <w:webHidden/>
            </w:rPr>
            <w:fldChar w:fldCharType="end"/>
          </w:r>
          <w:r w:rsidR="00617E0A" w:rsidRPr="002E7F21">
            <w:rPr>
              <w:rStyle w:val="Hyperlink"/>
              <w:noProof/>
            </w:rPr>
            <w:fldChar w:fldCharType="end"/>
          </w:r>
        </w:p>
        <w:p w14:paraId="30EC2E2D" w14:textId="3A2CD2BD" w:rsidR="00617E0A" w:rsidRDefault="00617E0A">
          <w:pPr>
            <w:pStyle w:val="Verzeichnis1"/>
            <w:tabs>
              <w:tab w:val="left" w:pos="480"/>
              <w:tab w:val="right" w:leader="dot" w:pos="9344"/>
            </w:tabs>
            <w:rPr>
              <w:rFonts w:asciiTheme="minorHAnsi" w:eastAsiaTheme="minorEastAsia" w:hAnsiTheme="minorHAnsi"/>
              <w:noProof/>
              <w:sz w:val="22"/>
              <w:lang w:eastAsia="de-DE"/>
            </w:rPr>
          </w:pPr>
          <w:hyperlink w:anchor="_Toc59453195" w:history="1">
            <w:r w:rsidRPr="002E7F21">
              <w:rPr>
                <w:rStyle w:val="Hyperlink"/>
                <w:noProof/>
              </w:rPr>
              <w:t>2</w:t>
            </w:r>
            <w:r>
              <w:rPr>
                <w:rFonts w:asciiTheme="minorHAnsi" w:eastAsiaTheme="minorEastAsia" w:hAnsiTheme="minorHAnsi"/>
                <w:noProof/>
                <w:sz w:val="22"/>
                <w:lang w:eastAsia="de-DE"/>
              </w:rPr>
              <w:tab/>
            </w:r>
            <w:r w:rsidRPr="002E7F21">
              <w:rPr>
                <w:rStyle w:val="Hyperlink"/>
                <w:noProof/>
              </w:rPr>
              <w:t>Emulsions-Typen</w:t>
            </w:r>
            <w:r>
              <w:rPr>
                <w:noProof/>
                <w:webHidden/>
              </w:rPr>
              <w:tab/>
            </w:r>
            <w:r>
              <w:rPr>
                <w:noProof/>
                <w:webHidden/>
              </w:rPr>
              <w:fldChar w:fldCharType="begin"/>
            </w:r>
            <w:r>
              <w:rPr>
                <w:noProof/>
                <w:webHidden/>
              </w:rPr>
              <w:instrText xml:space="preserve"> PAGEREF _Toc59453195 \h </w:instrText>
            </w:r>
            <w:r>
              <w:rPr>
                <w:noProof/>
                <w:webHidden/>
              </w:rPr>
            </w:r>
            <w:r>
              <w:rPr>
                <w:noProof/>
                <w:webHidden/>
              </w:rPr>
              <w:fldChar w:fldCharType="separate"/>
            </w:r>
            <w:r w:rsidR="001345C3">
              <w:rPr>
                <w:noProof/>
                <w:webHidden/>
              </w:rPr>
              <w:t>2</w:t>
            </w:r>
            <w:r>
              <w:rPr>
                <w:noProof/>
                <w:webHidden/>
              </w:rPr>
              <w:fldChar w:fldCharType="end"/>
            </w:r>
          </w:hyperlink>
        </w:p>
        <w:p w14:paraId="6FB44B43" w14:textId="096A4C12" w:rsidR="00617E0A" w:rsidRDefault="00617E0A">
          <w:pPr>
            <w:pStyle w:val="Verzeichnis1"/>
            <w:tabs>
              <w:tab w:val="left" w:pos="480"/>
              <w:tab w:val="right" w:leader="dot" w:pos="9344"/>
            </w:tabs>
            <w:rPr>
              <w:rFonts w:asciiTheme="minorHAnsi" w:eastAsiaTheme="minorEastAsia" w:hAnsiTheme="minorHAnsi"/>
              <w:noProof/>
              <w:sz w:val="22"/>
              <w:lang w:eastAsia="de-DE"/>
            </w:rPr>
          </w:pPr>
          <w:hyperlink w:anchor="_Toc59453196" w:history="1">
            <w:r w:rsidRPr="002E7F21">
              <w:rPr>
                <w:rStyle w:val="Hyperlink"/>
                <w:noProof/>
              </w:rPr>
              <w:t>3</w:t>
            </w:r>
            <w:r>
              <w:rPr>
                <w:rFonts w:asciiTheme="minorHAnsi" w:eastAsiaTheme="minorEastAsia" w:hAnsiTheme="minorHAnsi"/>
                <w:noProof/>
                <w:sz w:val="22"/>
                <w:lang w:eastAsia="de-DE"/>
              </w:rPr>
              <w:tab/>
            </w:r>
            <w:r w:rsidRPr="002E7F21">
              <w:rPr>
                <w:rStyle w:val="Hyperlink"/>
                <w:noProof/>
              </w:rPr>
              <w:t>Kritische Mizellenbildungskonzentration</w:t>
            </w:r>
            <w:r>
              <w:rPr>
                <w:noProof/>
                <w:webHidden/>
              </w:rPr>
              <w:tab/>
            </w:r>
            <w:r>
              <w:rPr>
                <w:noProof/>
                <w:webHidden/>
              </w:rPr>
              <w:fldChar w:fldCharType="begin"/>
            </w:r>
            <w:r>
              <w:rPr>
                <w:noProof/>
                <w:webHidden/>
              </w:rPr>
              <w:instrText xml:space="preserve"> PAGEREF _Toc59453196 \h </w:instrText>
            </w:r>
            <w:r>
              <w:rPr>
                <w:noProof/>
                <w:webHidden/>
              </w:rPr>
            </w:r>
            <w:r>
              <w:rPr>
                <w:noProof/>
                <w:webHidden/>
              </w:rPr>
              <w:fldChar w:fldCharType="separate"/>
            </w:r>
            <w:r w:rsidR="001345C3">
              <w:rPr>
                <w:noProof/>
                <w:webHidden/>
              </w:rPr>
              <w:t>4</w:t>
            </w:r>
            <w:r>
              <w:rPr>
                <w:noProof/>
                <w:webHidden/>
              </w:rPr>
              <w:fldChar w:fldCharType="end"/>
            </w:r>
          </w:hyperlink>
        </w:p>
        <w:p w14:paraId="72B83E26" w14:textId="4B10687D" w:rsidR="00617E0A" w:rsidRDefault="00617E0A">
          <w:pPr>
            <w:pStyle w:val="Verzeichnis1"/>
            <w:tabs>
              <w:tab w:val="left" w:pos="480"/>
              <w:tab w:val="right" w:leader="dot" w:pos="9344"/>
            </w:tabs>
            <w:rPr>
              <w:rFonts w:asciiTheme="minorHAnsi" w:eastAsiaTheme="minorEastAsia" w:hAnsiTheme="minorHAnsi"/>
              <w:noProof/>
              <w:sz w:val="22"/>
              <w:lang w:eastAsia="de-DE"/>
            </w:rPr>
          </w:pPr>
          <w:hyperlink w:anchor="_Toc59453197" w:history="1">
            <w:r w:rsidRPr="002E7F21">
              <w:rPr>
                <w:rStyle w:val="Hyperlink"/>
                <w:noProof/>
              </w:rPr>
              <w:t>4</w:t>
            </w:r>
            <w:r>
              <w:rPr>
                <w:rFonts w:asciiTheme="minorHAnsi" w:eastAsiaTheme="minorEastAsia" w:hAnsiTheme="minorHAnsi"/>
                <w:noProof/>
                <w:sz w:val="22"/>
                <w:lang w:eastAsia="de-DE"/>
              </w:rPr>
              <w:tab/>
            </w:r>
            <w:r w:rsidRPr="002E7F21">
              <w:rPr>
                <w:rStyle w:val="Hyperlink"/>
                <w:noProof/>
              </w:rPr>
              <w:t>Bestimmung der Mizellen-Gestalt</w:t>
            </w:r>
            <w:r>
              <w:rPr>
                <w:noProof/>
                <w:webHidden/>
              </w:rPr>
              <w:tab/>
            </w:r>
            <w:r>
              <w:rPr>
                <w:noProof/>
                <w:webHidden/>
              </w:rPr>
              <w:fldChar w:fldCharType="begin"/>
            </w:r>
            <w:r>
              <w:rPr>
                <w:noProof/>
                <w:webHidden/>
              </w:rPr>
              <w:instrText xml:space="preserve"> PAGEREF _Toc59453197 \h </w:instrText>
            </w:r>
            <w:r>
              <w:rPr>
                <w:noProof/>
                <w:webHidden/>
              </w:rPr>
            </w:r>
            <w:r>
              <w:rPr>
                <w:noProof/>
                <w:webHidden/>
              </w:rPr>
              <w:fldChar w:fldCharType="separate"/>
            </w:r>
            <w:r w:rsidR="001345C3">
              <w:rPr>
                <w:noProof/>
                <w:webHidden/>
              </w:rPr>
              <w:t>5</w:t>
            </w:r>
            <w:r>
              <w:rPr>
                <w:noProof/>
                <w:webHidden/>
              </w:rPr>
              <w:fldChar w:fldCharType="end"/>
            </w:r>
          </w:hyperlink>
        </w:p>
        <w:p w14:paraId="5AC765BB" w14:textId="20CC52F9" w:rsidR="009B4835" w:rsidRDefault="009B4835">
          <w:r>
            <w:rPr>
              <w:b/>
              <w:bCs/>
            </w:rPr>
            <w:fldChar w:fldCharType="end"/>
          </w:r>
        </w:p>
      </w:sdtContent>
    </w:sdt>
    <w:p w14:paraId="06CE8F08" w14:textId="7F125628" w:rsidR="00FD7888" w:rsidRPr="00860B3F" w:rsidRDefault="00FD7888" w:rsidP="00FD7888">
      <w:pPr>
        <w:pStyle w:val="EinstiegAbschluss"/>
      </w:pPr>
      <w:bookmarkStart w:id="1" w:name="_Überschrift_1"/>
      <w:bookmarkEnd w:id="1"/>
      <w:r w:rsidRPr="00860B3F">
        <w:rPr>
          <w:rStyle w:val="Fett"/>
        </w:rPr>
        <w:t>Einstieg</w:t>
      </w:r>
      <w:r w:rsidR="00860B3F" w:rsidRPr="00860B3F">
        <w:rPr>
          <w:rStyle w:val="Fett"/>
        </w:rPr>
        <w:t xml:space="preserve"> 1</w:t>
      </w:r>
      <w:r>
        <w:t>:</w:t>
      </w:r>
      <w:r w:rsidR="00860B3F">
        <w:t xml:space="preserve"> </w:t>
      </w:r>
      <w:r w:rsidR="00860B3F">
        <w:rPr>
          <w:rFonts w:cs="Arial"/>
        </w:rPr>
        <w:t>Margarine als Beispiel eines Gemisches aus Fett bzw. Öl und Wasser. Rezept: 100 g Kokosfett schmelzen und dann 25 g Rapsöl hinzugeben und auf Raum-Temperatur abkühlen lassen. Anschließend das Öl-Fett-Gemisch in ein Eisbad stellen. Des Weiteren 23 mL Wasser, 10 g Dickmilch, 1 Eigelb und 1 Prise Salz hinzufügen. Nun solange rühren bis die Masse cremig geworden ist. [</w:t>
      </w:r>
      <w:r w:rsidR="00860B3F">
        <w:rPr>
          <w:rFonts w:cs="Arial"/>
        </w:rPr>
        <w:fldChar w:fldCharType="begin"/>
      </w:r>
      <w:r w:rsidR="00860B3F">
        <w:rPr>
          <w:rFonts w:cs="Arial"/>
        </w:rPr>
        <w:instrText xml:space="preserve"> REF _Ref56489181 \r \h </w:instrText>
      </w:r>
      <w:r w:rsidR="00860B3F">
        <w:rPr>
          <w:rFonts w:cs="Arial"/>
        </w:rPr>
      </w:r>
      <w:r w:rsidR="00860B3F">
        <w:rPr>
          <w:rFonts w:cs="Arial"/>
        </w:rPr>
        <w:fldChar w:fldCharType="separate"/>
      </w:r>
      <w:r w:rsidR="001345C3">
        <w:rPr>
          <w:rFonts w:cs="Arial"/>
        </w:rPr>
        <w:t>3</w:t>
      </w:r>
      <w:r w:rsidR="00860B3F">
        <w:rPr>
          <w:rFonts w:cs="Arial"/>
        </w:rPr>
        <w:fldChar w:fldCharType="end"/>
      </w:r>
      <w:r w:rsidR="00860B3F">
        <w:rPr>
          <w:rFonts w:cs="Arial"/>
        </w:rPr>
        <w:t>]</w:t>
      </w:r>
    </w:p>
    <w:p w14:paraId="63FBE523" w14:textId="61C4E320" w:rsidR="00860B3F" w:rsidRDefault="00860B3F" w:rsidP="00860B3F">
      <w:pPr>
        <w:pStyle w:val="Bilder"/>
      </w:pPr>
      <w:r>
        <w:rPr>
          <w:lang w:eastAsia="de-DE"/>
        </w:rPr>
        <w:drawing>
          <wp:inline distT="0" distB="0" distL="0" distR="0" wp14:anchorId="0A8EF3C3" wp14:editId="26FD0A8D">
            <wp:extent cx="2164243" cy="18000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243" cy="1800000"/>
                    </a:xfrm>
                    <a:prstGeom prst="rect">
                      <a:avLst/>
                    </a:prstGeom>
                    <a:noFill/>
                    <a:ln>
                      <a:noFill/>
                    </a:ln>
                  </pic:spPr>
                </pic:pic>
              </a:graphicData>
            </a:graphic>
          </wp:inline>
        </w:drawing>
      </w:r>
    </w:p>
    <w:p w14:paraId="594A24EE" w14:textId="27A5F582" w:rsidR="00860B3F" w:rsidRDefault="00860B3F" w:rsidP="00860B3F">
      <w:pPr>
        <w:pStyle w:val="Beschriftung"/>
      </w:pPr>
      <w:r>
        <w:t xml:space="preserve">Abb. </w:t>
      </w:r>
      <w:r w:rsidR="001345C3">
        <w:fldChar w:fldCharType="begin"/>
      </w:r>
      <w:r w:rsidR="001345C3">
        <w:instrText xml:space="preserve"> SEQ Abb. \* ARABIC </w:instrText>
      </w:r>
      <w:r w:rsidR="001345C3">
        <w:fldChar w:fldCharType="separate"/>
      </w:r>
      <w:r w:rsidR="001345C3">
        <w:rPr>
          <w:noProof/>
        </w:rPr>
        <w:t>1</w:t>
      </w:r>
      <w:r w:rsidR="001345C3">
        <w:rPr>
          <w:noProof/>
        </w:rPr>
        <w:fldChar w:fldCharType="end"/>
      </w:r>
      <w:r>
        <w:t>: Wasser-Öl-Gemisch [</w:t>
      </w:r>
      <w:r>
        <w:fldChar w:fldCharType="begin"/>
      </w:r>
      <w:r>
        <w:instrText xml:space="preserve"> REF _Ref56489280 \r \h </w:instrText>
      </w:r>
      <w:r>
        <w:fldChar w:fldCharType="separate"/>
      </w:r>
      <w:r w:rsidR="001345C3">
        <w:t>2</w:t>
      </w:r>
      <w:r>
        <w:fldChar w:fldCharType="end"/>
      </w:r>
      <w:r>
        <w:t>]</w:t>
      </w:r>
    </w:p>
    <w:p w14:paraId="4B0E8E64" w14:textId="603099E5" w:rsidR="00860B3F" w:rsidRPr="00860B3F" w:rsidRDefault="00860B3F" w:rsidP="00860B3F">
      <w:pPr>
        <w:pStyle w:val="EinstiegAbschluss"/>
      </w:pPr>
      <w:r w:rsidRPr="00860B3F">
        <w:rPr>
          <w:rStyle w:val="Fett"/>
        </w:rPr>
        <w:t>Einstieg 2</w:t>
      </w:r>
      <w:r>
        <w:t xml:space="preserve">: </w:t>
      </w:r>
      <w:r>
        <w:rPr>
          <w:rFonts w:cs="Arial"/>
        </w:rPr>
        <w:t xml:space="preserve">Mizellen ist ein weit verbreiteter Begriff in der Branche der Kosmetik. Man findet sie vor allem in Reinigungstüchern, die wir im Alltag täglich benutzen. </w:t>
      </w:r>
      <w:r w:rsidR="00617E0A">
        <w:rPr>
          <w:rFonts w:cs="Arial"/>
        </w:rPr>
        <w:t xml:space="preserve">Ziel des Beitrages ist es zu beleuchten, </w:t>
      </w:r>
      <w:r>
        <w:rPr>
          <w:rFonts w:cs="Arial"/>
        </w:rPr>
        <w:t xml:space="preserve">was Mizellen </w:t>
      </w:r>
      <w:r w:rsidR="00617E0A">
        <w:rPr>
          <w:rFonts w:cs="Arial"/>
        </w:rPr>
        <w:t xml:space="preserve">bewirken </w:t>
      </w:r>
      <w:r>
        <w:rPr>
          <w:rFonts w:cs="Arial"/>
        </w:rPr>
        <w:t xml:space="preserve">und warum </w:t>
      </w:r>
      <w:r w:rsidR="00617E0A">
        <w:rPr>
          <w:rFonts w:cs="Arial"/>
        </w:rPr>
        <w:t>wir</w:t>
      </w:r>
      <w:r>
        <w:rPr>
          <w:rFonts w:cs="Arial"/>
        </w:rPr>
        <w:t xml:space="preserve"> sie </w:t>
      </w:r>
      <w:r w:rsidR="00617E0A">
        <w:rPr>
          <w:rFonts w:cs="Arial"/>
        </w:rPr>
        <w:t xml:space="preserve">z.B. </w:t>
      </w:r>
      <w:r>
        <w:rPr>
          <w:rFonts w:cs="Arial"/>
        </w:rPr>
        <w:t xml:space="preserve">in Reinigungstücher </w:t>
      </w:r>
      <w:r w:rsidR="00617E0A">
        <w:rPr>
          <w:rFonts w:cs="Arial"/>
        </w:rPr>
        <w:t>nutzen.</w:t>
      </w:r>
    </w:p>
    <w:p w14:paraId="3D51DEDA" w14:textId="040C6364" w:rsidR="00E8473B" w:rsidRDefault="00860B3F" w:rsidP="008A524D">
      <w:pPr>
        <w:pStyle w:val="berschrift1"/>
      </w:pPr>
      <w:bookmarkStart w:id="2" w:name="_Toc59453194"/>
      <w:r>
        <w:t>Hintergrund-Informationen</w:t>
      </w:r>
      <w:bookmarkEnd w:id="2"/>
    </w:p>
    <w:p w14:paraId="6A4DAC32" w14:textId="2F9E5545" w:rsidR="00860B3F" w:rsidRDefault="00860B3F" w:rsidP="00860B3F">
      <w:pPr>
        <w:rPr>
          <w:rFonts w:cs="Arial"/>
        </w:rPr>
      </w:pPr>
      <w:r>
        <w:rPr>
          <w:rFonts w:cs="Arial"/>
        </w:rPr>
        <w:t xml:space="preserve">Wasser und Fett bzw. Öl lassen sich zu einer Emulsion homogenisieren. Emulgatoren sind an der Grenz-Fläche aktiv und stabilisieren Lösungen, die eigentlich nicht miteinander mischbar sind. Dieser Vorgang nennt man dispergieren. Das heißt ein System von fein verteilten Tröpfchen entsteht. Im Falle der Margarine übernimmt diese Aufgabe die Mono- und Diglyceride bzw. das Eigelb. Der meistverwendete Emulgator in der Lebensmittel-Produktion ist </w:t>
      </w:r>
      <w:proofErr w:type="spellStart"/>
      <w:r>
        <w:rPr>
          <w:rFonts w:cs="Arial"/>
        </w:rPr>
        <w:t>Tegomuls</w:t>
      </w:r>
      <w:proofErr w:type="spellEnd"/>
      <w:r>
        <w:rPr>
          <w:rFonts w:cs="Arial"/>
        </w:rPr>
        <w:t> 90 S. „</w:t>
      </w:r>
      <w:proofErr w:type="spellStart"/>
      <w:r>
        <w:rPr>
          <w:rFonts w:cs="Arial"/>
        </w:rPr>
        <w:t>Tego</w:t>
      </w:r>
      <w:proofErr w:type="spellEnd"/>
      <w:r>
        <w:rPr>
          <w:rFonts w:cs="Arial"/>
        </w:rPr>
        <w:t xml:space="preserve">" steht stellvertretend für die Theodor </w:t>
      </w:r>
      <w:proofErr w:type="spellStart"/>
      <w:r>
        <w:rPr>
          <w:rFonts w:cs="Arial"/>
        </w:rPr>
        <w:t>Goldschmitt</w:t>
      </w:r>
      <w:proofErr w:type="spellEnd"/>
      <w:r>
        <w:rPr>
          <w:rFonts w:cs="Arial"/>
        </w:rPr>
        <w:t xml:space="preserve"> GmbH und „</w:t>
      </w:r>
      <w:proofErr w:type="spellStart"/>
      <w:r>
        <w:rPr>
          <w:rFonts w:cs="Arial"/>
        </w:rPr>
        <w:t>muls</w:t>
      </w:r>
      <w:proofErr w:type="spellEnd"/>
      <w:r>
        <w:rPr>
          <w:rFonts w:cs="Arial"/>
        </w:rPr>
        <w:t xml:space="preserve">" kürzt das Wort Emulsion ab. </w:t>
      </w:r>
      <w:proofErr w:type="spellStart"/>
      <w:r>
        <w:rPr>
          <w:rFonts w:cs="Arial"/>
        </w:rPr>
        <w:t>Tegomuls</w:t>
      </w:r>
      <w:proofErr w:type="spellEnd"/>
      <w:r>
        <w:rPr>
          <w:rFonts w:cs="Arial"/>
        </w:rPr>
        <w:t xml:space="preserve"> ist ein </w:t>
      </w:r>
      <w:proofErr w:type="spellStart"/>
      <w:r>
        <w:rPr>
          <w:rFonts w:cs="Arial"/>
        </w:rPr>
        <w:t>Monoglycerid</w:t>
      </w:r>
      <w:proofErr w:type="spellEnd"/>
      <w:r>
        <w:rPr>
          <w:rFonts w:cs="Arial"/>
        </w:rPr>
        <w:t xml:space="preserve">, daher nennt man es auch </w:t>
      </w:r>
      <w:proofErr w:type="spellStart"/>
      <w:r>
        <w:rPr>
          <w:rFonts w:cs="Arial"/>
        </w:rPr>
        <w:t>Glycerinmonostearat</w:t>
      </w:r>
      <w:proofErr w:type="spellEnd"/>
      <w:r>
        <w:rPr>
          <w:rFonts w:cs="Arial"/>
        </w:rPr>
        <w:t>. [</w:t>
      </w:r>
      <w:r>
        <w:rPr>
          <w:rFonts w:cs="Arial"/>
        </w:rPr>
        <w:fldChar w:fldCharType="begin"/>
      </w:r>
      <w:r>
        <w:rPr>
          <w:rFonts w:cs="Arial"/>
        </w:rPr>
        <w:instrText xml:space="preserve"> REF _Ref56489363 \r \h </w:instrText>
      </w:r>
      <w:r>
        <w:rPr>
          <w:rFonts w:cs="Arial"/>
        </w:rPr>
      </w:r>
      <w:r>
        <w:rPr>
          <w:rFonts w:cs="Arial"/>
        </w:rPr>
        <w:fldChar w:fldCharType="separate"/>
      </w:r>
      <w:r w:rsidR="001345C3">
        <w:rPr>
          <w:rFonts w:cs="Arial"/>
        </w:rPr>
        <w:t>5</w:t>
      </w:r>
      <w:r>
        <w:rPr>
          <w:rFonts w:cs="Arial"/>
        </w:rPr>
        <w:fldChar w:fldCharType="end"/>
      </w:r>
      <w:r>
        <w:rPr>
          <w:rFonts w:cs="Arial"/>
        </w:rPr>
        <w:t>]</w:t>
      </w:r>
    </w:p>
    <w:p w14:paraId="6B523BF9" w14:textId="095B2B6D" w:rsidR="00860B3F" w:rsidRDefault="00860B3F" w:rsidP="00860B3F">
      <w:pPr>
        <w:pStyle w:val="Bilder"/>
      </w:pPr>
      <w:r>
        <w:rPr>
          <w:lang w:eastAsia="de-DE"/>
        </w:rPr>
        <w:lastRenderedPageBreak/>
        <w:drawing>
          <wp:inline distT="0" distB="0" distL="0" distR="0" wp14:anchorId="50155A14" wp14:editId="33D4217A">
            <wp:extent cx="1447101" cy="288000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101" cy="2880000"/>
                    </a:xfrm>
                    <a:prstGeom prst="rect">
                      <a:avLst/>
                    </a:prstGeom>
                    <a:noFill/>
                    <a:ln>
                      <a:noFill/>
                    </a:ln>
                  </pic:spPr>
                </pic:pic>
              </a:graphicData>
            </a:graphic>
          </wp:inline>
        </w:drawing>
      </w:r>
    </w:p>
    <w:p w14:paraId="099DBC9B" w14:textId="493A1448" w:rsidR="00860B3F" w:rsidRDefault="00860B3F" w:rsidP="00860B3F">
      <w:pPr>
        <w:pStyle w:val="Beschriftung"/>
      </w:pPr>
      <w:r>
        <w:t xml:space="preserve">Abb. </w:t>
      </w:r>
      <w:r w:rsidR="001345C3">
        <w:fldChar w:fldCharType="begin"/>
      </w:r>
      <w:r w:rsidR="001345C3">
        <w:instrText xml:space="preserve"> SEQ Abb. \* ARABIC </w:instrText>
      </w:r>
      <w:r w:rsidR="001345C3">
        <w:fldChar w:fldCharType="separate"/>
      </w:r>
      <w:r w:rsidR="001345C3">
        <w:rPr>
          <w:noProof/>
        </w:rPr>
        <w:t>2</w:t>
      </w:r>
      <w:r w:rsidR="001345C3">
        <w:rPr>
          <w:noProof/>
        </w:rPr>
        <w:fldChar w:fldCharType="end"/>
      </w:r>
      <w:r>
        <w:t xml:space="preserve">: </w:t>
      </w:r>
      <w:proofErr w:type="spellStart"/>
      <w:r>
        <w:t>Tegomuls</w:t>
      </w:r>
      <w:proofErr w:type="spellEnd"/>
      <w:r>
        <w:t> 90 S</w:t>
      </w:r>
    </w:p>
    <w:p w14:paraId="3A7986E6" w14:textId="433E91F1" w:rsidR="00860B3F" w:rsidRDefault="00860B3F" w:rsidP="00860B3F">
      <w:pPr>
        <w:rPr>
          <w:rFonts w:cs="Arial"/>
        </w:rPr>
      </w:pPr>
      <w:proofErr w:type="spellStart"/>
      <w:r>
        <w:rPr>
          <w:rFonts w:cs="Arial"/>
        </w:rPr>
        <w:t>Tegomuls</w:t>
      </w:r>
      <w:proofErr w:type="spellEnd"/>
      <w:r>
        <w:rPr>
          <w:rFonts w:cs="Arial"/>
        </w:rPr>
        <w:t xml:space="preserve"> ist wie folgt aufgebaut. Die Kopf</w:t>
      </w:r>
      <w:r w:rsidR="00FD68B1">
        <w:rPr>
          <w:rFonts w:cs="Arial"/>
        </w:rPr>
        <w:t>-G</w:t>
      </w:r>
      <w:r>
        <w:rPr>
          <w:rFonts w:cs="Arial"/>
        </w:rPr>
        <w:t>ruppe ist Wasser liebend, also hydrophil bzw. lipophob. Sie hat ein Glycerin-</w:t>
      </w:r>
      <w:proofErr w:type="spellStart"/>
      <w:r>
        <w:rPr>
          <w:rFonts w:cs="Arial"/>
        </w:rPr>
        <w:t>Rückgrad</w:t>
      </w:r>
      <w:proofErr w:type="spellEnd"/>
      <w:r>
        <w:rPr>
          <w:rFonts w:cs="Arial"/>
        </w:rPr>
        <w:t xml:space="preserve"> und OH-Gruppen. Die Schwanz</w:t>
      </w:r>
      <w:r w:rsidR="00FD68B1">
        <w:rPr>
          <w:rFonts w:cs="Arial"/>
        </w:rPr>
        <w:t>-G</w:t>
      </w:r>
      <w:r>
        <w:rPr>
          <w:rFonts w:cs="Arial"/>
        </w:rPr>
        <w:t>ruppe ist fettliebend, also hydrophob bzw. lipophil und besteht aus einem langen Alkyl</w:t>
      </w:r>
      <w:r w:rsidR="00FD68B1">
        <w:rPr>
          <w:rFonts w:cs="Arial"/>
        </w:rPr>
        <w:t>-R</w:t>
      </w:r>
      <w:r>
        <w:rPr>
          <w:rFonts w:cs="Arial"/>
        </w:rPr>
        <w:t>est. Somit ist das Molekül amphiphil und zählt zu der Gruppe der Lipide. Das Eigelb, was in der Margarine enthalten ist, enthält Lecithin. Es ist aufgrund der Phosphorsäure</w:t>
      </w:r>
      <w:r w:rsidR="00FD68B1">
        <w:rPr>
          <w:rFonts w:cs="Arial"/>
        </w:rPr>
        <w:t>-G</w:t>
      </w:r>
      <w:r>
        <w:rPr>
          <w:rFonts w:cs="Arial"/>
        </w:rPr>
        <w:t>ruppe ein Phospholipid. Zudem ist es eine ungesättigte Fettsäure wegen der Doppel</w:t>
      </w:r>
      <w:r w:rsidR="00FD68B1">
        <w:rPr>
          <w:rFonts w:cs="Arial"/>
        </w:rPr>
        <w:t>-B</w:t>
      </w:r>
      <w:r>
        <w:rPr>
          <w:rFonts w:cs="Arial"/>
        </w:rPr>
        <w:t>indungen am C8-Atom des Ölsäurefett</w:t>
      </w:r>
      <w:r w:rsidR="00FD68B1">
        <w:rPr>
          <w:rFonts w:cs="Arial"/>
        </w:rPr>
        <w:t>-R</w:t>
      </w:r>
      <w:r>
        <w:rPr>
          <w:rFonts w:cs="Arial"/>
        </w:rPr>
        <w:t>estes. [</w:t>
      </w:r>
      <w:r w:rsidR="00FD68B1">
        <w:rPr>
          <w:rFonts w:cs="Arial"/>
        </w:rPr>
        <w:fldChar w:fldCharType="begin"/>
      </w:r>
      <w:r w:rsidR="00FD68B1">
        <w:rPr>
          <w:rFonts w:cs="Arial"/>
        </w:rPr>
        <w:instrText xml:space="preserve"> REF _Ref56489506 \r \h </w:instrText>
      </w:r>
      <w:r w:rsidR="00FD68B1">
        <w:rPr>
          <w:rFonts w:cs="Arial"/>
        </w:rPr>
      </w:r>
      <w:r w:rsidR="00FD68B1">
        <w:rPr>
          <w:rFonts w:cs="Arial"/>
        </w:rPr>
        <w:fldChar w:fldCharType="separate"/>
      </w:r>
      <w:r w:rsidR="001345C3">
        <w:rPr>
          <w:rFonts w:cs="Arial"/>
        </w:rPr>
        <w:t>4</w:t>
      </w:r>
      <w:r w:rsidR="00FD68B1">
        <w:rPr>
          <w:rFonts w:cs="Arial"/>
        </w:rPr>
        <w:fldChar w:fldCharType="end"/>
      </w:r>
      <w:r>
        <w:rPr>
          <w:rFonts w:cs="Arial"/>
        </w:rPr>
        <w:t>]</w:t>
      </w:r>
    </w:p>
    <w:p w14:paraId="217E820A" w14:textId="68945B40" w:rsidR="00FD68B1" w:rsidRDefault="00FD68B1" w:rsidP="00FD68B1">
      <w:pPr>
        <w:pStyle w:val="berschrift1"/>
      </w:pPr>
      <w:bookmarkStart w:id="3" w:name="_Toc59453195"/>
      <w:r>
        <w:t>Emulsions-Typen</w:t>
      </w:r>
      <w:bookmarkEnd w:id="3"/>
    </w:p>
    <w:p w14:paraId="2CC7C1B1" w14:textId="6E4ECFE4" w:rsidR="00FD68B1" w:rsidRDefault="00FD68B1" w:rsidP="00FD68B1">
      <w:r>
        <w:t>Da der Fett-Anteil in der Margarine wesentlich höher als der Wasser-Anteil ist, spricht man hier von einer „Wasser in Öl Emulsion", abgekürzt W/O-Emulsion. [</w:t>
      </w:r>
      <w:r>
        <w:rPr>
          <w:rFonts w:cs="Arial"/>
        </w:rPr>
        <w:fldChar w:fldCharType="begin"/>
      </w:r>
      <w:r>
        <w:instrText xml:space="preserve"> REF _Ref56489543 \r \h </w:instrText>
      </w:r>
      <w:r>
        <w:rPr>
          <w:rFonts w:cs="Arial"/>
        </w:rPr>
      </w:r>
      <w:r>
        <w:rPr>
          <w:rFonts w:cs="Arial"/>
        </w:rPr>
        <w:fldChar w:fldCharType="separate"/>
      </w:r>
      <w:r w:rsidR="001345C3">
        <w:t>1</w:t>
      </w:r>
      <w:r>
        <w:rPr>
          <w:rFonts w:cs="Arial"/>
        </w:rPr>
        <w:fldChar w:fldCharType="end"/>
      </w:r>
      <w:r>
        <w:t>]</w:t>
      </w:r>
    </w:p>
    <w:p w14:paraId="5A38725A" w14:textId="78169336" w:rsidR="00FD68B1" w:rsidRDefault="00FD68B1" w:rsidP="00FD68B1">
      <w:pPr>
        <w:pStyle w:val="Bilder"/>
      </w:pPr>
      <w:r>
        <w:rPr>
          <w:lang w:eastAsia="de-DE"/>
        </w:rPr>
        <w:drawing>
          <wp:inline distT="0" distB="0" distL="0" distR="0" wp14:anchorId="6E9E42CE" wp14:editId="79B37883">
            <wp:extent cx="1190794"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794" cy="1800000"/>
                    </a:xfrm>
                    <a:prstGeom prst="rect">
                      <a:avLst/>
                    </a:prstGeom>
                    <a:noFill/>
                    <a:ln>
                      <a:noFill/>
                    </a:ln>
                  </pic:spPr>
                </pic:pic>
              </a:graphicData>
            </a:graphic>
          </wp:inline>
        </w:drawing>
      </w:r>
    </w:p>
    <w:p w14:paraId="151A82B8" w14:textId="7830EE36" w:rsidR="00FD68B1" w:rsidRDefault="00FD68B1" w:rsidP="00FD68B1">
      <w:pPr>
        <w:pStyle w:val="Beschriftung"/>
      </w:pPr>
      <w:r>
        <w:t xml:space="preserve">Abb. </w:t>
      </w:r>
      <w:r w:rsidR="001345C3">
        <w:fldChar w:fldCharType="begin"/>
      </w:r>
      <w:r w:rsidR="001345C3">
        <w:instrText xml:space="preserve"> SEQ</w:instrText>
      </w:r>
      <w:r w:rsidR="001345C3">
        <w:instrText xml:space="preserve"> Abb. \* ARABIC </w:instrText>
      </w:r>
      <w:r w:rsidR="001345C3">
        <w:fldChar w:fldCharType="separate"/>
      </w:r>
      <w:r w:rsidR="001345C3">
        <w:rPr>
          <w:noProof/>
        </w:rPr>
        <w:t>3</w:t>
      </w:r>
      <w:r w:rsidR="001345C3">
        <w:rPr>
          <w:noProof/>
        </w:rPr>
        <w:fldChar w:fldCharType="end"/>
      </w:r>
      <w:r>
        <w:t xml:space="preserve">: W/O-Emulsion [nach </w:t>
      </w:r>
      <w:r>
        <w:fldChar w:fldCharType="begin"/>
      </w:r>
      <w:r>
        <w:instrText xml:space="preserve"> REF _Ref56489543 \r \h </w:instrText>
      </w:r>
      <w:r>
        <w:fldChar w:fldCharType="separate"/>
      </w:r>
      <w:r w:rsidR="001345C3">
        <w:t>1</w:t>
      </w:r>
      <w:r>
        <w:fldChar w:fldCharType="end"/>
      </w:r>
      <w:r>
        <w:t>]</w:t>
      </w:r>
    </w:p>
    <w:p w14:paraId="5AD58EC7" w14:textId="1FCE6C2A" w:rsidR="00FD68B1" w:rsidRPr="00FD68B1" w:rsidRDefault="00FD68B1" w:rsidP="00FD68B1">
      <w:r>
        <w:rPr>
          <w:rFonts w:cs="Arial"/>
        </w:rPr>
        <w:t>Die Zusammenlagerung der Lipide auf solche Weise nennt man inverse Mizellen, denn gleich und gleich gesellt sich gern. Also richtet sich die lipophile Schwanz-Gruppe in Richtung des lipophilen Mediums aus und die hydrophilen Kopf-Gruppen lagern sich aneinander. Der umgekehrte Fall ist eine O/W-Emulsion, also eine Öl in Wasser Emulsion. [</w:t>
      </w:r>
      <w:r>
        <w:rPr>
          <w:rFonts w:cs="Arial"/>
        </w:rPr>
        <w:fldChar w:fldCharType="begin"/>
      </w:r>
      <w:r>
        <w:rPr>
          <w:rFonts w:cs="Arial"/>
        </w:rPr>
        <w:instrText xml:space="preserve"> REF _Ref56489543 \r \h </w:instrText>
      </w:r>
      <w:r>
        <w:rPr>
          <w:rFonts w:cs="Arial"/>
        </w:rPr>
      </w:r>
      <w:r>
        <w:rPr>
          <w:rFonts w:cs="Arial"/>
        </w:rPr>
        <w:fldChar w:fldCharType="separate"/>
      </w:r>
      <w:r w:rsidR="001345C3">
        <w:rPr>
          <w:rFonts w:cs="Arial"/>
        </w:rPr>
        <w:t>1</w:t>
      </w:r>
      <w:r>
        <w:rPr>
          <w:rFonts w:cs="Arial"/>
        </w:rPr>
        <w:fldChar w:fldCharType="end"/>
      </w:r>
      <w:r>
        <w:rPr>
          <w:rFonts w:cs="Arial"/>
        </w:rPr>
        <w:t>]</w:t>
      </w:r>
    </w:p>
    <w:p w14:paraId="274DAFA4" w14:textId="3BF38942" w:rsidR="00FD68B1" w:rsidRDefault="00FD68B1" w:rsidP="00FD68B1">
      <w:pPr>
        <w:pStyle w:val="Bilder"/>
      </w:pPr>
      <w:r>
        <w:rPr>
          <w:lang w:eastAsia="de-DE"/>
        </w:rPr>
        <w:lastRenderedPageBreak/>
        <w:drawing>
          <wp:inline distT="0" distB="0" distL="0" distR="0" wp14:anchorId="16074737" wp14:editId="5A60BC3F">
            <wp:extent cx="1169180"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9180" cy="1800000"/>
                    </a:xfrm>
                    <a:prstGeom prst="rect">
                      <a:avLst/>
                    </a:prstGeom>
                    <a:noFill/>
                    <a:ln>
                      <a:noFill/>
                    </a:ln>
                  </pic:spPr>
                </pic:pic>
              </a:graphicData>
            </a:graphic>
          </wp:inline>
        </w:drawing>
      </w:r>
    </w:p>
    <w:p w14:paraId="08E57316" w14:textId="7B36903D" w:rsidR="00FD68B1" w:rsidRDefault="00FD68B1" w:rsidP="00FD68B1">
      <w:pPr>
        <w:pStyle w:val="Beschriftung"/>
      </w:pPr>
      <w:r>
        <w:t xml:space="preserve">Abb. </w:t>
      </w:r>
      <w:r w:rsidR="001345C3">
        <w:fldChar w:fldCharType="begin"/>
      </w:r>
      <w:r w:rsidR="001345C3">
        <w:instrText xml:space="preserve"> SEQ Abb. \* ARABIC </w:instrText>
      </w:r>
      <w:r w:rsidR="001345C3">
        <w:fldChar w:fldCharType="separate"/>
      </w:r>
      <w:r w:rsidR="001345C3">
        <w:rPr>
          <w:noProof/>
        </w:rPr>
        <w:t>4</w:t>
      </w:r>
      <w:r w:rsidR="001345C3">
        <w:rPr>
          <w:noProof/>
        </w:rPr>
        <w:fldChar w:fldCharType="end"/>
      </w:r>
      <w:r>
        <w:t xml:space="preserve">: O/W-Emulsion [nach </w:t>
      </w:r>
      <w:r>
        <w:fldChar w:fldCharType="begin"/>
      </w:r>
      <w:r>
        <w:instrText xml:space="preserve"> REF _Ref56489543 \r \h </w:instrText>
      </w:r>
      <w:r>
        <w:fldChar w:fldCharType="separate"/>
      </w:r>
      <w:r w:rsidR="001345C3">
        <w:t>1</w:t>
      </w:r>
      <w:r>
        <w:fldChar w:fldCharType="end"/>
      </w:r>
      <w:r>
        <w:t>]</w:t>
      </w:r>
    </w:p>
    <w:p w14:paraId="5C382AE4" w14:textId="2E662AFC" w:rsidR="00FD68B1" w:rsidRDefault="00FD68B1" w:rsidP="00FD68B1">
      <w:pPr>
        <w:rPr>
          <w:rFonts w:cs="Arial"/>
        </w:rPr>
      </w:pPr>
      <w:r>
        <w:rPr>
          <w:rFonts w:cs="Arial"/>
        </w:rPr>
        <w:t>Diese Zusammenlagerung nennt man Mizelle. Jetzt wird auch klar, warum man immer gut rühren muss, um eine Emulsion zu erhalten. Die Tröpfchen haben im Verhältnis zum Volumen eine große Oberfläche und je fein verteilter die Tröpfchen sind, desto besser wird die Emulsion. Dadurch erklärt sich auch warum die Konsistenz von flüssig zu fest wird, dass die Wasser- bzw. Fett-Moleküle in der Masse „eingesperrt" bzw. gebunden werden. Ein Beispiel für eine O/W-Emulsion ist Mayonnaise. Zudem gibt es noch „multiple Emulsionen". [</w:t>
      </w:r>
      <w:r>
        <w:rPr>
          <w:rFonts w:cs="Arial"/>
        </w:rPr>
        <w:fldChar w:fldCharType="begin"/>
      </w:r>
      <w:r>
        <w:rPr>
          <w:rFonts w:cs="Arial"/>
        </w:rPr>
        <w:instrText xml:space="preserve"> REF _Ref56489543 \r \h </w:instrText>
      </w:r>
      <w:r>
        <w:rPr>
          <w:rFonts w:cs="Arial"/>
        </w:rPr>
      </w:r>
      <w:r>
        <w:rPr>
          <w:rFonts w:cs="Arial"/>
        </w:rPr>
        <w:fldChar w:fldCharType="separate"/>
      </w:r>
      <w:r w:rsidR="001345C3">
        <w:rPr>
          <w:rFonts w:cs="Arial"/>
        </w:rPr>
        <w:t>1</w:t>
      </w:r>
      <w:r>
        <w:rPr>
          <w:rFonts w:cs="Arial"/>
        </w:rPr>
        <w:fldChar w:fldCharType="end"/>
      </w:r>
      <w:r>
        <w:rPr>
          <w:rFonts w:cs="Arial"/>
        </w:rPr>
        <w:t>]</w:t>
      </w:r>
    </w:p>
    <w:p w14:paraId="200E2C88" w14:textId="4EE57895" w:rsidR="00FD68B1" w:rsidRDefault="00FD68B1" w:rsidP="00FD68B1">
      <w:pPr>
        <w:pStyle w:val="Bilder"/>
      </w:pPr>
      <w:r>
        <w:rPr>
          <w:lang w:eastAsia="de-DE"/>
        </w:rPr>
        <w:drawing>
          <wp:inline distT="0" distB="0" distL="0" distR="0" wp14:anchorId="147644B9" wp14:editId="2DCC48D1">
            <wp:extent cx="1560456" cy="180000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0456" cy="1800000"/>
                    </a:xfrm>
                    <a:prstGeom prst="rect">
                      <a:avLst/>
                    </a:prstGeom>
                    <a:noFill/>
                    <a:ln>
                      <a:noFill/>
                    </a:ln>
                  </pic:spPr>
                </pic:pic>
              </a:graphicData>
            </a:graphic>
          </wp:inline>
        </w:drawing>
      </w:r>
    </w:p>
    <w:p w14:paraId="544FCBE3" w14:textId="1427F87A" w:rsidR="00FD68B1" w:rsidRDefault="00FD68B1" w:rsidP="00FD68B1">
      <w:pPr>
        <w:pStyle w:val="Beschriftung"/>
      </w:pPr>
      <w:r>
        <w:t xml:space="preserve">Abb. </w:t>
      </w:r>
      <w:r w:rsidR="001345C3">
        <w:fldChar w:fldCharType="begin"/>
      </w:r>
      <w:r w:rsidR="001345C3">
        <w:instrText xml:space="preserve"> SEQ Abb. \* ARABIC </w:instrText>
      </w:r>
      <w:r w:rsidR="001345C3">
        <w:fldChar w:fldCharType="separate"/>
      </w:r>
      <w:r w:rsidR="001345C3">
        <w:rPr>
          <w:noProof/>
        </w:rPr>
        <w:t>5</w:t>
      </w:r>
      <w:r w:rsidR="001345C3">
        <w:rPr>
          <w:noProof/>
        </w:rPr>
        <w:fldChar w:fldCharType="end"/>
      </w:r>
      <w:r>
        <w:t xml:space="preserve">: W/O/W-Emulsion [nach </w:t>
      </w:r>
      <w:r>
        <w:fldChar w:fldCharType="begin"/>
      </w:r>
      <w:r>
        <w:instrText xml:space="preserve"> REF _Ref56489543 \r \h </w:instrText>
      </w:r>
      <w:r>
        <w:fldChar w:fldCharType="separate"/>
      </w:r>
      <w:r w:rsidR="001345C3">
        <w:t>1</w:t>
      </w:r>
      <w:r>
        <w:fldChar w:fldCharType="end"/>
      </w:r>
      <w:r>
        <w:t>]</w:t>
      </w:r>
    </w:p>
    <w:p w14:paraId="42CBBCFA" w14:textId="291C2DAA" w:rsidR="00FD68B1" w:rsidRDefault="00FD68B1" w:rsidP="00FD68B1">
      <w:pPr>
        <w:rPr>
          <w:rFonts w:cs="Arial"/>
        </w:rPr>
      </w:pPr>
      <w:r>
        <w:rPr>
          <w:rFonts w:cs="Arial"/>
        </w:rPr>
        <w:t>Hier ist eine Wasser in Öl in Wasser Emulsion, auch W/O/W-Emulsion abgekürzt. Dies lässt sich gut am Beispiel Creme nachvollziehen. Das Wasser außen verdunstet rasch, was der so genannte Einzieh-Effekt ist. Die übrige W/O-Emulsion schützt und pflegt die Haut, wie bei einer Feuchtigkeitscreme. [</w:t>
      </w:r>
      <w:r>
        <w:rPr>
          <w:rFonts w:cs="Arial"/>
        </w:rPr>
        <w:fldChar w:fldCharType="begin"/>
      </w:r>
      <w:r>
        <w:rPr>
          <w:rFonts w:cs="Arial"/>
        </w:rPr>
        <w:instrText xml:space="preserve"> REF _Ref56489853 \r \h </w:instrText>
      </w:r>
      <w:r>
        <w:rPr>
          <w:rFonts w:cs="Arial"/>
        </w:rPr>
      </w:r>
      <w:r>
        <w:rPr>
          <w:rFonts w:cs="Arial"/>
        </w:rPr>
        <w:fldChar w:fldCharType="separate"/>
      </w:r>
      <w:r w:rsidR="001345C3">
        <w:rPr>
          <w:rFonts w:cs="Arial"/>
        </w:rPr>
        <w:t>8</w:t>
      </w:r>
      <w:r>
        <w:rPr>
          <w:rFonts w:cs="Arial"/>
        </w:rPr>
        <w:fldChar w:fldCharType="end"/>
      </w:r>
      <w:r>
        <w:rPr>
          <w:rFonts w:cs="Arial"/>
        </w:rPr>
        <w:t>] Auch hier gibt es einen umgekehrten Fall, die O/W/O-Emulsion, also Öl in Wasser in Öl Emulsion. [</w:t>
      </w:r>
      <w:r>
        <w:rPr>
          <w:rFonts w:cs="Arial"/>
        </w:rPr>
        <w:fldChar w:fldCharType="begin"/>
      </w:r>
      <w:r>
        <w:rPr>
          <w:rFonts w:cs="Arial"/>
        </w:rPr>
        <w:instrText xml:space="preserve"> REF _Ref56489543 \r \h </w:instrText>
      </w:r>
      <w:r>
        <w:rPr>
          <w:rFonts w:cs="Arial"/>
        </w:rPr>
      </w:r>
      <w:r>
        <w:rPr>
          <w:rFonts w:cs="Arial"/>
        </w:rPr>
        <w:fldChar w:fldCharType="separate"/>
      </w:r>
      <w:r w:rsidR="001345C3">
        <w:rPr>
          <w:rFonts w:cs="Arial"/>
        </w:rPr>
        <w:t>1</w:t>
      </w:r>
      <w:r>
        <w:rPr>
          <w:rFonts w:cs="Arial"/>
        </w:rPr>
        <w:fldChar w:fldCharType="end"/>
      </w:r>
      <w:r>
        <w:rPr>
          <w:rFonts w:cs="Arial"/>
        </w:rPr>
        <w:t>]</w:t>
      </w:r>
    </w:p>
    <w:p w14:paraId="67B65E18" w14:textId="3D0BE64E" w:rsidR="00FD68B1" w:rsidRDefault="00FD68B1" w:rsidP="00FD68B1">
      <w:pPr>
        <w:pStyle w:val="Bilder"/>
      </w:pPr>
      <w:r>
        <w:rPr>
          <w:lang w:eastAsia="de-DE"/>
        </w:rPr>
        <w:drawing>
          <wp:inline distT="0" distB="0" distL="0" distR="0" wp14:anchorId="6DFF330A" wp14:editId="1FCE0113">
            <wp:extent cx="1704525" cy="180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525" cy="1800000"/>
                    </a:xfrm>
                    <a:prstGeom prst="rect">
                      <a:avLst/>
                    </a:prstGeom>
                    <a:noFill/>
                    <a:ln>
                      <a:noFill/>
                    </a:ln>
                  </pic:spPr>
                </pic:pic>
              </a:graphicData>
            </a:graphic>
          </wp:inline>
        </w:drawing>
      </w:r>
    </w:p>
    <w:p w14:paraId="0C8F2537" w14:textId="35F1DA7E" w:rsidR="00FD68B1" w:rsidRDefault="00FD68B1" w:rsidP="00FD68B1">
      <w:pPr>
        <w:pStyle w:val="Beschriftung"/>
      </w:pPr>
      <w:r>
        <w:t xml:space="preserve">Abb. </w:t>
      </w:r>
      <w:r w:rsidR="001345C3">
        <w:fldChar w:fldCharType="begin"/>
      </w:r>
      <w:r w:rsidR="001345C3">
        <w:instrText xml:space="preserve"> SEQ Abb. \* ARABIC </w:instrText>
      </w:r>
      <w:r w:rsidR="001345C3">
        <w:fldChar w:fldCharType="separate"/>
      </w:r>
      <w:r w:rsidR="001345C3">
        <w:rPr>
          <w:noProof/>
        </w:rPr>
        <w:t>6</w:t>
      </w:r>
      <w:r w:rsidR="001345C3">
        <w:rPr>
          <w:noProof/>
        </w:rPr>
        <w:fldChar w:fldCharType="end"/>
      </w:r>
      <w:r>
        <w:t xml:space="preserve">: O/W/O-Emulsion [nach </w:t>
      </w:r>
      <w:r>
        <w:fldChar w:fldCharType="begin"/>
      </w:r>
      <w:r>
        <w:instrText xml:space="preserve"> REF _Ref56489543 \r \h </w:instrText>
      </w:r>
      <w:r>
        <w:fldChar w:fldCharType="separate"/>
      </w:r>
      <w:r w:rsidR="001345C3">
        <w:t>1</w:t>
      </w:r>
      <w:r>
        <w:fldChar w:fldCharType="end"/>
      </w:r>
      <w:r>
        <w:t>]</w:t>
      </w:r>
    </w:p>
    <w:p w14:paraId="76D620FD" w14:textId="38100B0E" w:rsidR="00FD68B1" w:rsidRDefault="00FD68B1" w:rsidP="00FD68B1">
      <w:pPr>
        <w:rPr>
          <w:rFonts w:cs="Arial"/>
        </w:rPr>
      </w:pPr>
      <w:r>
        <w:rPr>
          <w:rFonts w:cs="Arial"/>
        </w:rPr>
        <w:t>Hierbei handelt es sich zwar nicht um Öl, aber an der Luft ist der Effekt derselbe. Seifen-Blasen schließen somit eine dünne wässrige Schicht ein. [</w:t>
      </w:r>
      <w:r>
        <w:rPr>
          <w:rFonts w:cs="Arial"/>
        </w:rPr>
        <w:fldChar w:fldCharType="begin"/>
      </w:r>
      <w:r>
        <w:rPr>
          <w:rFonts w:cs="Arial"/>
        </w:rPr>
        <w:instrText xml:space="preserve"> REF _Ref56489543 \r \h </w:instrText>
      </w:r>
      <w:r>
        <w:rPr>
          <w:rFonts w:cs="Arial"/>
        </w:rPr>
      </w:r>
      <w:r>
        <w:rPr>
          <w:rFonts w:cs="Arial"/>
        </w:rPr>
        <w:fldChar w:fldCharType="separate"/>
      </w:r>
      <w:r w:rsidR="001345C3">
        <w:rPr>
          <w:rFonts w:cs="Arial"/>
        </w:rPr>
        <w:t>1</w:t>
      </w:r>
      <w:r>
        <w:rPr>
          <w:rFonts w:cs="Arial"/>
        </w:rPr>
        <w:fldChar w:fldCharType="end"/>
      </w:r>
      <w:r>
        <w:rPr>
          <w:rFonts w:cs="Arial"/>
        </w:rPr>
        <w:t>]</w:t>
      </w:r>
    </w:p>
    <w:p w14:paraId="7E76950C" w14:textId="1E11657F" w:rsidR="00FD68B1" w:rsidRDefault="00FD68B1" w:rsidP="00FD68B1">
      <w:pPr>
        <w:pStyle w:val="berschrift1"/>
      </w:pPr>
      <w:bookmarkStart w:id="4" w:name="_Toc59453196"/>
      <w:r>
        <w:lastRenderedPageBreak/>
        <w:t xml:space="preserve">Kritische </w:t>
      </w:r>
      <w:proofErr w:type="spellStart"/>
      <w:r>
        <w:t>Mizellenbildungskonzentration</w:t>
      </w:r>
      <w:bookmarkEnd w:id="4"/>
      <w:proofErr w:type="spellEnd"/>
    </w:p>
    <w:p w14:paraId="425D60A1" w14:textId="64DA332F" w:rsidR="00FD68B1" w:rsidRDefault="00FD68B1" w:rsidP="00FD68B1">
      <w:pPr>
        <w:pStyle w:val="Bilder"/>
      </w:pPr>
      <w:r>
        <w:rPr>
          <w:lang w:eastAsia="de-DE"/>
        </w:rPr>
        <w:drawing>
          <wp:inline distT="0" distB="0" distL="0" distR="0" wp14:anchorId="3315B43A" wp14:editId="3CE3B61C">
            <wp:extent cx="4794846" cy="3600000"/>
            <wp:effectExtent l="0" t="0" r="635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4846" cy="3600000"/>
                    </a:xfrm>
                    <a:prstGeom prst="rect">
                      <a:avLst/>
                    </a:prstGeom>
                    <a:noFill/>
                    <a:ln>
                      <a:noFill/>
                    </a:ln>
                  </pic:spPr>
                </pic:pic>
              </a:graphicData>
            </a:graphic>
          </wp:inline>
        </w:drawing>
      </w:r>
    </w:p>
    <w:p w14:paraId="21EA77FB" w14:textId="20F9B95C" w:rsidR="00FD68B1" w:rsidRDefault="00FD68B1" w:rsidP="00FD68B1">
      <w:pPr>
        <w:pStyle w:val="Beschriftung"/>
      </w:pPr>
      <w:r>
        <w:t xml:space="preserve">Abb. </w:t>
      </w:r>
      <w:r w:rsidR="001345C3">
        <w:fldChar w:fldCharType="begin"/>
      </w:r>
      <w:r w:rsidR="001345C3">
        <w:instrText xml:space="preserve"> SEQ Abb. \* ARABIC </w:instrText>
      </w:r>
      <w:r w:rsidR="001345C3">
        <w:fldChar w:fldCharType="separate"/>
      </w:r>
      <w:r w:rsidR="001345C3">
        <w:rPr>
          <w:noProof/>
        </w:rPr>
        <w:t>7</w:t>
      </w:r>
      <w:r w:rsidR="001345C3">
        <w:rPr>
          <w:noProof/>
        </w:rPr>
        <w:fldChar w:fldCharType="end"/>
      </w:r>
      <w:r>
        <w:t xml:space="preserve">: Bildung von Mizellen [nach </w:t>
      </w:r>
      <w:r>
        <w:fldChar w:fldCharType="begin"/>
      </w:r>
      <w:r>
        <w:instrText xml:space="preserve"> REF _Ref56490079 \r \h </w:instrText>
      </w:r>
      <w:r>
        <w:fldChar w:fldCharType="separate"/>
      </w:r>
      <w:r w:rsidR="001345C3">
        <w:t>7</w:t>
      </w:r>
      <w:r>
        <w:fldChar w:fldCharType="end"/>
      </w:r>
      <w:r>
        <w:t>]</w:t>
      </w:r>
    </w:p>
    <w:p w14:paraId="54F372BB" w14:textId="2C591C29" w:rsidR="00FD68B1" w:rsidRDefault="00FD68B1" w:rsidP="00FD68B1">
      <w:pPr>
        <w:rPr>
          <w:rFonts w:cs="Arial"/>
        </w:rPr>
      </w:pPr>
      <w:r>
        <w:rPr>
          <w:rFonts w:cs="Arial"/>
        </w:rPr>
        <w:t>Zu Beginn ist der Graph konstant, da Wasser eine konstante Oberflächen</w:t>
      </w:r>
      <w:r w:rsidR="006F68BF">
        <w:rPr>
          <w:rFonts w:cs="Arial"/>
        </w:rPr>
        <w:t>-S</w:t>
      </w:r>
      <w:r>
        <w:rPr>
          <w:rFonts w:cs="Arial"/>
        </w:rPr>
        <w:t xml:space="preserve">pannung </w:t>
      </w:r>
      <w:r w:rsidR="006F68BF">
        <w:rPr>
          <w:rFonts w:cs="Arial"/>
        </w:rPr>
        <w:t>„</w:t>
      </w:r>
      <w:r>
        <w:rPr>
          <w:rFonts w:cs="Arial"/>
        </w:rPr>
        <w:t>σ</w:t>
      </w:r>
      <w:r w:rsidR="006F68BF">
        <w:rPr>
          <w:rFonts w:cs="Arial"/>
        </w:rPr>
        <w:t>“</w:t>
      </w:r>
      <w:r>
        <w:rPr>
          <w:rFonts w:cs="Arial"/>
        </w:rPr>
        <w:t xml:space="preserve"> hat. Werden nun die ersten Lipide hinzu gegeben, dann findet eine Adsorption an der Grenz</w:t>
      </w:r>
      <w:r w:rsidR="006F68BF">
        <w:rPr>
          <w:rFonts w:cs="Arial"/>
        </w:rPr>
        <w:t>-F</w:t>
      </w:r>
      <w:r>
        <w:rPr>
          <w:rFonts w:cs="Arial"/>
        </w:rPr>
        <w:t>läche statt. Die Lipide ordnen sich in einer wässrigen Lösung mit dem hydrophilen Teil nach unten an. Je mehr Lipide hinzu gegeben werden, desto näher rücken die Lipide zusammen bis eigentlich kein Platz mehr an der Grenz</w:t>
      </w:r>
      <w:r w:rsidR="006F68BF">
        <w:rPr>
          <w:rFonts w:cs="Arial"/>
        </w:rPr>
        <w:t>-F</w:t>
      </w:r>
      <w:r>
        <w:rPr>
          <w:rFonts w:cs="Arial"/>
        </w:rPr>
        <w:t xml:space="preserve">läche existiert. Wenn jetzt noch mehr Lipide hinzu gegeben werden, dann ist die kritische </w:t>
      </w:r>
      <w:proofErr w:type="spellStart"/>
      <w:r>
        <w:rPr>
          <w:rFonts w:cs="Arial"/>
        </w:rPr>
        <w:t>Mizellenbildungskonzentration</w:t>
      </w:r>
      <w:proofErr w:type="spellEnd"/>
      <w:r>
        <w:rPr>
          <w:rFonts w:cs="Arial"/>
        </w:rPr>
        <w:t xml:space="preserve"> </w:t>
      </w:r>
      <w:r w:rsidR="006F68BF">
        <w:rPr>
          <w:rFonts w:cs="Arial"/>
        </w:rPr>
        <w:t>„</w:t>
      </w:r>
      <w:proofErr w:type="spellStart"/>
      <w:r>
        <w:rPr>
          <w:rFonts w:cs="Arial"/>
        </w:rPr>
        <w:t>cmc</w:t>
      </w:r>
      <w:proofErr w:type="spellEnd"/>
      <w:r w:rsidR="006F68BF">
        <w:rPr>
          <w:rFonts w:cs="Arial"/>
        </w:rPr>
        <w:t>“</w:t>
      </w:r>
      <w:r>
        <w:rPr>
          <w:rFonts w:cs="Arial"/>
        </w:rPr>
        <w:t xml:space="preserve"> erreicht und die ersten Lipide gehen in Lösung und organisieren sich dort selbst zu Mizellen. es kommt zu einer Aggregation in der Volumen</w:t>
      </w:r>
      <w:r w:rsidR="006F68BF">
        <w:rPr>
          <w:rFonts w:cs="Arial"/>
        </w:rPr>
        <w:t>-P</w:t>
      </w:r>
      <w:r>
        <w:rPr>
          <w:rFonts w:cs="Arial"/>
        </w:rPr>
        <w:t>hase. Jedes weitere Lipid ändert an der Oberflächen</w:t>
      </w:r>
      <w:r w:rsidR="006F68BF">
        <w:rPr>
          <w:rFonts w:cs="Arial"/>
        </w:rPr>
        <w:t>-S</w:t>
      </w:r>
      <w:r>
        <w:rPr>
          <w:rFonts w:cs="Arial"/>
        </w:rPr>
        <w:t>pannung nichts mehr, da die Grenz</w:t>
      </w:r>
      <w:r w:rsidR="006F68BF">
        <w:rPr>
          <w:rFonts w:cs="Arial"/>
        </w:rPr>
        <w:t>-F</w:t>
      </w:r>
      <w:r>
        <w:rPr>
          <w:rFonts w:cs="Arial"/>
        </w:rPr>
        <w:t>läche bereits voll besetzt ist, es bilden sich nur mehr Mizellen. Der ganze Vorgang ist reversibel durch verdünnen der Lösung oder vergrößern der Oberfläche. Für die Margarine bedeutet dies den genau umgekehrten Fall, da wir hier eine W/O-Emulsion haben und sich inverse Mizellen bilden. [</w:t>
      </w:r>
      <w:r w:rsidR="006F68BF">
        <w:rPr>
          <w:rFonts w:cs="Arial"/>
        </w:rPr>
        <w:fldChar w:fldCharType="begin"/>
      </w:r>
      <w:r w:rsidR="006F68BF">
        <w:rPr>
          <w:rFonts w:cs="Arial"/>
        </w:rPr>
        <w:instrText xml:space="preserve"> REF _Ref56490079 \r \h </w:instrText>
      </w:r>
      <w:r w:rsidR="006F68BF">
        <w:rPr>
          <w:rFonts w:cs="Arial"/>
        </w:rPr>
      </w:r>
      <w:r w:rsidR="006F68BF">
        <w:rPr>
          <w:rFonts w:cs="Arial"/>
        </w:rPr>
        <w:fldChar w:fldCharType="separate"/>
      </w:r>
      <w:r w:rsidR="001345C3">
        <w:rPr>
          <w:rFonts w:cs="Arial"/>
        </w:rPr>
        <w:t>7</w:t>
      </w:r>
      <w:r w:rsidR="006F68BF">
        <w:rPr>
          <w:rFonts w:cs="Arial"/>
        </w:rPr>
        <w:fldChar w:fldCharType="end"/>
      </w:r>
      <w:r>
        <w:rPr>
          <w:rFonts w:cs="Arial"/>
        </w:rPr>
        <w:t>]</w:t>
      </w:r>
    </w:p>
    <w:p w14:paraId="7521808D" w14:textId="77777777" w:rsidR="00617E0A" w:rsidRDefault="00617E0A">
      <w:pPr>
        <w:spacing w:before="0"/>
        <w:jc w:val="left"/>
        <w:rPr>
          <w:rFonts w:asciiTheme="majorHAnsi" w:eastAsiaTheme="majorEastAsia" w:hAnsiTheme="majorHAnsi" w:cstheme="majorBidi"/>
          <w:b/>
          <w:sz w:val="32"/>
          <w:szCs w:val="32"/>
        </w:rPr>
      </w:pPr>
      <w:r>
        <w:br w:type="page"/>
      </w:r>
    </w:p>
    <w:p w14:paraId="3354AA3A" w14:textId="77C90068" w:rsidR="006F68BF" w:rsidRDefault="006F68BF" w:rsidP="006F68BF">
      <w:pPr>
        <w:pStyle w:val="berschrift1"/>
      </w:pPr>
      <w:bookmarkStart w:id="5" w:name="_Toc59453197"/>
      <w:r>
        <w:t>Bestimmung der Mizellen-Gestalt</w:t>
      </w:r>
      <w:bookmarkEnd w:id="5"/>
    </w:p>
    <w:p w14:paraId="718D3EA1" w14:textId="77777777" w:rsidR="006F68BF" w:rsidRDefault="006F68BF" w:rsidP="006F68BF">
      <w:r>
        <w:t xml:space="preserve">Mizellen sind allerdings nicht immer kugelrund. Das Aussehen kann mit Hilfe des </w:t>
      </w:r>
      <w:proofErr w:type="spellStart"/>
      <w:r>
        <w:t>Israelachvili</w:t>
      </w:r>
      <w:proofErr w:type="spellEnd"/>
      <w:r>
        <w:t>-Parameter aus dem Jahr 1976 berechnet werden.</w:t>
      </w:r>
    </w:p>
    <w:p w14:paraId="781F67B6" w14:textId="000939F2" w:rsidR="006F68BF" w:rsidRPr="006F68BF" w:rsidRDefault="006F68BF" w:rsidP="006F68BF">
      <w:pPr>
        <w:pStyle w:val="Formeln"/>
        <w:rPr>
          <w:rFonts w:eastAsiaTheme="minorEastAsia"/>
        </w:rPr>
      </w:pPr>
      <m:oMathPara>
        <m:oMath>
          <m:r>
            <m:rPr>
              <m:nor/>
            </m:rPr>
            <m:t xml:space="preserve">P = </m:t>
          </m:r>
          <m:f>
            <m:fPr>
              <m:ctrlPr>
                <w:rPr>
                  <w:rFonts w:ascii="Cambria Math" w:hAnsi="Cambria Math"/>
                </w:rPr>
              </m:ctrlPr>
            </m:fPr>
            <m:num>
              <m:sSub>
                <m:sSubPr>
                  <m:ctrlPr>
                    <w:rPr>
                      <w:rFonts w:ascii="Cambria Math" w:hAnsi="Cambria Math"/>
                    </w:rPr>
                  </m:ctrlPr>
                </m:sSubPr>
                <m:e>
                  <m:r>
                    <m:rPr>
                      <m:nor/>
                    </m:rPr>
                    <m:t>V</m:t>
                  </m:r>
                </m:e>
                <m:sub>
                  <m:r>
                    <m:rPr>
                      <m:nor/>
                    </m:rPr>
                    <m:t>0</m:t>
                  </m:r>
                </m:sub>
              </m:sSub>
            </m:num>
            <m:den>
              <m:sSub>
                <m:sSubPr>
                  <m:ctrlPr>
                    <w:rPr>
                      <w:rFonts w:ascii="Cambria Math" w:hAnsi="Cambria Math"/>
                    </w:rPr>
                  </m:ctrlPr>
                </m:sSubPr>
                <m:e>
                  <m:r>
                    <m:rPr>
                      <m:nor/>
                    </m:rPr>
                    <m:t>a</m:t>
                  </m:r>
                </m:e>
                <m:sub>
                  <m:r>
                    <m:rPr>
                      <m:nor/>
                    </m:rPr>
                    <m:t>e</m:t>
                  </m:r>
                </m:sub>
              </m:sSub>
              <m:r>
                <m:rPr>
                  <m:nor/>
                </m:rPr>
                <m:t xml:space="preserve"> * </m:t>
              </m:r>
              <m:sSub>
                <m:sSubPr>
                  <m:ctrlPr>
                    <w:rPr>
                      <w:rFonts w:ascii="Cambria Math" w:hAnsi="Cambria Math"/>
                    </w:rPr>
                  </m:ctrlPr>
                </m:sSubPr>
                <m:e>
                  <m:r>
                    <m:rPr>
                      <m:nor/>
                    </m:rPr>
                    <m:t>I</m:t>
                  </m:r>
                </m:e>
                <m:sub>
                  <m:r>
                    <m:rPr>
                      <m:nor/>
                    </m:rPr>
                    <m:t>0</m:t>
                  </m:r>
                </m:sub>
              </m:sSub>
            </m:den>
          </m:f>
        </m:oMath>
      </m:oMathPara>
    </w:p>
    <w:p w14:paraId="12423216" w14:textId="77777777" w:rsidR="006F68BF" w:rsidRDefault="006F68BF" w:rsidP="006F68BF">
      <w:pPr>
        <w:pStyle w:val="Bilder"/>
      </w:pPr>
    </w:p>
    <w:p w14:paraId="7D00A1F9" w14:textId="7BFC0762" w:rsidR="006F68BF" w:rsidRDefault="006F68BF" w:rsidP="006F68BF">
      <w:pPr>
        <w:pStyle w:val="Bilder"/>
      </w:pPr>
      <w:r w:rsidRPr="006F68BF">
        <w:rPr>
          <w:lang w:eastAsia="de-DE"/>
        </w:rPr>
        <w:drawing>
          <wp:inline distT="0" distB="0" distL="0" distR="0" wp14:anchorId="20D323B3" wp14:editId="069D6728">
            <wp:extent cx="2448755" cy="3600000"/>
            <wp:effectExtent l="0" t="0" r="889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a:extLst>
                        <a:ext uri="{28A0092B-C50C-407E-A947-70E740481C1C}">
                          <a14:useLocalDpi xmlns:a14="http://schemas.microsoft.com/office/drawing/2010/main" val="0"/>
                        </a:ext>
                      </a:extLst>
                    </a:blip>
                    <a:srcRect t="22055"/>
                    <a:stretch/>
                  </pic:blipFill>
                  <pic:spPr bwMode="auto">
                    <a:xfrm>
                      <a:off x="0" y="0"/>
                      <a:ext cx="2448755"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0EB42C59" w14:textId="4AC30793" w:rsidR="006F68BF" w:rsidRDefault="006F68BF" w:rsidP="006F68BF">
      <w:pPr>
        <w:pStyle w:val="Beschriftung"/>
      </w:pPr>
      <w:r>
        <w:t xml:space="preserve">Abb. </w:t>
      </w:r>
      <w:r w:rsidR="001345C3">
        <w:fldChar w:fldCharType="begin"/>
      </w:r>
      <w:r w:rsidR="001345C3">
        <w:instrText xml:space="preserve"> SEQ Abb. \* ARABIC </w:instrText>
      </w:r>
      <w:r w:rsidR="001345C3">
        <w:fldChar w:fldCharType="separate"/>
      </w:r>
      <w:r w:rsidR="001345C3">
        <w:rPr>
          <w:noProof/>
        </w:rPr>
        <w:t>8</w:t>
      </w:r>
      <w:r w:rsidR="001345C3">
        <w:rPr>
          <w:noProof/>
        </w:rPr>
        <w:fldChar w:fldCharType="end"/>
      </w:r>
      <w:r>
        <w:t xml:space="preserve">: </w:t>
      </w:r>
      <w:proofErr w:type="spellStart"/>
      <w:r>
        <w:t>Tegomuls</w:t>
      </w:r>
      <w:proofErr w:type="spellEnd"/>
      <w:r>
        <w:t xml:space="preserve"> 90 S und der </w:t>
      </w:r>
      <w:proofErr w:type="spellStart"/>
      <w:r>
        <w:t>Israelachivili</w:t>
      </w:r>
      <w:proofErr w:type="spellEnd"/>
      <w:r>
        <w:t xml:space="preserve">-Parameter [nach </w:t>
      </w:r>
      <w:r>
        <w:fldChar w:fldCharType="begin"/>
      </w:r>
      <w:r>
        <w:instrText xml:space="preserve"> REF _Ref56490412 \r \h </w:instrText>
      </w:r>
      <w:r>
        <w:fldChar w:fldCharType="separate"/>
      </w:r>
      <w:r w:rsidR="001345C3">
        <w:t>6</w:t>
      </w:r>
      <w:r>
        <w:fldChar w:fldCharType="end"/>
      </w:r>
      <w:r>
        <w:t xml:space="preserve">; </w:t>
      </w:r>
      <w:r>
        <w:fldChar w:fldCharType="begin"/>
      </w:r>
      <w:r>
        <w:instrText xml:space="preserve"> REF _Ref56490079 \r \h </w:instrText>
      </w:r>
      <w:r>
        <w:fldChar w:fldCharType="separate"/>
      </w:r>
      <w:r w:rsidR="001345C3">
        <w:t>7</w:t>
      </w:r>
      <w:r>
        <w:fldChar w:fldCharType="end"/>
      </w:r>
      <w:r>
        <w:t>]</w:t>
      </w:r>
    </w:p>
    <w:p w14:paraId="017BB0AA" w14:textId="0A4BB085" w:rsidR="006F68BF" w:rsidRDefault="006F68BF" w:rsidP="006F68BF">
      <w:pPr>
        <w:rPr>
          <w:rFonts w:cs="Arial"/>
        </w:rPr>
      </w:pPr>
      <w:r>
        <w:rPr>
          <w:rFonts w:cs="Arial"/>
        </w:rPr>
        <w:t xml:space="preserve">Hier am Beispiel des Lipids </w:t>
      </w:r>
      <w:proofErr w:type="spellStart"/>
      <w:r>
        <w:rPr>
          <w:rFonts w:cs="Arial"/>
        </w:rPr>
        <w:t>Tegomuls</w:t>
      </w:r>
      <w:proofErr w:type="spellEnd"/>
      <w:r>
        <w:rPr>
          <w:rFonts w:cs="Arial"/>
        </w:rPr>
        <w:t> 90 S. V(0) ist das Volumen der Schwanz-Gruppe. a(e) ist die Fläche des Platz-Bedarfs an der Grenz-Fläche und l(0) ist die Länge der Schwanz-Gruppe. Dadurch ergibt sich der Packungsparameter P. Wenn P kleiner 1/3 ist, dann bilden sich Kugel-Mizellen. Die Kopf-Gruppe ist groß und nimmt viel Platz an der Grenz-Fläche ein. Die Schwanz-Gruppe ist V-förmig. Ist nun allerdings P zwischen 1/3 und 1/2, dann ergibt sich aufgrund der U-förmigen lipophilen Gruppe eine Stäbchen-Mizelle. Zudem nähern sich die Kopf-Gruppen weiter an. Sind nun aber die Schwanz- und Kopf-Gruppen in etwa gleich groß, so bildet sich bei dem Packungsparameter zwischen 1/2 und 1 durch zweidimensionales Wachstum aus Lipiden eine Doppel-Schicht. Man nennt dies folglich Scheibchen-Mizelle, Lamelle oder Vesikel. [</w:t>
      </w:r>
      <w:r>
        <w:rPr>
          <w:rFonts w:cs="Arial"/>
        </w:rPr>
        <w:fldChar w:fldCharType="begin"/>
      </w:r>
      <w:r>
        <w:rPr>
          <w:rFonts w:cs="Arial"/>
        </w:rPr>
        <w:instrText xml:space="preserve"> REF _Ref56490412 \r \h </w:instrText>
      </w:r>
      <w:r>
        <w:rPr>
          <w:rFonts w:cs="Arial"/>
        </w:rPr>
      </w:r>
      <w:r>
        <w:rPr>
          <w:rFonts w:cs="Arial"/>
        </w:rPr>
        <w:fldChar w:fldCharType="separate"/>
      </w:r>
      <w:r w:rsidR="001345C3">
        <w:rPr>
          <w:rFonts w:cs="Arial"/>
        </w:rPr>
        <w:t>6</w:t>
      </w:r>
      <w:r>
        <w:rPr>
          <w:rFonts w:cs="Arial"/>
        </w:rPr>
        <w:fldChar w:fldCharType="end"/>
      </w:r>
      <w:r>
        <w:rPr>
          <w:rFonts w:cs="Arial"/>
        </w:rPr>
        <w:t xml:space="preserve">, </w:t>
      </w:r>
      <w:r>
        <w:rPr>
          <w:rFonts w:cs="Arial"/>
        </w:rPr>
        <w:fldChar w:fldCharType="begin"/>
      </w:r>
      <w:r>
        <w:rPr>
          <w:rFonts w:cs="Arial"/>
        </w:rPr>
        <w:instrText xml:space="preserve"> REF _Ref56490079 \r \h </w:instrText>
      </w:r>
      <w:r>
        <w:rPr>
          <w:rFonts w:cs="Arial"/>
        </w:rPr>
      </w:r>
      <w:r>
        <w:rPr>
          <w:rFonts w:cs="Arial"/>
        </w:rPr>
        <w:fldChar w:fldCharType="separate"/>
      </w:r>
      <w:r w:rsidR="001345C3">
        <w:rPr>
          <w:rFonts w:cs="Arial"/>
        </w:rPr>
        <w:t>7</w:t>
      </w:r>
      <w:r>
        <w:rPr>
          <w:rFonts w:cs="Arial"/>
        </w:rPr>
        <w:fldChar w:fldCharType="end"/>
      </w:r>
      <w:r>
        <w:rPr>
          <w:rFonts w:cs="Arial"/>
        </w:rPr>
        <w:t>]</w:t>
      </w:r>
    </w:p>
    <w:p w14:paraId="5DACB0FD" w14:textId="6553C1BF" w:rsidR="006F68BF" w:rsidRDefault="006F68BF" w:rsidP="006F68BF">
      <w:pPr>
        <w:pStyle w:val="Bilder"/>
      </w:pPr>
      <w:r>
        <w:rPr>
          <w:lang w:eastAsia="de-DE"/>
        </w:rPr>
        <w:drawing>
          <wp:inline distT="0" distB="0" distL="0" distR="0" wp14:anchorId="44831CC6" wp14:editId="357360D4">
            <wp:extent cx="5400000" cy="1596829"/>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0" cy="1596829"/>
                    </a:xfrm>
                    <a:prstGeom prst="rect">
                      <a:avLst/>
                    </a:prstGeom>
                    <a:noFill/>
                    <a:ln>
                      <a:noFill/>
                    </a:ln>
                  </pic:spPr>
                </pic:pic>
              </a:graphicData>
            </a:graphic>
          </wp:inline>
        </w:drawing>
      </w:r>
    </w:p>
    <w:p w14:paraId="593CB34C" w14:textId="52505904" w:rsidR="006F68BF" w:rsidRDefault="006F68BF" w:rsidP="006F68BF">
      <w:pPr>
        <w:pStyle w:val="Beschriftung"/>
      </w:pPr>
      <w:r>
        <w:t xml:space="preserve">Abb. </w:t>
      </w:r>
      <w:r w:rsidR="001345C3">
        <w:fldChar w:fldCharType="begin"/>
      </w:r>
      <w:r w:rsidR="001345C3">
        <w:instrText xml:space="preserve"> SEQ Abb. \* ARABIC </w:instrText>
      </w:r>
      <w:r w:rsidR="001345C3">
        <w:fldChar w:fldCharType="separate"/>
      </w:r>
      <w:r w:rsidR="001345C3">
        <w:rPr>
          <w:noProof/>
        </w:rPr>
        <w:t>9</w:t>
      </w:r>
      <w:r w:rsidR="001345C3">
        <w:rPr>
          <w:noProof/>
        </w:rPr>
        <w:fldChar w:fldCharType="end"/>
      </w:r>
      <w:r>
        <w:t xml:space="preserve">: Kugel-Mizelle, Stäbchen-Mizelle, Scheibchen-Mizelle [nach </w:t>
      </w:r>
      <w:r>
        <w:fldChar w:fldCharType="begin"/>
      </w:r>
      <w:r>
        <w:instrText xml:space="preserve"> REF _Ref56490412 \r \h </w:instrText>
      </w:r>
      <w:r>
        <w:fldChar w:fldCharType="separate"/>
      </w:r>
      <w:r w:rsidR="001345C3">
        <w:t>6</w:t>
      </w:r>
      <w:r>
        <w:fldChar w:fldCharType="end"/>
      </w:r>
      <w:r>
        <w:t>]</w:t>
      </w:r>
    </w:p>
    <w:p w14:paraId="4AA8E7DC" w14:textId="3AC0E7B8" w:rsidR="006F68BF" w:rsidRDefault="006F68BF" w:rsidP="006F68BF">
      <w:pPr>
        <w:rPr>
          <w:rFonts w:cs="Arial"/>
        </w:rPr>
      </w:pPr>
      <w:r>
        <w:rPr>
          <w:rFonts w:cs="Arial"/>
        </w:rPr>
        <w:t>Auch von der Scheibchen</w:t>
      </w:r>
      <w:r w:rsidR="006A6381">
        <w:rPr>
          <w:rFonts w:cs="Arial"/>
        </w:rPr>
        <w:t>-M</w:t>
      </w:r>
      <w:r>
        <w:rPr>
          <w:rFonts w:cs="Arial"/>
        </w:rPr>
        <w:t>izelle gibt es eine inverse Struktur, die sich bei einem Packungsparameter zwischen 1 und 2 bildet. Ist nun aber die lipophile Gruppe umgekehrt U-förmig, aber größer als die hydrophile Gruppe, dann bilden sich inverse Stäbchen</w:t>
      </w:r>
      <w:r w:rsidR="006A6381">
        <w:rPr>
          <w:rFonts w:cs="Arial"/>
        </w:rPr>
        <w:t>-M</w:t>
      </w:r>
      <w:r>
        <w:rPr>
          <w:rFonts w:cs="Arial"/>
        </w:rPr>
        <w:t>izellen. Der Packungsparameter liegt hier zwischen 2 und 3. Und zuletzt bilden sich inverse Kugel</w:t>
      </w:r>
      <w:r w:rsidR="006A6381">
        <w:rPr>
          <w:rFonts w:cs="Arial"/>
        </w:rPr>
        <w:t>-M</w:t>
      </w:r>
      <w:r>
        <w:rPr>
          <w:rFonts w:cs="Arial"/>
        </w:rPr>
        <w:t>izellen, wenn der Packungsparameter größer 3 ist. Hier sind die lipophilen Reste sehr groß und A-förmig. [</w:t>
      </w:r>
      <w:r w:rsidR="006A6381">
        <w:rPr>
          <w:rFonts w:cs="Arial"/>
        </w:rPr>
        <w:fldChar w:fldCharType="begin"/>
      </w:r>
      <w:r w:rsidR="006A6381">
        <w:rPr>
          <w:rFonts w:cs="Arial"/>
        </w:rPr>
        <w:instrText xml:space="preserve"> REF _Ref56490412 \r \h </w:instrText>
      </w:r>
      <w:r w:rsidR="006A6381">
        <w:rPr>
          <w:rFonts w:cs="Arial"/>
        </w:rPr>
      </w:r>
      <w:r w:rsidR="006A6381">
        <w:rPr>
          <w:rFonts w:cs="Arial"/>
        </w:rPr>
        <w:fldChar w:fldCharType="separate"/>
      </w:r>
      <w:r w:rsidR="001345C3">
        <w:rPr>
          <w:rFonts w:cs="Arial"/>
        </w:rPr>
        <w:t>6</w:t>
      </w:r>
      <w:r w:rsidR="006A6381">
        <w:rPr>
          <w:rFonts w:cs="Arial"/>
        </w:rPr>
        <w:fldChar w:fldCharType="end"/>
      </w:r>
      <w:r w:rsidR="006A6381">
        <w:rPr>
          <w:rFonts w:cs="Arial"/>
        </w:rPr>
        <w:t xml:space="preserve">, </w:t>
      </w:r>
      <w:r w:rsidR="006A6381">
        <w:rPr>
          <w:rFonts w:cs="Arial"/>
        </w:rPr>
        <w:fldChar w:fldCharType="begin"/>
      </w:r>
      <w:r w:rsidR="006A6381">
        <w:rPr>
          <w:rFonts w:cs="Arial"/>
        </w:rPr>
        <w:instrText xml:space="preserve"> REF _Ref56490079 \r \h </w:instrText>
      </w:r>
      <w:r w:rsidR="006A6381">
        <w:rPr>
          <w:rFonts w:cs="Arial"/>
        </w:rPr>
      </w:r>
      <w:r w:rsidR="006A6381">
        <w:rPr>
          <w:rFonts w:cs="Arial"/>
        </w:rPr>
        <w:fldChar w:fldCharType="separate"/>
      </w:r>
      <w:r w:rsidR="001345C3">
        <w:rPr>
          <w:rFonts w:cs="Arial"/>
        </w:rPr>
        <w:t>7</w:t>
      </w:r>
      <w:r w:rsidR="006A6381">
        <w:rPr>
          <w:rFonts w:cs="Arial"/>
        </w:rPr>
        <w:fldChar w:fldCharType="end"/>
      </w:r>
      <w:r>
        <w:rPr>
          <w:rFonts w:cs="Arial"/>
        </w:rPr>
        <w:t>]</w:t>
      </w:r>
    </w:p>
    <w:p w14:paraId="376A113D" w14:textId="593EBD49" w:rsidR="006A6381" w:rsidRDefault="006A6381" w:rsidP="006A6381">
      <w:pPr>
        <w:pStyle w:val="Bilder"/>
      </w:pPr>
      <w:r>
        <w:rPr>
          <w:lang w:eastAsia="de-DE"/>
        </w:rPr>
        <w:drawing>
          <wp:inline distT="0" distB="0" distL="0" distR="0" wp14:anchorId="1C1077EF" wp14:editId="47B02A7C">
            <wp:extent cx="5400000" cy="1532276"/>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00" cy="1532276"/>
                    </a:xfrm>
                    <a:prstGeom prst="rect">
                      <a:avLst/>
                    </a:prstGeom>
                    <a:noFill/>
                    <a:ln>
                      <a:noFill/>
                    </a:ln>
                  </pic:spPr>
                </pic:pic>
              </a:graphicData>
            </a:graphic>
          </wp:inline>
        </w:drawing>
      </w:r>
    </w:p>
    <w:p w14:paraId="56F08C15" w14:textId="74AD7796" w:rsidR="006A6381" w:rsidRDefault="006A6381" w:rsidP="006A6381">
      <w:pPr>
        <w:pStyle w:val="Beschriftung"/>
      </w:pPr>
      <w:r>
        <w:t xml:space="preserve">Abb. </w:t>
      </w:r>
      <w:r w:rsidR="001345C3">
        <w:fldChar w:fldCharType="begin"/>
      </w:r>
      <w:r w:rsidR="001345C3">
        <w:instrText xml:space="preserve"> SEQ Abb. \* ARABIC </w:instrText>
      </w:r>
      <w:r w:rsidR="001345C3">
        <w:fldChar w:fldCharType="separate"/>
      </w:r>
      <w:r w:rsidR="001345C3">
        <w:rPr>
          <w:noProof/>
        </w:rPr>
        <w:t>10</w:t>
      </w:r>
      <w:r w:rsidR="001345C3">
        <w:rPr>
          <w:noProof/>
        </w:rPr>
        <w:fldChar w:fldCharType="end"/>
      </w:r>
      <w:r>
        <w:t xml:space="preserve">: inverse Kugel-Mizelle, inverse Stäbchen-Mizelle, inverse Scheibchen-Mizelle [nach </w:t>
      </w:r>
      <w:r>
        <w:fldChar w:fldCharType="begin"/>
      </w:r>
      <w:r>
        <w:instrText xml:space="preserve"> REF _Ref56490412 \r \h </w:instrText>
      </w:r>
      <w:r>
        <w:fldChar w:fldCharType="separate"/>
      </w:r>
      <w:r w:rsidR="001345C3">
        <w:t>6</w:t>
      </w:r>
      <w:r>
        <w:fldChar w:fldCharType="end"/>
      </w:r>
      <w:r>
        <w:t>]</w:t>
      </w:r>
    </w:p>
    <w:p w14:paraId="0CB7A6B0" w14:textId="18FCF0AC" w:rsidR="006A6381" w:rsidRDefault="006A6381" w:rsidP="006A6381">
      <w:pPr>
        <w:rPr>
          <w:rFonts w:cs="Arial"/>
        </w:rPr>
      </w:pPr>
      <w:r>
        <w:rPr>
          <w:rFonts w:cs="Arial"/>
        </w:rPr>
        <w:t>In der Margarine finden wir aufgrund von Mono- und Diglyceriden zumeist inverse Stäbchen- und Kugel-Mizellen. Je nachdem welche Mizellen-Art und welche Mizellen-Größe vorhanden ist, werden drei Emulsionen unterschieden. Sind die Tröpfchen 5 – 200 nm, dann spricht man von einer Mikro-Emulsion. Bei 1 – 90 µm nennt man dies eine Makro-Emulsion. Und alles was noch größere Tröpfchen umfasst, also ab etwa 100 µm, nennt man einfach nur Emulsion. Die selbst hergestellte Margarine hat ungefähr eine Tröpfchen-Größe von 10 µm. Deshalb handelt es sich hier um eine Makro-Emulsion. [</w:t>
      </w:r>
      <w:r>
        <w:rPr>
          <w:rFonts w:cs="Arial"/>
        </w:rPr>
        <w:fldChar w:fldCharType="begin"/>
      </w:r>
      <w:r>
        <w:rPr>
          <w:rFonts w:cs="Arial"/>
        </w:rPr>
        <w:instrText xml:space="preserve"> REF _Ref56490412 \r \h </w:instrText>
      </w:r>
      <w:r>
        <w:rPr>
          <w:rFonts w:cs="Arial"/>
        </w:rPr>
      </w:r>
      <w:r>
        <w:rPr>
          <w:rFonts w:cs="Arial"/>
        </w:rPr>
        <w:fldChar w:fldCharType="separate"/>
      </w:r>
      <w:r w:rsidR="001345C3">
        <w:rPr>
          <w:rFonts w:cs="Arial"/>
        </w:rPr>
        <w:t>6</w:t>
      </w:r>
      <w:r>
        <w:rPr>
          <w:rFonts w:cs="Arial"/>
        </w:rPr>
        <w:fldChar w:fldCharType="end"/>
      </w:r>
      <w:r>
        <w:rPr>
          <w:rFonts w:cs="Arial"/>
        </w:rPr>
        <w:t xml:space="preserve">, </w:t>
      </w:r>
      <w:r>
        <w:rPr>
          <w:rFonts w:cs="Arial"/>
        </w:rPr>
        <w:fldChar w:fldCharType="begin"/>
      </w:r>
      <w:r>
        <w:rPr>
          <w:rFonts w:cs="Arial"/>
        </w:rPr>
        <w:instrText xml:space="preserve"> REF _Ref56490079 \r \h </w:instrText>
      </w:r>
      <w:r>
        <w:rPr>
          <w:rFonts w:cs="Arial"/>
        </w:rPr>
      </w:r>
      <w:r>
        <w:rPr>
          <w:rFonts w:cs="Arial"/>
        </w:rPr>
        <w:fldChar w:fldCharType="separate"/>
      </w:r>
      <w:r w:rsidR="001345C3">
        <w:rPr>
          <w:rFonts w:cs="Arial"/>
        </w:rPr>
        <w:t>7</w:t>
      </w:r>
      <w:r>
        <w:rPr>
          <w:rFonts w:cs="Arial"/>
        </w:rPr>
        <w:fldChar w:fldCharType="end"/>
      </w:r>
      <w:r>
        <w:rPr>
          <w:rFonts w:cs="Arial"/>
        </w:rPr>
        <w:t>]</w:t>
      </w:r>
    </w:p>
    <w:p w14:paraId="09CABE4D" w14:textId="30541343" w:rsidR="006A6381" w:rsidRPr="006A6381" w:rsidRDefault="006A6381" w:rsidP="006A6381">
      <w:pPr>
        <w:pStyle w:val="Zusammenfassung"/>
      </w:pPr>
      <w:bookmarkStart w:id="6" w:name="Zusammenfassung"/>
      <w:r>
        <w:rPr>
          <w:rFonts w:cs="Arial"/>
          <w:b/>
          <w:bCs/>
        </w:rPr>
        <w:t>Zusammenfassung</w:t>
      </w:r>
      <w:bookmarkEnd w:id="6"/>
      <w:r>
        <w:rPr>
          <w:rFonts w:cs="Arial"/>
        </w:rPr>
        <w:t xml:space="preserve">: Es ist deutlich geworden, dass man Wasser und Fett bzw. Öl miteinander vermischen kann. Jedoch ist ein Emulgator erforderlich, der in ausreichenden Mengen hinzu gegeben werden muss, damit die kritische </w:t>
      </w:r>
      <w:proofErr w:type="spellStart"/>
      <w:r>
        <w:rPr>
          <w:rFonts w:cs="Arial"/>
        </w:rPr>
        <w:t>Mizellenbildungskonzentration</w:t>
      </w:r>
      <w:proofErr w:type="spellEnd"/>
      <w:r>
        <w:rPr>
          <w:rFonts w:cs="Arial"/>
        </w:rPr>
        <w:t xml:space="preserve"> „</w:t>
      </w:r>
      <w:proofErr w:type="spellStart"/>
      <w:r>
        <w:rPr>
          <w:rFonts w:cs="Arial"/>
        </w:rPr>
        <w:t>cmc</w:t>
      </w:r>
      <w:proofErr w:type="spellEnd"/>
      <w:r>
        <w:rPr>
          <w:rFonts w:cs="Arial"/>
        </w:rPr>
        <w:t xml:space="preserve">“ überschritten wird. Der Emulgator ist ein amphiphiles Molekül, das je nach Verhältnis von Kopf- und Schwanz-Gruppe zueinander verschiedene Typen von Mizellen ausbilden kann. Diese lassen sich mit dem </w:t>
      </w:r>
      <w:proofErr w:type="spellStart"/>
      <w:r>
        <w:rPr>
          <w:rFonts w:cs="Arial"/>
        </w:rPr>
        <w:t>Israelachvili</w:t>
      </w:r>
      <w:proofErr w:type="spellEnd"/>
      <w:r>
        <w:rPr>
          <w:rFonts w:cs="Arial"/>
        </w:rPr>
        <w:t>-Parameter berechnen.</w:t>
      </w:r>
    </w:p>
    <w:p w14:paraId="2473B24E" w14:textId="6E84F225" w:rsidR="006A6381" w:rsidRDefault="006A6381" w:rsidP="006A6381">
      <w:pPr>
        <w:pStyle w:val="EinstiegAbschluss"/>
      </w:pPr>
      <w:r>
        <w:rPr>
          <w:b/>
          <w:bCs/>
        </w:rPr>
        <w:t>Abschluss 1:</w:t>
      </w:r>
      <w:r>
        <w:t xml:space="preserve"> Warum steht auf der Zutaten-Liste der Margarine überhaupt Wasser, wenn sich inverse Mizellen schon alleine mit flüssigen Fett, Öl und Eigelb bilden?</w:t>
      </w:r>
    </w:p>
    <w:p w14:paraId="7D4A6202" w14:textId="3B6BAE3D" w:rsidR="006A6381" w:rsidRPr="006A6381" w:rsidRDefault="006A6381" w:rsidP="006A6381">
      <w:pPr>
        <w:pStyle w:val="EinstiegAbschluss"/>
        <w:numPr>
          <w:ilvl w:val="1"/>
          <w:numId w:val="5"/>
        </w:numPr>
      </w:pPr>
      <w:r>
        <w:rPr>
          <w:rFonts w:cs="Arial"/>
        </w:rPr>
        <w:t>Wasser ist günstiger (i. S. v. billiger) als Fett und kann von Mizellen in der Fett-Phase gebunden werden.</w:t>
      </w:r>
    </w:p>
    <w:p w14:paraId="2D082F21" w14:textId="7EB85E26" w:rsidR="006A6381" w:rsidRPr="006A6381" w:rsidRDefault="006A6381" w:rsidP="006A6381">
      <w:pPr>
        <w:pStyle w:val="EinstiegAbschluss"/>
        <w:numPr>
          <w:ilvl w:val="1"/>
          <w:numId w:val="5"/>
        </w:numPr>
      </w:pPr>
      <w:r>
        <w:rPr>
          <w:rFonts w:cs="Arial"/>
        </w:rPr>
        <w:t>Man kann durch Wasser „light-Margarine" herstellen und „Kalorien" einsparen.</w:t>
      </w:r>
    </w:p>
    <w:p w14:paraId="6C291A07" w14:textId="59255122" w:rsidR="006A6381" w:rsidRPr="006A6381" w:rsidRDefault="006A6381" w:rsidP="006A6381">
      <w:pPr>
        <w:pStyle w:val="EinstiegAbschluss"/>
      </w:pPr>
      <w:r w:rsidRPr="006A6381">
        <w:rPr>
          <w:rStyle w:val="Fett"/>
        </w:rPr>
        <w:t>Abschluss 2</w:t>
      </w:r>
      <w:r w:rsidRPr="006A6381">
        <w:t>: Mizellen können also dazu verwendet, um Schmutz</w:t>
      </w:r>
      <w:r>
        <w:t>-P</w:t>
      </w:r>
      <w:r w:rsidRPr="006A6381">
        <w:t>artikel wie Fette oder Öle zu entfernen. Die Kosmetik Branche macht sich dies zu Nutze. Die Mizellen, die sich in den Reinigungstüchern befinden, umschließen Schmutz</w:t>
      </w:r>
      <w:r>
        <w:t>-P</w:t>
      </w:r>
      <w:r w:rsidRPr="006A6381">
        <w:t>artikel auf unserer Haut und können so leichter entfernt bzw. abtransportiert werden.</w:t>
      </w:r>
    </w:p>
    <w:p w14:paraId="0475EE77" w14:textId="77777777" w:rsidR="00617E0A" w:rsidRDefault="00617E0A">
      <w:pPr>
        <w:spacing w:before="0"/>
        <w:jc w:val="left"/>
        <w:rPr>
          <w:b/>
          <w:bCs/>
        </w:rPr>
      </w:pPr>
      <w:r>
        <w:rPr>
          <w:b/>
          <w:bCs/>
        </w:rPr>
        <w:br w:type="page"/>
      </w:r>
    </w:p>
    <w:p w14:paraId="2A8C06EE" w14:textId="69D0A5CF" w:rsidR="00931B30" w:rsidRDefault="00931B30" w:rsidP="00931B30">
      <w:pPr>
        <w:rPr>
          <w:b/>
          <w:bCs/>
        </w:rPr>
      </w:pPr>
      <w:r w:rsidRPr="000E61E0">
        <w:rPr>
          <w:b/>
          <w:bCs/>
        </w:rPr>
        <w:t>Quellen:</w:t>
      </w:r>
    </w:p>
    <w:p w14:paraId="026F0FCA" w14:textId="75611615" w:rsidR="00860B3F" w:rsidRDefault="00860B3F" w:rsidP="00860B3F">
      <w:pPr>
        <w:pStyle w:val="AufzhlungStandard"/>
      </w:pPr>
      <w:bookmarkStart w:id="7" w:name="Pütz,_j.;_Niklas,_C."/>
      <w:bookmarkStart w:id="8" w:name="_Ref56489543"/>
      <w:r>
        <w:t>Pütz, J.; Niklas, C.</w:t>
      </w:r>
      <w:bookmarkEnd w:id="7"/>
      <w:r>
        <w:t xml:space="preserve">: Cremes und sanfte Seifen - Kosmetik zum Selbermachen Natürlich und gesund. </w:t>
      </w:r>
      <w:proofErr w:type="spellStart"/>
      <w:r>
        <w:t>vgs</w:t>
      </w:r>
      <w:proofErr w:type="spellEnd"/>
      <w:r>
        <w:t xml:space="preserve"> 13, Köln, 1989</w:t>
      </w:r>
      <w:bookmarkEnd w:id="8"/>
    </w:p>
    <w:bookmarkStart w:id="9" w:name="_Ref56489280"/>
    <w:p w14:paraId="79BD7359" w14:textId="567F9500" w:rsidR="00860B3F" w:rsidRDefault="00860B3F" w:rsidP="00860B3F">
      <w:pPr>
        <w:pStyle w:val="AufzhlungStandard"/>
      </w:pPr>
      <w:r>
        <w:fldChar w:fldCharType="begin"/>
      </w:r>
      <w:r>
        <w:instrText xml:space="preserve"> HYPERLINK "http://www.lebensmittellexikon.de/" </w:instrText>
      </w:r>
      <w:r>
        <w:fldChar w:fldCharType="separate"/>
      </w:r>
      <w:r>
        <w:rPr>
          <w:rStyle w:val="Hyperlink"/>
          <w:rFonts w:cs="Arial"/>
        </w:rPr>
        <w:t>http://www.lebensmittellexikon.de/</w:t>
      </w:r>
      <w:r>
        <w:fldChar w:fldCharType="end"/>
      </w:r>
      <w:r>
        <w:t xml:space="preserve">, 07.07.2018, Buchstaben "E" wählen: </w:t>
      </w:r>
      <w:hyperlink r:id="rId19" w:history="1">
        <w:r>
          <w:rPr>
            <w:rStyle w:val="Hyperlink"/>
            <w:rFonts w:cs="Arial"/>
          </w:rPr>
          <w:t>http://www.lebensmittellexikon.de/register/E.php</w:t>
        </w:r>
      </w:hyperlink>
      <w:r>
        <w:t>, 07.07.2018, Scrollen zu "</w:t>
      </w:r>
      <w:bookmarkStart w:id="10" w:name="Emulsion"/>
      <w:r>
        <w:t>Emulsion</w:t>
      </w:r>
      <w:bookmarkEnd w:id="10"/>
      <w:r>
        <w:t xml:space="preserve">": </w:t>
      </w:r>
      <w:hyperlink r:id="rId20" w:history="1">
        <w:r>
          <w:rPr>
            <w:rStyle w:val="Hyperlink"/>
            <w:rFonts w:cs="Arial"/>
          </w:rPr>
          <w:t>http://www.lebensmittellexikon.de/e0000190.php</w:t>
        </w:r>
      </w:hyperlink>
      <w:r>
        <w:t>, 07.7.2018</w:t>
      </w:r>
      <w:bookmarkEnd w:id="9"/>
    </w:p>
    <w:bookmarkStart w:id="11" w:name="Chefkoch"/>
    <w:bookmarkStart w:id="12" w:name="_Ref56489181"/>
    <w:p w14:paraId="73FF1BA9" w14:textId="14CD728C" w:rsidR="00860B3F" w:rsidRDefault="00860B3F" w:rsidP="00860B3F">
      <w:pPr>
        <w:pStyle w:val="AufzhlungStandard"/>
      </w:pPr>
      <w:r>
        <w:fldChar w:fldCharType="begin"/>
      </w:r>
      <w:r>
        <w:instrText xml:space="preserve"> HYPERLINK "http://www.chefkoch.de/rezept-anzeige.php?ID=1114001217439865" </w:instrText>
      </w:r>
      <w:r>
        <w:fldChar w:fldCharType="separate"/>
      </w:r>
      <w:r>
        <w:rPr>
          <w:rStyle w:val="Hyperlink"/>
          <w:rFonts w:cs="Arial"/>
        </w:rPr>
        <w:t>http://www.chefkoch.de/rezept-anzeige.php?ID=1114001217439865,</w:t>
      </w:r>
      <w:r>
        <w:fldChar w:fldCharType="end"/>
      </w:r>
      <w:bookmarkEnd w:id="11"/>
      <w:r>
        <w:t xml:space="preserve"> 07.07.2018 (</w:t>
      </w:r>
      <w:r w:rsidRPr="00617E0A">
        <w:t>Quelle verschollen, 17.11.2020</w:t>
      </w:r>
      <w:r>
        <w:t>)</w:t>
      </w:r>
      <w:bookmarkEnd w:id="12"/>
    </w:p>
    <w:bookmarkStart w:id="13" w:name="Lexikon"/>
    <w:bookmarkStart w:id="14" w:name="_Ref56489506"/>
    <w:p w14:paraId="1CD51CC1" w14:textId="3D97EAD4" w:rsidR="00860B3F" w:rsidRDefault="00860B3F" w:rsidP="00860B3F">
      <w:pPr>
        <w:pStyle w:val="AufzhlungStandard"/>
      </w:pPr>
      <w:r>
        <w:fldChar w:fldCharType="begin"/>
      </w:r>
      <w:r>
        <w:instrText xml:space="preserve"> HYPERLINK "http://www.chemie.de/lexikon/Mizellen.html" </w:instrText>
      </w:r>
      <w:r>
        <w:fldChar w:fldCharType="separate"/>
      </w:r>
      <w:r>
        <w:rPr>
          <w:rStyle w:val="Hyperlink"/>
          <w:rFonts w:cs="Arial"/>
        </w:rPr>
        <w:t>http://www.chemie.de/lexikon/Mizellen.html</w:t>
      </w:r>
      <w:r>
        <w:fldChar w:fldCharType="end"/>
      </w:r>
      <w:bookmarkEnd w:id="13"/>
      <w:r>
        <w:t>, 07.07.2018</w:t>
      </w:r>
      <w:bookmarkEnd w:id="14"/>
    </w:p>
    <w:bookmarkStart w:id="15" w:name="Margarine"/>
    <w:bookmarkStart w:id="16" w:name="_Ref56489363"/>
    <w:p w14:paraId="36BCE36B" w14:textId="56BBB650" w:rsidR="00860B3F" w:rsidRDefault="00860B3F" w:rsidP="00860B3F">
      <w:pPr>
        <w:pStyle w:val="AufzhlungStandard"/>
      </w:pPr>
      <w:r>
        <w:fldChar w:fldCharType="begin"/>
      </w:r>
      <w:r>
        <w:instrText xml:space="preserve"> HYPERLINK "http://www.projekt-paris.uni-kiel.de/paris/schuelerwebseiten/wundersaat/Magarineherrstellung.htm" </w:instrText>
      </w:r>
      <w:r>
        <w:fldChar w:fldCharType="separate"/>
      </w:r>
      <w:r>
        <w:rPr>
          <w:rStyle w:val="Hyperlink"/>
          <w:rFonts w:cs="Arial"/>
        </w:rPr>
        <w:t>http://www.projekt-paris.uni-kiel.de/paris/schuelerwebseiten/wundersaat/Magarineherrstellung.htm</w:t>
      </w:r>
      <w:r>
        <w:fldChar w:fldCharType="end"/>
      </w:r>
      <w:bookmarkEnd w:id="15"/>
      <w:r>
        <w:t>, 07.07.2018 (</w:t>
      </w:r>
      <w:r w:rsidRPr="00617E0A">
        <w:t>Quelle verschollen, 17.11.2020</w:t>
      </w:r>
      <w:r>
        <w:t>)</w:t>
      </w:r>
      <w:bookmarkEnd w:id="16"/>
    </w:p>
    <w:bookmarkStart w:id="17" w:name="Organisation"/>
    <w:bookmarkStart w:id="18" w:name="_Ref56490412"/>
    <w:p w14:paraId="076D4868" w14:textId="45B5FAA8" w:rsidR="00860B3F" w:rsidRDefault="00860B3F" w:rsidP="00860B3F">
      <w:pPr>
        <w:pStyle w:val="AufzhlungStandard"/>
      </w:pPr>
      <w:r>
        <w:fldChar w:fldCharType="begin"/>
      </w:r>
      <w:r>
        <w:instrText xml:space="preserve"> HYPERLINK "http://www.chem.uni-potsdam.de/apc/pdf/selbstorg_und_sup_chemie.pdf" </w:instrText>
      </w:r>
      <w:r>
        <w:fldChar w:fldCharType="separate"/>
      </w:r>
      <w:r>
        <w:rPr>
          <w:rStyle w:val="Hyperlink"/>
          <w:rFonts w:cs="Arial"/>
        </w:rPr>
        <w:t>http://www.chem.uni-potsdam.de/apc/pdf/selbstorg_und_sup_chemie.pdf</w:t>
      </w:r>
      <w:r>
        <w:fldChar w:fldCharType="end"/>
      </w:r>
      <w:bookmarkEnd w:id="17"/>
      <w:r>
        <w:t>, 07.07.2018 (</w:t>
      </w:r>
      <w:r w:rsidRPr="00617E0A">
        <w:t>Quelle verschollen, 17.11.2020</w:t>
      </w:r>
      <w:r>
        <w:t>)</w:t>
      </w:r>
      <w:bookmarkEnd w:id="18"/>
    </w:p>
    <w:bookmarkStart w:id="19" w:name="Tenside"/>
    <w:bookmarkStart w:id="20" w:name="_Ref56490079"/>
    <w:p w14:paraId="067F6AAB" w14:textId="2404D412" w:rsidR="00860B3F" w:rsidRDefault="00860B3F" w:rsidP="00860B3F">
      <w:pPr>
        <w:pStyle w:val="AufzhlungStandard"/>
      </w:pPr>
      <w:r>
        <w:fldChar w:fldCharType="begin"/>
      </w:r>
      <w:r>
        <w:instrText xml:space="preserve"> HYPERLINK "http://www.pci.tu-bs.de/aggericke/PC5-Grenzf/Tenside.pdf" </w:instrText>
      </w:r>
      <w:r>
        <w:fldChar w:fldCharType="separate"/>
      </w:r>
      <w:r>
        <w:rPr>
          <w:rStyle w:val="Hyperlink"/>
          <w:rFonts w:cs="Arial"/>
        </w:rPr>
        <w:t>http://www.pci.tu-bs.de/aggericke/PC5-Grenzf/Tenside.pdf,</w:t>
      </w:r>
      <w:r>
        <w:fldChar w:fldCharType="end"/>
      </w:r>
      <w:bookmarkEnd w:id="19"/>
      <w:r>
        <w:t xml:space="preserve"> 07.07.2018</w:t>
      </w:r>
      <w:bookmarkEnd w:id="20"/>
    </w:p>
    <w:bookmarkStart w:id="21" w:name="Creme"/>
    <w:bookmarkStart w:id="22" w:name="_Ref56489853"/>
    <w:p w14:paraId="612BCE07" w14:textId="689824C0" w:rsidR="00860B3F" w:rsidRDefault="00860B3F" w:rsidP="00860B3F">
      <w:pPr>
        <w:pStyle w:val="AufzhlungStandard"/>
      </w:pPr>
      <w:r>
        <w:fldChar w:fldCharType="begin"/>
      </w:r>
      <w:r>
        <w:instrText xml:space="preserve"> HYPERLINK "http://www.gesunde-haende-schuetzen.de/gut-zu-wissen/detail/article/neuer-wow-emulsionstyp-fuer-gepflegte-haut.html" </w:instrText>
      </w:r>
      <w:r>
        <w:fldChar w:fldCharType="separate"/>
      </w:r>
      <w:r>
        <w:rPr>
          <w:rStyle w:val="Hyperlink"/>
          <w:rFonts w:cs="Arial"/>
        </w:rPr>
        <w:t>http://www.gesunde-haende-schuetzen.de/gut-zu-wissen/detail/article/neuer-wow-emulsionstyp-fuer-gepflegte-haut.html</w:t>
      </w:r>
      <w:r>
        <w:fldChar w:fldCharType="end"/>
      </w:r>
      <w:bookmarkEnd w:id="21"/>
      <w:r>
        <w:t>, 07.07.2018 (</w:t>
      </w:r>
      <w:r w:rsidRPr="00617E0A">
        <w:t>Quelle verschollen, 17.11.2020</w:t>
      </w:r>
      <w:r>
        <w:t>)</w:t>
      </w:r>
      <w:bookmarkEnd w:id="22"/>
    </w:p>
    <w:sectPr w:rsidR="00860B3F" w:rsidSect="009B4835">
      <w:footerReference w:type="default" r:id="rId21"/>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6F68BF" w:rsidRDefault="006F68BF" w:rsidP="005A7DCE">
      <w:pPr>
        <w:spacing w:before="0"/>
      </w:pPr>
      <w:r>
        <w:separator/>
      </w:r>
    </w:p>
  </w:endnote>
  <w:endnote w:type="continuationSeparator" w:id="0">
    <w:p w14:paraId="3214F425" w14:textId="77777777" w:rsidR="006F68BF" w:rsidRDefault="006F68BF"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6F68BF" w:rsidRDefault="006F68BF">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0B758B6A" w:rsidR="006F68BF" w:rsidRDefault="006F68BF">
        <w:pPr>
          <w:pStyle w:val="Fuzeile"/>
          <w:jc w:val="center"/>
        </w:pPr>
        <w:r>
          <w:fldChar w:fldCharType="begin"/>
        </w:r>
        <w:r>
          <w:instrText>PAGE    \* MERGEFORMAT</w:instrText>
        </w:r>
        <w:r>
          <w:fldChar w:fldCharType="separate"/>
        </w:r>
        <w:r w:rsidR="001345C3">
          <w:rPr>
            <w:noProof/>
          </w:rPr>
          <w:t>7</w:t>
        </w:r>
        <w:r>
          <w:fldChar w:fldCharType="end"/>
        </w:r>
      </w:p>
    </w:sdtContent>
  </w:sdt>
  <w:p w14:paraId="69DF8B39" w14:textId="77777777" w:rsidR="006F68BF" w:rsidRDefault="006F68B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6F68BF" w:rsidRDefault="006F68BF" w:rsidP="005A7DCE">
      <w:pPr>
        <w:spacing w:before="0"/>
      </w:pPr>
      <w:r>
        <w:separator/>
      </w:r>
    </w:p>
  </w:footnote>
  <w:footnote w:type="continuationSeparator" w:id="0">
    <w:p w14:paraId="026CC8B6" w14:textId="77777777" w:rsidR="006F68BF" w:rsidRDefault="006F68BF"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0FEF7D3A"/>
    <w:multiLevelType w:val="multilevel"/>
    <w:tmpl w:val="B59E1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4"/>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345C3"/>
    <w:rsid w:val="001B0E73"/>
    <w:rsid w:val="001D58E6"/>
    <w:rsid w:val="001D6942"/>
    <w:rsid w:val="00286533"/>
    <w:rsid w:val="0033663A"/>
    <w:rsid w:val="0036111E"/>
    <w:rsid w:val="004A4B07"/>
    <w:rsid w:val="005633FE"/>
    <w:rsid w:val="005A7DCE"/>
    <w:rsid w:val="00617E0A"/>
    <w:rsid w:val="006841CE"/>
    <w:rsid w:val="006A6381"/>
    <w:rsid w:val="006F68BF"/>
    <w:rsid w:val="007161D1"/>
    <w:rsid w:val="007514D3"/>
    <w:rsid w:val="00783295"/>
    <w:rsid w:val="007B2C80"/>
    <w:rsid w:val="007F18E1"/>
    <w:rsid w:val="008117E4"/>
    <w:rsid w:val="00825BFE"/>
    <w:rsid w:val="00850560"/>
    <w:rsid w:val="00860B3F"/>
    <w:rsid w:val="00883728"/>
    <w:rsid w:val="008A524D"/>
    <w:rsid w:val="00931B30"/>
    <w:rsid w:val="009710A6"/>
    <w:rsid w:val="009B4835"/>
    <w:rsid w:val="00A21130"/>
    <w:rsid w:val="00A25B94"/>
    <w:rsid w:val="00A5383F"/>
    <w:rsid w:val="00AA5D66"/>
    <w:rsid w:val="00AB7E4B"/>
    <w:rsid w:val="00AE53F0"/>
    <w:rsid w:val="00AF7672"/>
    <w:rsid w:val="00B10DD4"/>
    <w:rsid w:val="00B85024"/>
    <w:rsid w:val="00C511E6"/>
    <w:rsid w:val="00CA413D"/>
    <w:rsid w:val="00D97908"/>
    <w:rsid w:val="00E14DE1"/>
    <w:rsid w:val="00E20AF3"/>
    <w:rsid w:val="00E50811"/>
    <w:rsid w:val="00E54A99"/>
    <w:rsid w:val="00E8473B"/>
    <w:rsid w:val="00F44956"/>
    <w:rsid w:val="00F76D18"/>
    <w:rsid w:val="00FD68B1"/>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860B3F"/>
    <w:rPr>
      <w:color w:val="0000FF" w:themeColor="followedHyperlink"/>
      <w:u w:val="single"/>
    </w:rPr>
  </w:style>
  <w:style w:type="character" w:styleId="Fett">
    <w:name w:val="Strong"/>
    <w:basedOn w:val="Absatz-Standardschriftart"/>
    <w:uiPriority w:val="22"/>
    <w:rsid w:val="00860B3F"/>
    <w:rPr>
      <w:b/>
      <w:bCs/>
    </w:rPr>
  </w:style>
  <w:style w:type="paragraph" w:styleId="StandardWeb">
    <w:name w:val="Normal (Web)"/>
    <w:basedOn w:val="Standard"/>
    <w:uiPriority w:val="99"/>
    <w:semiHidden/>
    <w:unhideWhenUsed/>
    <w:rsid w:val="00FD68B1"/>
    <w:pPr>
      <w:spacing w:before="100" w:beforeAutospacing="1" w:after="100" w:afterAutospacing="1"/>
      <w:jc w:val="left"/>
    </w:pPr>
    <w:rPr>
      <w:rFonts w:ascii="Times New Roman" w:eastAsia="Times New Roman" w:hAnsi="Times New Roman" w:cs="Times New Roman"/>
      <w:szCs w:val="24"/>
      <w:lang w:eastAsia="de-DE"/>
    </w:rPr>
  </w:style>
  <w:style w:type="character" w:styleId="Platzhaltertext">
    <w:name w:val="Placeholder Text"/>
    <w:basedOn w:val="Absatz-Standardschriftart"/>
    <w:uiPriority w:val="99"/>
    <w:semiHidden/>
    <w:rsid w:val="006F6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22918">
      <w:bodyDiv w:val="1"/>
      <w:marLeft w:val="0"/>
      <w:marRight w:val="0"/>
      <w:marTop w:val="0"/>
      <w:marBottom w:val="0"/>
      <w:divBdr>
        <w:top w:val="none" w:sz="0" w:space="0" w:color="auto"/>
        <w:left w:val="none" w:sz="0" w:space="0" w:color="auto"/>
        <w:bottom w:val="none" w:sz="0" w:space="0" w:color="auto"/>
        <w:right w:val="none" w:sz="0" w:space="0" w:color="auto"/>
      </w:divBdr>
    </w:div>
    <w:div w:id="537549212">
      <w:bodyDiv w:val="1"/>
      <w:marLeft w:val="0"/>
      <w:marRight w:val="0"/>
      <w:marTop w:val="0"/>
      <w:marBottom w:val="0"/>
      <w:divBdr>
        <w:top w:val="none" w:sz="0" w:space="0" w:color="auto"/>
        <w:left w:val="none" w:sz="0" w:space="0" w:color="auto"/>
        <w:bottom w:val="none" w:sz="0" w:space="0" w:color="auto"/>
        <w:right w:val="none" w:sz="0" w:space="0" w:color="auto"/>
      </w:divBdr>
    </w:div>
    <w:div w:id="807628627">
      <w:bodyDiv w:val="1"/>
      <w:marLeft w:val="0"/>
      <w:marRight w:val="0"/>
      <w:marTop w:val="0"/>
      <w:marBottom w:val="0"/>
      <w:divBdr>
        <w:top w:val="none" w:sz="0" w:space="0" w:color="auto"/>
        <w:left w:val="none" w:sz="0" w:space="0" w:color="auto"/>
        <w:bottom w:val="none" w:sz="0" w:space="0" w:color="auto"/>
        <w:right w:val="none" w:sz="0" w:space="0" w:color="auto"/>
      </w:divBdr>
    </w:div>
    <w:div w:id="16709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yperlink" Target="http://www.lebensmittellexikon.de/e0000190.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www.lebensmittellexikon.de/register/E.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09988-3D59-485B-9FF6-55315AEA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1572</Words>
  <Characters>9910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2020-12-21T13:26:00Z</cp:lastPrinted>
  <dcterms:created xsi:type="dcterms:W3CDTF">2020-11-17T06:00:00Z</dcterms:created>
  <dcterms:modified xsi:type="dcterms:W3CDTF">2020-12-21T13:26:00Z</dcterms:modified>
</cp:coreProperties>
</file>