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AB7432" w:rsidRDefault="00AB743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AB7432" w:rsidRDefault="00AB743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48B76FF2" w:rsidR="00AE53F0" w:rsidRPr="00AB7432" w:rsidRDefault="00E8473B" w:rsidP="00AB7432">
      <w:pPr>
        <w:pStyle w:val="Seminar"/>
      </w:pPr>
      <w:r w:rsidRPr="00AB7432">
        <w:t>Seminar</w:t>
      </w:r>
      <w:r w:rsidR="00FD7888" w:rsidRPr="00AB7432">
        <w:t xml:space="preserve"> „Übungen im Vortragen – AC“</w:t>
      </w:r>
    </w:p>
    <w:p w14:paraId="61C6F5BC" w14:textId="75518610" w:rsidR="00E8473B" w:rsidRDefault="00AB7432" w:rsidP="005633FE">
      <w:pPr>
        <w:pStyle w:val="Titel"/>
      </w:pPr>
      <w:r>
        <w:t>Konduktometrie</w:t>
      </w:r>
    </w:p>
    <w:p w14:paraId="28CE20D7" w14:textId="5B803AD3" w:rsidR="00E8473B" w:rsidRDefault="00AB7432" w:rsidP="00E8473B">
      <w:pPr>
        <w:pStyle w:val="Autor"/>
      </w:pPr>
      <w:r>
        <w:t>Eva Fiedler, SS 08; Fabian Scheller, SS 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17D5B9CC" w14:textId="72F7597D" w:rsidR="00EA43D0"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5549418" w:history="1">
            <w:r w:rsidR="00EA43D0" w:rsidRPr="00C32DEE">
              <w:rPr>
                <w:rStyle w:val="Hyperlink"/>
                <w:noProof/>
              </w:rPr>
              <w:t>1</w:t>
            </w:r>
            <w:r w:rsidR="00EA43D0">
              <w:rPr>
                <w:rFonts w:asciiTheme="minorHAnsi" w:eastAsiaTheme="minorEastAsia" w:hAnsiTheme="minorHAnsi"/>
                <w:noProof/>
                <w:sz w:val="22"/>
                <w:lang w:eastAsia="de-DE"/>
              </w:rPr>
              <w:tab/>
            </w:r>
            <w:r w:rsidR="00EA43D0" w:rsidRPr="00C32DEE">
              <w:rPr>
                <w:rStyle w:val="Hyperlink"/>
                <w:noProof/>
              </w:rPr>
              <w:t>Prinzip der Konduktometrie</w:t>
            </w:r>
            <w:r w:rsidR="00EA43D0">
              <w:rPr>
                <w:noProof/>
                <w:webHidden/>
              </w:rPr>
              <w:tab/>
            </w:r>
            <w:r w:rsidR="00EA43D0">
              <w:rPr>
                <w:noProof/>
                <w:webHidden/>
              </w:rPr>
              <w:fldChar w:fldCharType="begin"/>
            </w:r>
            <w:r w:rsidR="00EA43D0">
              <w:rPr>
                <w:noProof/>
                <w:webHidden/>
              </w:rPr>
              <w:instrText xml:space="preserve"> PAGEREF _Toc55549418 \h </w:instrText>
            </w:r>
            <w:r w:rsidR="00EA43D0">
              <w:rPr>
                <w:noProof/>
                <w:webHidden/>
              </w:rPr>
            </w:r>
            <w:r w:rsidR="00EA43D0">
              <w:rPr>
                <w:noProof/>
                <w:webHidden/>
              </w:rPr>
              <w:fldChar w:fldCharType="separate"/>
            </w:r>
            <w:r w:rsidR="007556B2">
              <w:rPr>
                <w:noProof/>
                <w:webHidden/>
              </w:rPr>
              <w:t>2</w:t>
            </w:r>
            <w:r w:rsidR="00EA43D0">
              <w:rPr>
                <w:noProof/>
                <w:webHidden/>
              </w:rPr>
              <w:fldChar w:fldCharType="end"/>
            </w:r>
          </w:hyperlink>
        </w:p>
        <w:p w14:paraId="7D4591A9" w14:textId="2EA73A84" w:rsidR="00EA43D0" w:rsidRDefault="007556B2">
          <w:pPr>
            <w:pStyle w:val="Verzeichnis1"/>
            <w:tabs>
              <w:tab w:val="left" w:pos="480"/>
              <w:tab w:val="right" w:leader="dot" w:pos="9344"/>
            </w:tabs>
            <w:rPr>
              <w:rFonts w:asciiTheme="minorHAnsi" w:eastAsiaTheme="minorEastAsia" w:hAnsiTheme="minorHAnsi"/>
              <w:noProof/>
              <w:sz w:val="22"/>
              <w:lang w:eastAsia="de-DE"/>
            </w:rPr>
          </w:pPr>
          <w:hyperlink w:anchor="_Toc55549419" w:history="1">
            <w:r w:rsidR="00EA43D0" w:rsidRPr="00C32DEE">
              <w:rPr>
                <w:rStyle w:val="Hyperlink"/>
                <w:noProof/>
              </w:rPr>
              <w:t>2</w:t>
            </w:r>
            <w:r w:rsidR="00EA43D0">
              <w:rPr>
                <w:rFonts w:asciiTheme="minorHAnsi" w:eastAsiaTheme="minorEastAsia" w:hAnsiTheme="minorHAnsi"/>
                <w:noProof/>
                <w:sz w:val="22"/>
                <w:lang w:eastAsia="de-DE"/>
              </w:rPr>
              <w:tab/>
            </w:r>
            <w:r w:rsidR="00EA43D0" w:rsidRPr="00C32DEE">
              <w:rPr>
                <w:rStyle w:val="Hyperlink"/>
                <w:noProof/>
              </w:rPr>
              <w:t>Verfahren</w:t>
            </w:r>
            <w:r w:rsidR="00EA43D0">
              <w:rPr>
                <w:noProof/>
                <w:webHidden/>
              </w:rPr>
              <w:tab/>
            </w:r>
            <w:r w:rsidR="00EA43D0">
              <w:rPr>
                <w:noProof/>
                <w:webHidden/>
              </w:rPr>
              <w:fldChar w:fldCharType="begin"/>
            </w:r>
            <w:r w:rsidR="00EA43D0">
              <w:rPr>
                <w:noProof/>
                <w:webHidden/>
              </w:rPr>
              <w:instrText xml:space="preserve"> PAGEREF _Toc55549419 \h </w:instrText>
            </w:r>
            <w:r w:rsidR="00EA43D0">
              <w:rPr>
                <w:noProof/>
                <w:webHidden/>
              </w:rPr>
            </w:r>
            <w:r w:rsidR="00EA43D0">
              <w:rPr>
                <w:noProof/>
                <w:webHidden/>
              </w:rPr>
              <w:fldChar w:fldCharType="separate"/>
            </w:r>
            <w:r>
              <w:rPr>
                <w:noProof/>
                <w:webHidden/>
              </w:rPr>
              <w:t>3</w:t>
            </w:r>
            <w:r w:rsidR="00EA43D0">
              <w:rPr>
                <w:noProof/>
                <w:webHidden/>
              </w:rPr>
              <w:fldChar w:fldCharType="end"/>
            </w:r>
          </w:hyperlink>
        </w:p>
        <w:p w14:paraId="70F1F654" w14:textId="266719D5" w:rsidR="00EA43D0" w:rsidRDefault="007556B2">
          <w:pPr>
            <w:pStyle w:val="Verzeichnis1"/>
            <w:tabs>
              <w:tab w:val="left" w:pos="480"/>
              <w:tab w:val="right" w:leader="dot" w:pos="9344"/>
            </w:tabs>
            <w:rPr>
              <w:rFonts w:asciiTheme="minorHAnsi" w:eastAsiaTheme="minorEastAsia" w:hAnsiTheme="minorHAnsi"/>
              <w:noProof/>
              <w:sz w:val="22"/>
              <w:lang w:eastAsia="de-DE"/>
            </w:rPr>
          </w:pPr>
          <w:hyperlink w:anchor="_Toc55549420" w:history="1">
            <w:r w:rsidR="00EA43D0" w:rsidRPr="00C32DEE">
              <w:rPr>
                <w:rStyle w:val="Hyperlink"/>
                <w:noProof/>
              </w:rPr>
              <w:t>3</w:t>
            </w:r>
            <w:r w:rsidR="00EA43D0">
              <w:rPr>
                <w:rFonts w:asciiTheme="minorHAnsi" w:eastAsiaTheme="minorEastAsia" w:hAnsiTheme="minorHAnsi"/>
                <w:noProof/>
                <w:sz w:val="22"/>
                <w:lang w:eastAsia="de-DE"/>
              </w:rPr>
              <w:tab/>
            </w:r>
            <w:r w:rsidR="00EA43D0" w:rsidRPr="00C32DEE">
              <w:rPr>
                <w:rStyle w:val="Hyperlink"/>
                <w:noProof/>
              </w:rPr>
              <w:t>Anwendungen</w:t>
            </w:r>
            <w:r w:rsidR="00EA43D0">
              <w:rPr>
                <w:noProof/>
                <w:webHidden/>
              </w:rPr>
              <w:tab/>
            </w:r>
            <w:r w:rsidR="00EA43D0">
              <w:rPr>
                <w:noProof/>
                <w:webHidden/>
              </w:rPr>
              <w:fldChar w:fldCharType="begin"/>
            </w:r>
            <w:r w:rsidR="00EA43D0">
              <w:rPr>
                <w:noProof/>
                <w:webHidden/>
              </w:rPr>
              <w:instrText xml:space="preserve"> PAGEREF _Toc55549420 \h </w:instrText>
            </w:r>
            <w:r w:rsidR="00EA43D0">
              <w:rPr>
                <w:noProof/>
                <w:webHidden/>
              </w:rPr>
            </w:r>
            <w:r w:rsidR="00EA43D0">
              <w:rPr>
                <w:noProof/>
                <w:webHidden/>
              </w:rPr>
              <w:fldChar w:fldCharType="separate"/>
            </w:r>
            <w:r>
              <w:rPr>
                <w:noProof/>
                <w:webHidden/>
              </w:rPr>
              <w:t>4</w:t>
            </w:r>
            <w:r w:rsidR="00EA43D0">
              <w:rPr>
                <w:noProof/>
                <w:webHidden/>
              </w:rPr>
              <w:fldChar w:fldCharType="end"/>
            </w:r>
          </w:hyperlink>
        </w:p>
        <w:p w14:paraId="0D83F120" w14:textId="0746F2D4" w:rsidR="00EA43D0" w:rsidRDefault="007556B2">
          <w:pPr>
            <w:pStyle w:val="Verzeichnis1"/>
            <w:tabs>
              <w:tab w:val="left" w:pos="480"/>
              <w:tab w:val="right" w:leader="dot" w:pos="9344"/>
            </w:tabs>
            <w:rPr>
              <w:rFonts w:asciiTheme="minorHAnsi" w:eastAsiaTheme="minorEastAsia" w:hAnsiTheme="minorHAnsi"/>
              <w:noProof/>
              <w:sz w:val="22"/>
              <w:lang w:eastAsia="de-DE"/>
            </w:rPr>
          </w:pPr>
          <w:hyperlink w:anchor="_Toc55549421" w:history="1">
            <w:r w:rsidR="00EA43D0" w:rsidRPr="00C32DEE">
              <w:rPr>
                <w:rStyle w:val="Hyperlink"/>
                <w:noProof/>
              </w:rPr>
              <w:t>4</w:t>
            </w:r>
            <w:r w:rsidR="00EA43D0">
              <w:rPr>
                <w:rFonts w:asciiTheme="minorHAnsi" w:eastAsiaTheme="minorEastAsia" w:hAnsiTheme="minorHAnsi"/>
                <w:noProof/>
                <w:sz w:val="22"/>
                <w:lang w:eastAsia="de-DE"/>
              </w:rPr>
              <w:tab/>
            </w:r>
            <w:r w:rsidR="00EA43D0" w:rsidRPr="00C32DEE">
              <w:rPr>
                <w:rStyle w:val="Hyperlink"/>
                <w:noProof/>
              </w:rPr>
              <w:t>Praktische Anwendungsbereiche</w:t>
            </w:r>
            <w:r w:rsidR="00EA43D0">
              <w:rPr>
                <w:noProof/>
                <w:webHidden/>
              </w:rPr>
              <w:tab/>
            </w:r>
            <w:r w:rsidR="00EA43D0">
              <w:rPr>
                <w:noProof/>
                <w:webHidden/>
              </w:rPr>
              <w:fldChar w:fldCharType="begin"/>
            </w:r>
            <w:r w:rsidR="00EA43D0">
              <w:rPr>
                <w:noProof/>
                <w:webHidden/>
              </w:rPr>
              <w:instrText xml:space="preserve"> PAGEREF _Toc55549421 \h </w:instrText>
            </w:r>
            <w:r w:rsidR="00EA43D0">
              <w:rPr>
                <w:noProof/>
                <w:webHidden/>
              </w:rPr>
            </w:r>
            <w:r w:rsidR="00EA43D0">
              <w:rPr>
                <w:noProof/>
                <w:webHidden/>
              </w:rPr>
              <w:fldChar w:fldCharType="separate"/>
            </w:r>
            <w:r>
              <w:rPr>
                <w:noProof/>
                <w:webHidden/>
              </w:rPr>
              <w:t>4</w:t>
            </w:r>
            <w:r w:rsidR="00EA43D0">
              <w:rPr>
                <w:noProof/>
                <w:webHidden/>
              </w:rPr>
              <w:fldChar w:fldCharType="end"/>
            </w:r>
          </w:hyperlink>
        </w:p>
        <w:p w14:paraId="5AC765BB" w14:textId="19C60ECD" w:rsidR="009B4835" w:rsidRDefault="009B4835">
          <w:r>
            <w:rPr>
              <w:b/>
              <w:bCs/>
            </w:rPr>
            <w:fldChar w:fldCharType="end"/>
          </w:r>
        </w:p>
      </w:sdtContent>
    </w:sdt>
    <w:p w14:paraId="06CE8F08" w14:textId="03ABABBA" w:rsidR="00FD7888" w:rsidRPr="00AB7432" w:rsidRDefault="00FD7888" w:rsidP="00FD7888">
      <w:pPr>
        <w:pStyle w:val="EinstiegAbschluss"/>
      </w:pPr>
      <w:bookmarkStart w:id="0" w:name="_Überschrift_1"/>
      <w:bookmarkEnd w:id="0"/>
      <w:r w:rsidRPr="00AB7432">
        <w:rPr>
          <w:rStyle w:val="Fett"/>
        </w:rPr>
        <w:t>Einstieg</w:t>
      </w:r>
      <w:r>
        <w:t>:</w:t>
      </w:r>
      <w:r w:rsidR="00AB7432">
        <w:t xml:space="preserve"> </w:t>
      </w:r>
      <w:r w:rsidR="00AB7432">
        <w:rPr>
          <w:rFonts w:cs="Arial"/>
        </w:rPr>
        <w:t xml:space="preserve">Aus dem AC I Grund-Praktikum ist noch bekannt, dass die genaue Bestimmung des Äquivalenz-Punktes nicht immer einfach ist. Das lag daran, dass gerade in der Nähe des Äquivalenz-Punktes die Titrationskurve eine sehr hohe Steigung aufweist. </w:t>
      </w:r>
      <w:r w:rsidR="00AB7432">
        <w:rPr>
          <w:rFonts w:cs="Arial"/>
          <w:color w:val="FF00FF" w:themeColor="accent4"/>
        </w:rPr>
        <w:fldChar w:fldCharType="begin"/>
      </w:r>
      <w:r w:rsidR="00AB7432">
        <w:rPr>
          <w:rFonts w:cs="Arial"/>
        </w:rPr>
        <w:instrText xml:space="preserve"> REF _Ref55548294 \h </w:instrText>
      </w:r>
      <w:r w:rsidR="00AB7432">
        <w:rPr>
          <w:rFonts w:cs="Arial"/>
          <w:color w:val="FF00FF" w:themeColor="accent4"/>
        </w:rPr>
      </w:r>
      <w:r w:rsidR="00AB7432">
        <w:rPr>
          <w:rFonts w:cs="Arial"/>
          <w:color w:val="FF00FF" w:themeColor="accent4"/>
        </w:rPr>
        <w:fldChar w:fldCharType="separate"/>
      </w:r>
      <w:r w:rsidR="007556B2">
        <w:t xml:space="preserve">Abb. </w:t>
      </w:r>
      <w:r w:rsidR="007556B2">
        <w:rPr>
          <w:noProof/>
        </w:rPr>
        <w:t>1</w:t>
      </w:r>
      <w:r w:rsidR="00AB7432">
        <w:rPr>
          <w:rFonts w:cs="Arial"/>
          <w:color w:val="FF00FF" w:themeColor="accent4"/>
        </w:rPr>
        <w:fldChar w:fldCharType="end"/>
      </w:r>
      <w:r w:rsidR="00AB7432">
        <w:rPr>
          <w:rFonts w:cs="Arial"/>
        </w:rPr>
        <w:t xml:space="preserve"> dient hier als Beispiel eines Kurven-Verlaufs aus der potentiometrischen Titration. Viel eleganter wäre es doch, wenn die Kurve einen ähnlichen Verlauf hätte wie in </w:t>
      </w:r>
      <w:r w:rsidR="00AB7432">
        <w:rPr>
          <w:rFonts w:cs="Arial"/>
          <w:color w:val="FF00FF" w:themeColor="accent4"/>
        </w:rPr>
        <w:fldChar w:fldCharType="begin"/>
      </w:r>
      <w:r w:rsidR="00AB7432">
        <w:rPr>
          <w:rFonts w:cs="Arial"/>
        </w:rPr>
        <w:instrText xml:space="preserve"> REF _Ref55548303 \h </w:instrText>
      </w:r>
      <w:r w:rsidR="00AB7432">
        <w:rPr>
          <w:rFonts w:cs="Arial"/>
          <w:color w:val="FF00FF" w:themeColor="accent4"/>
        </w:rPr>
      </w:r>
      <w:r w:rsidR="00AB7432">
        <w:rPr>
          <w:rFonts w:cs="Arial"/>
          <w:color w:val="FF00FF" w:themeColor="accent4"/>
        </w:rPr>
        <w:fldChar w:fldCharType="separate"/>
      </w:r>
      <w:r w:rsidR="007556B2">
        <w:t xml:space="preserve">Abb. </w:t>
      </w:r>
      <w:r w:rsidR="007556B2">
        <w:rPr>
          <w:noProof/>
        </w:rPr>
        <w:t>2</w:t>
      </w:r>
      <w:r w:rsidR="00AB7432">
        <w:rPr>
          <w:rFonts w:cs="Arial"/>
          <w:color w:val="FF00FF" w:themeColor="accent4"/>
        </w:rPr>
        <w:fldChar w:fldCharType="end"/>
      </w:r>
      <w:r w:rsidR="00AB7432">
        <w:rPr>
          <w:rFonts w:cs="Arial"/>
        </w:rPr>
        <w:t>.</w:t>
      </w:r>
    </w:p>
    <w:p w14:paraId="7219DBAA" w14:textId="7DE30F95" w:rsidR="00AB7432" w:rsidRDefault="00AB7432" w:rsidP="00AB7432">
      <w:pPr>
        <w:pStyle w:val="Bilder"/>
      </w:pPr>
      <w:r>
        <w:rPr>
          <w:lang w:eastAsia="de-DE"/>
        </w:rPr>
        <w:drawing>
          <wp:inline distT="0" distB="0" distL="0" distR="0" wp14:anchorId="6A4EEAA6" wp14:editId="5F3C3E13">
            <wp:extent cx="3808730" cy="2338070"/>
            <wp:effectExtent l="0" t="0" r="127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2338070"/>
                    </a:xfrm>
                    <a:prstGeom prst="rect">
                      <a:avLst/>
                    </a:prstGeom>
                    <a:noFill/>
                    <a:ln>
                      <a:noFill/>
                    </a:ln>
                  </pic:spPr>
                </pic:pic>
              </a:graphicData>
            </a:graphic>
          </wp:inline>
        </w:drawing>
      </w:r>
    </w:p>
    <w:p w14:paraId="0AD9BEDE" w14:textId="7B4EC0A8" w:rsidR="00AB7432" w:rsidRDefault="00AB7432" w:rsidP="00AB7432">
      <w:pPr>
        <w:pStyle w:val="Beschriftung"/>
      </w:pPr>
      <w:bookmarkStart w:id="1" w:name="_Ref55548294"/>
      <w:r>
        <w:t xml:space="preserve">Abb. </w:t>
      </w:r>
      <w:r w:rsidR="007556B2">
        <w:fldChar w:fldCharType="begin"/>
      </w:r>
      <w:r w:rsidR="007556B2">
        <w:instrText xml:space="preserve"> SEQ Abb. \* ARABIC </w:instrText>
      </w:r>
      <w:r w:rsidR="007556B2">
        <w:fldChar w:fldCharType="separate"/>
      </w:r>
      <w:r w:rsidR="007556B2">
        <w:rPr>
          <w:noProof/>
        </w:rPr>
        <w:t>1</w:t>
      </w:r>
      <w:r w:rsidR="007556B2">
        <w:rPr>
          <w:noProof/>
        </w:rPr>
        <w:fldChar w:fldCharType="end"/>
      </w:r>
      <w:bookmarkEnd w:id="1"/>
      <w:r>
        <w:t>: Kurven-Verlauf einer potentiometrischen Titration (starke Säure + starke Base)</w:t>
      </w:r>
    </w:p>
    <w:p w14:paraId="1B6381AF" w14:textId="52F4F7BA" w:rsidR="00AB7432" w:rsidRDefault="00AB7432" w:rsidP="00AB7432">
      <w:pPr>
        <w:pStyle w:val="Bilder"/>
      </w:pPr>
      <w:r>
        <w:rPr>
          <w:lang w:eastAsia="de-DE"/>
        </w:rPr>
        <w:drawing>
          <wp:inline distT="0" distB="0" distL="0" distR="0" wp14:anchorId="50828728" wp14:editId="63BE5D37">
            <wp:extent cx="3808730" cy="2394585"/>
            <wp:effectExtent l="0" t="0" r="127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2394585"/>
                    </a:xfrm>
                    <a:prstGeom prst="rect">
                      <a:avLst/>
                    </a:prstGeom>
                    <a:noFill/>
                    <a:ln>
                      <a:noFill/>
                    </a:ln>
                  </pic:spPr>
                </pic:pic>
              </a:graphicData>
            </a:graphic>
          </wp:inline>
        </w:drawing>
      </w:r>
    </w:p>
    <w:p w14:paraId="1AD06E58" w14:textId="7611A581" w:rsidR="00AB7432" w:rsidRDefault="00AB7432" w:rsidP="00AB7432">
      <w:pPr>
        <w:pStyle w:val="Beschriftung"/>
      </w:pPr>
      <w:bookmarkStart w:id="2" w:name="_Ref55548303"/>
      <w:r>
        <w:t xml:space="preserve">Abb. </w:t>
      </w:r>
      <w:r w:rsidR="007556B2">
        <w:fldChar w:fldCharType="begin"/>
      </w:r>
      <w:r w:rsidR="007556B2">
        <w:instrText xml:space="preserve"> SEQ Abb. \* ARABIC </w:instrText>
      </w:r>
      <w:r w:rsidR="007556B2">
        <w:fldChar w:fldCharType="separate"/>
      </w:r>
      <w:r w:rsidR="007556B2">
        <w:rPr>
          <w:noProof/>
        </w:rPr>
        <w:t>2</w:t>
      </w:r>
      <w:r w:rsidR="007556B2">
        <w:rPr>
          <w:noProof/>
        </w:rPr>
        <w:fldChar w:fldCharType="end"/>
      </w:r>
      <w:bookmarkEnd w:id="2"/>
      <w:r>
        <w:t xml:space="preserve">: Kurven-Verlauf einer </w:t>
      </w:r>
      <w:proofErr w:type="spellStart"/>
      <w:r>
        <w:t>konduktiometrischen</w:t>
      </w:r>
      <w:proofErr w:type="spellEnd"/>
      <w:r>
        <w:t xml:space="preserve"> Titration (starke Säure + starke Base)</w:t>
      </w:r>
    </w:p>
    <w:p w14:paraId="3D51DEDA" w14:textId="19295927" w:rsidR="00E8473B" w:rsidRDefault="00AB7432" w:rsidP="008A524D">
      <w:pPr>
        <w:pStyle w:val="berschrift1"/>
      </w:pPr>
      <w:bookmarkStart w:id="3" w:name="_Toc55549418"/>
      <w:r>
        <w:lastRenderedPageBreak/>
        <w:t>Prinzip der Konduktometrie</w:t>
      </w:r>
      <w:bookmarkEnd w:id="3"/>
    </w:p>
    <w:p w14:paraId="624DF998" w14:textId="4F1A1D3D" w:rsidR="00AB7432" w:rsidRDefault="00AB7432" w:rsidP="00AB7432">
      <w:r>
        <w:t xml:space="preserve">Bei der Titration oder Volumetrie wird zu einem Stoff unbekannter Konzentration ein Stoff bekannter Konzentration (Maßlösung oder </w:t>
      </w:r>
      <w:proofErr w:type="spellStart"/>
      <w:r>
        <w:t>Titrant</w:t>
      </w:r>
      <w:proofErr w:type="spellEnd"/>
      <w:r>
        <w:t>) gegeben, bis die Äquivalent-Stoffmengen erreicht sind, dann spricht man vom Äquivalenz-Punkt. Dieser kann chemisch (Farb-Umschläge, Niederschläge) oder physikalisch bestimmt werden. Die Konduktometrie zählt zu den physikalischen Methoden.</w:t>
      </w:r>
    </w:p>
    <w:p w14:paraId="37E08068" w14:textId="215BABAA" w:rsidR="00AB7432" w:rsidRDefault="00AB7432" w:rsidP="00AB7432">
      <w:pPr>
        <w:rPr>
          <w:rFonts w:cs="Arial"/>
        </w:rPr>
      </w:pPr>
      <w:r w:rsidRPr="00AB7432">
        <w:rPr>
          <w:rStyle w:val="Fett"/>
        </w:rPr>
        <w:t>Beispiel</w:t>
      </w:r>
      <w:r>
        <w:rPr>
          <w:rFonts w:cs="Arial"/>
        </w:rPr>
        <w:t>: Wie kann man mit der Methode der Konduktometrie den Äquivalenz-Punkt einer Titration bestimmen? Das soll am Beispiel einer Titration von Chlorwasserstoff (Salzsäure) mit Natronlauge in wässriger Lösung gezeigt werden.</w:t>
      </w:r>
    </w:p>
    <w:p w14:paraId="54D56EA0" w14:textId="37944B5C" w:rsidR="00AB7432" w:rsidRDefault="00AB7432" w:rsidP="00AB7432">
      <w:r>
        <w:t xml:space="preserve">Einige von euch kennen bereits den Versuch zur Leitfähigkeitstitration aus PC. Unser Ergebnis zeigt die </w:t>
      </w:r>
      <w:r>
        <w:rPr>
          <w:color w:val="FF00FF" w:themeColor="accent4"/>
        </w:rPr>
        <w:fldChar w:fldCharType="begin"/>
      </w:r>
      <w:r>
        <w:instrText xml:space="preserve"> REF _Ref55548418 \h </w:instrText>
      </w:r>
      <w:r>
        <w:rPr>
          <w:color w:val="FF00FF" w:themeColor="accent4"/>
        </w:rPr>
      </w:r>
      <w:r>
        <w:rPr>
          <w:color w:val="FF00FF" w:themeColor="accent4"/>
        </w:rPr>
        <w:fldChar w:fldCharType="separate"/>
      </w:r>
      <w:r w:rsidR="007556B2">
        <w:t xml:space="preserve">Abb. </w:t>
      </w:r>
      <w:r w:rsidR="007556B2">
        <w:rPr>
          <w:noProof/>
        </w:rPr>
        <w:t>3</w:t>
      </w:r>
      <w:r>
        <w:rPr>
          <w:color w:val="FF00FF" w:themeColor="accent4"/>
        </w:rPr>
        <w:fldChar w:fldCharType="end"/>
      </w:r>
      <w:r>
        <w:t>.</w:t>
      </w:r>
    </w:p>
    <w:p w14:paraId="09BBEC6F" w14:textId="7EFF1E8F" w:rsidR="00AB7432" w:rsidRDefault="00AB7432" w:rsidP="00AB7432">
      <w:pPr>
        <w:pStyle w:val="Bilder"/>
      </w:pPr>
      <w:r>
        <w:rPr>
          <w:lang w:eastAsia="de-DE"/>
        </w:rPr>
        <w:drawing>
          <wp:inline distT="0" distB="0" distL="0" distR="0" wp14:anchorId="77EE4FBB" wp14:editId="315B2222">
            <wp:extent cx="4760595" cy="3120390"/>
            <wp:effectExtent l="0" t="0" r="1905" b="3810"/>
            <wp:docPr id="4" name="Grafik 4" descr="Titrationsk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rationskur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0595" cy="3120390"/>
                    </a:xfrm>
                    <a:prstGeom prst="rect">
                      <a:avLst/>
                    </a:prstGeom>
                    <a:noFill/>
                    <a:ln>
                      <a:noFill/>
                    </a:ln>
                  </pic:spPr>
                </pic:pic>
              </a:graphicData>
            </a:graphic>
          </wp:inline>
        </w:drawing>
      </w:r>
    </w:p>
    <w:p w14:paraId="1C444D8F" w14:textId="0DB784A0" w:rsidR="00AB7432" w:rsidRDefault="00AB7432" w:rsidP="00AB7432">
      <w:pPr>
        <w:pStyle w:val="Beschriftung"/>
      </w:pPr>
      <w:bookmarkStart w:id="4" w:name="_Ref55548418"/>
      <w:r>
        <w:t xml:space="preserve">Abb. </w:t>
      </w:r>
      <w:r w:rsidR="007556B2">
        <w:fldChar w:fldCharType="begin"/>
      </w:r>
      <w:r w:rsidR="007556B2">
        <w:instrText xml:space="preserve"> SEQ Abb. \* ARABIC </w:instrText>
      </w:r>
      <w:r w:rsidR="007556B2">
        <w:fldChar w:fldCharType="separate"/>
      </w:r>
      <w:r w:rsidR="007556B2">
        <w:rPr>
          <w:noProof/>
        </w:rPr>
        <w:t>3</w:t>
      </w:r>
      <w:r w:rsidR="007556B2">
        <w:rPr>
          <w:noProof/>
        </w:rPr>
        <w:fldChar w:fldCharType="end"/>
      </w:r>
      <w:bookmarkEnd w:id="4"/>
      <w:r>
        <w:t>: Titrationskurve von Salzsäure mit Natronlauge</w:t>
      </w:r>
    </w:p>
    <w:p w14:paraId="2E3F6A5D" w14:textId="7993CEA4" w:rsidR="00AB7432" w:rsidRDefault="00AB7432" w:rsidP="00AB7432">
      <w:pPr>
        <w:rPr>
          <w:rFonts w:cs="Arial"/>
        </w:rPr>
      </w:pPr>
      <w:r>
        <w:rPr>
          <w:rFonts w:cs="Arial"/>
        </w:rPr>
        <w:t>Auf der x-Achse wird das Volumen der zugegebenen Base (NaOH) in mL aufgetragen. Auf der y-Achse die Leitfähigkeit in 1/Ω*m oder S/m. Ausgangsstoff ist die Säure. Sie besitzt zu Beginn eine bestimmte Leitfähigkeit (zwischen 5 und 6). Die Leitfähigkeit nimmt bei Zugabe von Natriumhydroxid immer weiter ab und steigt dann wieder an. Wieso ist dies so?</w:t>
      </w:r>
    </w:p>
    <w:p w14:paraId="366B70AD" w14:textId="66FFAD60" w:rsidR="00AB7432" w:rsidRDefault="00AB7432" w:rsidP="00AB7432">
      <w:pPr>
        <w:rPr>
          <w:rFonts w:cs="Arial"/>
        </w:rPr>
      </w:pPr>
      <w:r>
        <w:rPr>
          <w:rFonts w:cs="Arial"/>
        </w:rPr>
        <w:t>Dies basiert auf der Tatsache, dass wässrige Elektrolyt-Lösungen elektrischen Strom leiten. Diese Leitfähigkeit beruht auf der elektrolytischen Dissoziation der Säuren, Basen und Salze, also darauf, dass diese Stoffe in wässriger Lösung in elektrisch geladene Teilchen (Ionen) zerfallen. Im elektrischen Feld wandern diese Ionen nun (Anionen zur Anode, Kationen zur Kathode). Die Leitfähigkeit einer Elektrolyt-Lösung wird bestimmt durch:</w:t>
      </w:r>
    </w:p>
    <w:p w14:paraId="79AB3794" w14:textId="1D8C51B2" w:rsidR="00AB7432" w:rsidRDefault="00AB7432" w:rsidP="00AB7432">
      <w:pPr>
        <w:pStyle w:val="Liste2Aufzhlung"/>
      </w:pPr>
      <w:r>
        <w:t>die Konzentration der Lösung</w:t>
      </w:r>
    </w:p>
    <w:p w14:paraId="2B26E14C" w14:textId="346B145B" w:rsidR="00AB7432" w:rsidRDefault="00AB7432" w:rsidP="00AB7432">
      <w:pPr>
        <w:pStyle w:val="Liste2Aufzhlung"/>
      </w:pPr>
      <w:r>
        <w:t>die Ionen-Ladungszahl</w:t>
      </w:r>
    </w:p>
    <w:p w14:paraId="0AF8A627" w14:textId="138F5335" w:rsidR="00AB7432" w:rsidRDefault="00AB7432" w:rsidP="00AB7432">
      <w:pPr>
        <w:pStyle w:val="Liste2Aufzhlung"/>
      </w:pPr>
      <w:r>
        <w:t>die Wanderungsgeschwindigkeit der Ionen</w:t>
      </w:r>
    </w:p>
    <w:p w14:paraId="7C77D205" w14:textId="061B838A" w:rsidR="00AB7432" w:rsidRDefault="00AB7432" w:rsidP="00AB7432">
      <w:pPr>
        <w:rPr>
          <w:rFonts w:cs="Arial"/>
        </w:rPr>
      </w:pPr>
      <w:r>
        <w:rPr>
          <w:rFonts w:cs="Arial"/>
        </w:rPr>
        <w:t>Bei der Konduktometrie oder der Leitfähigkeitsmessung beobachtet man die Änderung der Leitfähigkeit, die durch Zusetzen der Maßlösung hervorgerufen wird. Die erhaltenen Werte der Leitfähigkeit werden in Abhängigkeit von der zugesetzten Menge der Maßlösung aufgetragen. Zu Beginn leiten H</w:t>
      </w:r>
      <w:r>
        <w:rPr>
          <w:rFonts w:cs="Arial"/>
          <w:vertAlign w:val="superscript"/>
        </w:rPr>
        <w:t>+</w:t>
      </w:r>
      <w:r>
        <w:rPr>
          <w:rFonts w:cs="Arial"/>
        </w:rPr>
        <w:t xml:space="preserve"> (Wasserstoff-Kationen) und Cl</w:t>
      </w:r>
      <w:r>
        <w:rPr>
          <w:rFonts w:cs="Arial"/>
          <w:vertAlign w:val="superscript"/>
        </w:rPr>
        <w:t xml:space="preserve">- </w:t>
      </w:r>
      <w:r>
        <w:rPr>
          <w:rFonts w:cs="Arial"/>
        </w:rPr>
        <w:t xml:space="preserve">(Chlorid-Anionen) den Strom. Durch Zugabe von Natriumhydroxid treten die Hydroxid-Ionen der Lauge mit </w:t>
      </w:r>
      <w:r>
        <w:rPr>
          <w:rFonts w:cs="Arial"/>
        </w:rPr>
        <w:lastRenderedPageBreak/>
        <w:t>dem Wasserstoff der Säure zu dissozi</w:t>
      </w:r>
      <w:r w:rsidR="007556B2">
        <w:rPr>
          <w:rFonts w:cs="Arial"/>
        </w:rPr>
        <w:t>i</w:t>
      </w:r>
      <w:bookmarkStart w:id="5" w:name="_GoBack"/>
      <w:bookmarkEnd w:id="5"/>
      <w:r>
        <w:rPr>
          <w:rFonts w:cs="Arial"/>
        </w:rPr>
        <w:t xml:space="preserve">ertem Wasser zusammen. Die Natrium-Ionen treten mehr und mehr an Stelle der Wasserstoff-Ionen. Da nun Natrium-Ionen eine geringere Äquivalent-Leitfähigkeit haben als Wasserstoff-Ionen (siehe </w:t>
      </w:r>
      <w:r>
        <w:rPr>
          <w:rFonts w:cs="Arial"/>
          <w:color w:val="FF00FF" w:themeColor="accent4"/>
        </w:rPr>
        <w:fldChar w:fldCharType="begin"/>
      </w:r>
      <w:r>
        <w:rPr>
          <w:rFonts w:cs="Arial"/>
        </w:rPr>
        <w:instrText xml:space="preserve"> REF _Ref55548651 \h </w:instrText>
      </w:r>
      <w:r>
        <w:rPr>
          <w:rFonts w:cs="Arial"/>
          <w:color w:val="FF00FF" w:themeColor="accent4"/>
        </w:rPr>
      </w:r>
      <w:r>
        <w:rPr>
          <w:rFonts w:cs="Arial"/>
          <w:color w:val="FF00FF" w:themeColor="accent4"/>
        </w:rPr>
        <w:fldChar w:fldCharType="separate"/>
      </w:r>
      <w:r w:rsidR="007556B2">
        <w:t xml:space="preserve">Abb. </w:t>
      </w:r>
      <w:r w:rsidR="007556B2">
        <w:rPr>
          <w:noProof/>
        </w:rPr>
        <w:t>4</w:t>
      </w:r>
      <w:r>
        <w:rPr>
          <w:rFonts w:cs="Arial"/>
          <w:color w:val="FF00FF" w:themeColor="accent4"/>
        </w:rPr>
        <w:fldChar w:fldCharType="end"/>
      </w:r>
      <w:r>
        <w:rPr>
          <w:rFonts w:cs="Arial"/>
        </w:rPr>
        <w:t>) nimmt die Leitfähigkeit mehr und mehr ab.</w:t>
      </w:r>
    </w:p>
    <w:p w14:paraId="403B0B9D" w14:textId="77777777" w:rsidR="00AB7432" w:rsidRDefault="00AB7432" w:rsidP="00AB7432">
      <w:pPr>
        <w:rPr>
          <w:rFonts w:cs="Arial"/>
        </w:rPr>
      </w:pPr>
    </w:p>
    <w:tbl>
      <w:tblPr>
        <w:tblStyle w:val="Tabellenraster"/>
        <w:tblW w:w="0" w:type="auto"/>
        <w:jc w:val="center"/>
        <w:tblLook w:val="04A0" w:firstRow="1" w:lastRow="0" w:firstColumn="1" w:lastColumn="0" w:noHBand="0" w:noVBand="1"/>
      </w:tblPr>
      <w:tblGrid>
        <w:gridCol w:w="963"/>
        <w:gridCol w:w="2937"/>
        <w:gridCol w:w="896"/>
        <w:gridCol w:w="2937"/>
      </w:tblGrid>
      <w:tr w:rsidR="00AB7432" w:rsidRPr="00AB7432" w14:paraId="310A686D" w14:textId="77777777" w:rsidTr="00AB7432">
        <w:trPr>
          <w:jc w:val="center"/>
        </w:trPr>
        <w:tc>
          <w:tcPr>
            <w:tcW w:w="0" w:type="auto"/>
            <w:shd w:val="clear" w:color="auto" w:fill="C7C7C7" w:themeFill="background2" w:themeFillShade="E6"/>
            <w:hideMark/>
          </w:tcPr>
          <w:p w14:paraId="73364F79" w14:textId="77777777" w:rsidR="00AB7432" w:rsidRPr="00AB7432" w:rsidRDefault="00AB7432" w:rsidP="00AB7432">
            <w:pPr>
              <w:spacing w:after="120"/>
              <w:rPr>
                <w:rStyle w:val="Fett"/>
              </w:rPr>
            </w:pPr>
            <w:r w:rsidRPr="00AB7432">
              <w:rPr>
                <w:rStyle w:val="Fett"/>
              </w:rPr>
              <w:t>Kation</w:t>
            </w:r>
          </w:p>
        </w:tc>
        <w:tc>
          <w:tcPr>
            <w:tcW w:w="0" w:type="auto"/>
            <w:shd w:val="clear" w:color="auto" w:fill="C7C7C7" w:themeFill="background2" w:themeFillShade="E6"/>
            <w:hideMark/>
          </w:tcPr>
          <w:p w14:paraId="0593D46A" w14:textId="7A8FAB70" w:rsidR="00AB7432" w:rsidRPr="00AB7432" w:rsidRDefault="00AB7432" w:rsidP="00AB7432">
            <w:pPr>
              <w:spacing w:after="120"/>
              <w:rPr>
                <w:rStyle w:val="Fett"/>
              </w:rPr>
            </w:pPr>
            <w:r w:rsidRPr="00AB7432">
              <w:rPr>
                <w:rStyle w:val="Fett"/>
              </w:rPr>
              <w:t>Äquivalent</w:t>
            </w:r>
            <w:r>
              <w:rPr>
                <w:rStyle w:val="Fett"/>
              </w:rPr>
              <w:t>-L</w:t>
            </w:r>
            <w:r w:rsidRPr="00AB7432">
              <w:rPr>
                <w:rStyle w:val="Fett"/>
              </w:rPr>
              <w:t>eitfähigkeit</w:t>
            </w:r>
          </w:p>
        </w:tc>
        <w:tc>
          <w:tcPr>
            <w:tcW w:w="0" w:type="auto"/>
            <w:shd w:val="clear" w:color="auto" w:fill="C7C7C7" w:themeFill="background2" w:themeFillShade="E6"/>
            <w:hideMark/>
          </w:tcPr>
          <w:p w14:paraId="1348A47A" w14:textId="77777777" w:rsidR="00AB7432" w:rsidRPr="00AB7432" w:rsidRDefault="00AB7432" w:rsidP="00AB7432">
            <w:pPr>
              <w:spacing w:after="120"/>
              <w:rPr>
                <w:rStyle w:val="Fett"/>
              </w:rPr>
            </w:pPr>
            <w:r w:rsidRPr="00AB7432">
              <w:rPr>
                <w:rStyle w:val="Fett"/>
              </w:rPr>
              <w:t>Anion</w:t>
            </w:r>
          </w:p>
        </w:tc>
        <w:tc>
          <w:tcPr>
            <w:tcW w:w="0" w:type="auto"/>
            <w:shd w:val="clear" w:color="auto" w:fill="C7C7C7" w:themeFill="background2" w:themeFillShade="E6"/>
            <w:hideMark/>
          </w:tcPr>
          <w:p w14:paraId="64DA981C" w14:textId="1A6C32ED" w:rsidR="00AB7432" w:rsidRPr="00AB7432" w:rsidRDefault="00AB7432" w:rsidP="00AB7432">
            <w:pPr>
              <w:spacing w:after="120"/>
              <w:rPr>
                <w:rStyle w:val="Fett"/>
              </w:rPr>
            </w:pPr>
            <w:r w:rsidRPr="00AB7432">
              <w:rPr>
                <w:rStyle w:val="Fett"/>
              </w:rPr>
              <w:t>Äquivalent</w:t>
            </w:r>
            <w:r>
              <w:rPr>
                <w:rStyle w:val="Fett"/>
              </w:rPr>
              <w:t>-L</w:t>
            </w:r>
            <w:r w:rsidRPr="00AB7432">
              <w:rPr>
                <w:rStyle w:val="Fett"/>
              </w:rPr>
              <w:t>eitfähigkeit</w:t>
            </w:r>
          </w:p>
        </w:tc>
      </w:tr>
      <w:tr w:rsidR="00AB7432" w:rsidRPr="00AB7432" w14:paraId="2B428E34" w14:textId="77777777" w:rsidTr="00AB7432">
        <w:trPr>
          <w:jc w:val="center"/>
        </w:trPr>
        <w:tc>
          <w:tcPr>
            <w:tcW w:w="0" w:type="auto"/>
            <w:hideMark/>
          </w:tcPr>
          <w:p w14:paraId="7754F9E8" w14:textId="77777777" w:rsidR="00AB7432" w:rsidRPr="00AB7432" w:rsidRDefault="00AB7432" w:rsidP="00AB7432">
            <w:pPr>
              <w:spacing w:after="120"/>
              <w:rPr>
                <w:rFonts w:ascii="Times New Roman" w:hAnsi="Times New Roman" w:cs="Times New Roman"/>
                <w:lang w:eastAsia="de-DE"/>
              </w:rPr>
            </w:pPr>
            <w:r w:rsidRPr="00AB7432">
              <w:rPr>
                <w:lang w:eastAsia="de-DE"/>
              </w:rPr>
              <w:t>H</w:t>
            </w:r>
            <w:r w:rsidRPr="00AB7432">
              <w:rPr>
                <w:vertAlign w:val="superscript"/>
                <w:lang w:eastAsia="de-DE"/>
              </w:rPr>
              <w:t>+</w:t>
            </w:r>
          </w:p>
        </w:tc>
        <w:tc>
          <w:tcPr>
            <w:tcW w:w="0" w:type="auto"/>
            <w:hideMark/>
          </w:tcPr>
          <w:p w14:paraId="12043118" w14:textId="77777777" w:rsidR="00AB7432" w:rsidRPr="00AB7432" w:rsidRDefault="00AB7432" w:rsidP="00AB7432">
            <w:pPr>
              <w:spacing w:after="120"/>
              <w:rPr>
                <w:rFonts w:ascii="Times New Roman" w:hAnsi="Times New Roman" w:cs="Times New Roman"/>
                <w:lang w:eastAsia="de-DE"/>
              </w:rPr>
            </w:pPr>
            <w:r w:rsidRPr="00AB7432">
              <w:rPr>
                <w:lang w:eastAsia="de-DE"/>
              </w:rPr>
              <w:t>349,6</w:t>
            </w:r>
          </w:p>
        </w:tc>
        <w:tc>
          <w:tcPr>
            <w:tcW w:w="0" w:type="auto"/>
            <w:hideMark/>
          </w:tcPr>
          <w:p w14:paraId="45DC2A47" w14:textId="77777777" w:rsidR="00AB7432" w:rsidRPr="00AB7432" w:rsidRDefault="00AB7432" w:rsidP="00AB7432">
            <w:pPr>
              <w:spacing w:after="120"/>
              <w:rPr>
                <w:rFonts w:ascii="Times New Roman" w:hAnsi="Times New Roman" w:cs="Times New Roman"/>
                <w:lang w:eastAsia="de-DE"/>
              </w:rPr>
            </w:pPr>
            <w:r w:rsidRPr="00AB7432">
              <w:rPr>
                <w:lang w:eastAsia="de-DE"/>
              </w:rPr>
              <w:t>OH</w:t>
            </w:r>
            <w:r w:rsidRPr="00AB7432">
              <w:rPr>
                <w:vertAlign w:val="superscript"/>
                <w:lang w:eastAsia="de-DE"/>
              </w:rPr>
              <w:t>-</w:t>
            </w:r>
          </w:p>
        </w:tc>
        <w:tc>
          <w:tcPr>
            <w:tcW w:w="0" w:type="auto"/>
            <w:hideMark/>
          </w:tcPr>
          <w:p w14:paraId="2A4EC75A" w14:textId="77777777" w:rsidR="00AB7432" w:rsidRPr="00AB7432" w:rsidRDefault="00AB7432" w:rsidP="00AB7432">
            <w:pPr>
              <w:spacing w:after="120"/>
              <w:rPr>
                <w:rFonts w:ascii="Times New Roman" w:hAnsi="Times New Roman" w:cs="Times New Roman"/>
                <w:lang w:eastAsia="de-DE"/>
              </w:rPr>
            </w:pPr>
            <w:r w:rsidRPr="00AB7432">
              <w:rPr>
                <w:lang w:eastAsia="de-DE"/>
              </w:rPr>
              <w:t>197</w:t>
            </w:r>
          </w:p>
        </w:tc>
      </w:tr>
      <w:tr w:rsidR="00AB7432" w:rsidRPr="00AB7432" w14:paraId="75BAAF0C" w14:textId="77777777" w:rsidTr="00AB7432">
        <w:trPr>
          <w:jc w:val="center"/>
        </w:trPr>
        <w:tc>
          <w:tcPr>
            <w:tcW w:w="0" w:type="auto"/>
            <w:hideMark/>
          </w:tcPr>
          <w:p w14:paraId="335637CF" w14:textId="77777777" w:rsidR="00AB7432" w:rsidRPr="00AB7432" w:rsidRDefault="00AB7432" w:rsidP="00AB7432">
            <w:pPr>
              <w:spacing w:after="120"/>
              <w:rPr>
                <w:rFonts w:ascii="Times New Roman" w:hAnsi="Times New Roman" w:cs="Times New Roman"/>
                <w:lang w:eastAsia="de-DE"/>
              </w:rPr>
            </w:pPr>
            <w:r w:rsidRPr="00AB7432">
              <w:rPr>
                <w:lang w:eastAsia="de-DE"/>
              </w:rPr>
              <w:t>Li</w:t>
            </w:r>
            <w:r w:rsidRPr="00AB7432">
              <w:rPr>
                <w:vertAlign w:val="superscript"/>
                <w:lang w:eastAsia="de-DE"/>
              </w:rPr>
              <w:t>+</w:t>
            </w:r>
          </w:p>
        </w:tc>
        <w:tc>
          <w:tcPr>
            <w:tcW w:w="0" w:type="auto"/>
            <w:hideMark/>
          </w:tcPr>
          <w:p w14:paraId="0DA7CEA7" w14:textId="77777777" w:rsidR="00AB7432" w:rsidRPr="00AB7432" w:rsidRDefault="00AB7432" w:rsidP="00AB7432">
            <w:pPr>
              <w:spacing w:after="120"/>
              <w:rPr>
                <w:rFonts w:ascii="Times New Roman" w:hAnsi="Times New Roman" w:cs="Times New Roman"/>
                <w:lang w:eastAsia="de-DE"/>
              </w:rPr>
            </w:pPr>
            <w:r w:rsidRPr="00AB7432">
              <w:rPr>
                <w:lang w:eastAsia="de-DE"/>
              </w:rPr>
              <w:t>38,7</w:t>
            </w:r>
          </w:p>
        </w:tc>
        <w:tc>
          <w:tcPr>
            <w:tcW w:w="0" w:type="auto"/>
            <w:hideMark/>
          </w:tcPr>
          <w:p w14:paraId="79AF96F6" w14:textId="77777777" w:rsidR="00AB7432" w:rsidRPr="00AB7432" w:rsidRDefault="00AB7432" w:rsidP="00AB7432">
            <w:pPr>
              <w:spacing w:after="120"/>
              <w:rPr>
                <w:rFonts w:ascii="Times New Roman" w:hAnsi="Times New Roman" w:cs="Times New Roman"/>
                <w:lang w:eastAsia="de-DE"/>
              </w:rPr>
            </w:pPr>
            <w:r w:rsidRPr="00AB7432">
              <w:rPr>
                <w:lang w:eastAsia="de-DE"/>
              </w:rPr>
              <w:t>F</w:t>
            </w:r>
            <w:r w:rsidRPr="00AB7432">
              <w:rPr>
                <w:vertAlign w:val="superscript"/>
                <w:lang w:eastAsia="de-DE"/>
              </w:rPr>
              <w:t>-</w:t>
            </w:r>
          </w:p>
        </w:tc>
        <w:tc>
          <w:tcPr>
            <w:tcW w:w="0" w:type="auto"/>
            <w:hideMark/>
          </w:tcPr>
          <w:p w14:paraId="603F4158" w14:textId="77777777" w:rsidR="00AB7432" w:rsidRPr="00AB7432" w:rsidRDefault="00AB7432" w:rsidP="00AB7432">
            <w:pPr>
              <w:spacing w:after="120"/>
              <w:rPr>
                <w:rFonts w:ascii="Times New Roman" w:hAnsi="Times New Roman" w:cs="Times New Roman"/>
                <w:lang w:eastAsia="de-DE"/>
              </w:rPr>
            </w:pPr>
            <w:r w:rsidRPr="00AB7432">
              <w:rPr>
                <w:lang w:eastAsia="de-DE"/>
              </w:rPr>
              <w:t>55</w:t>
            </w:r>
          </w:p>
        </w:tc>
      </w:tr>
      <w:tr w:rsidR="00AB7432" w:rsidRPr="00AB7432" w14:paraId="7950E617" w14:textId="77777777" w:rsidTr="00AB7432">
        <w:trPr>
          <w:jc w:val="center"/>
        </w:trPr>
        <w:tc>
          <w:tcPr>
            <w:tcW w:w="0" w:type="auto"/>
            <w:hideMark/>
          </w:tcPr>
          <w:p w14:paraId="15DA56A6" w14:textId="77777777" w:rsidR="00AB7432" w:rsidRPr="00AB7432" w:rsidRDefault="00AB7432" w:rsidP="00AB7432">
            <w:pPr>
              <w:spacing w:after="120"/>
              <w:rPr>
                <w:rFonts w:ascii="Times New Roman" w:hAnsi="Times New Roman" w:cs="Times New Roman"/>
                <w:lang w:eastAsia="de-DE"/>
              </w:rPr>
            </w:pPr>
            <w:r w:rsidRPr="00AB7432">
              <w:rPr>
                <w:lang w:eastAsia="de-DE"/>
              </w:rPr>
              <w:t>Na</w:t>
            </w:r>
            <w:r w:rsidRPr="00AB7432">
              <w:rPr>
                <w:vertAlign w:val="superscript"/>
                <w:lang w:eastAsia="de-DE"/>
              </w:rPr>
              <w:t>+</w:t>
            </w:r>
          </w:p>
        </w:tc>
        <w:tc>
          <w:tcPr>
            <w:tcW w:w="0" w:type="auto"/>
            <w:hideMark/>
          </w:tcPr>
          <w:p w14:paraId="743AD85F" w14:textId="77777777" w:rsidR="00AB7432" w:rsidRPr="00AB7432" w:rsidRDefault="00AB7432" w:rsidP="00AB7432">
            <w:pPr>
              <w:spacing w:after="120"/>
              <w:rPr>
                <w:rFonts w:ascii="Times New Roman" w:hAnsi="Times New Roman" w:cs="Times New Roman"/>
                <w:lang w:eastAsia="de-DE"/>
              </w:rPr>
            </w:pPr>
            <w:r w:rsidRPr="00AB7432">
              <w:rPr>
                <w:lang w:eastAsia="de-DE"/>
              </w:rPr>
              <w:t>50,1</w:t>
            </w:r>
          </w:p>
        </w:tc>
        <w:tc>
          <w:tcPr>
            <w:tcW w:w="0" w:type="auto"/>
            <w:hideMark/>
          </w:tcPr>
          <w:p w14:paraId="108BABF3" w14:textId="77777777" w:rsidR="00AB7432" w:rsidRPr="00AB7432" w:rsidRDefault="00AB7432" w:rsidP="00AB7432">
            <w:pPr>
              <w:spacing w:after="120"/>
              <w:rPr>
                <w:rFonts w:ascii="Times New Roman" w:hAnsi="Times New Roman" w:cs="Times New Roman"/>
                <w:lang w:eastAsia="de-DE"/>
              </w:rPr>
            </w:pPr>
            <w:r w:rsidRPr="00AB7432">
              <w:rPr>
                <w:lang w:eastAsia="de-DE"/>
              </w:rPr>
              <w:t>Cl</w:t>
            </w:r>
            <w:r w:rsidRPr="00AB7432">
              <w:rPr>
                <w:vertAlign w:val="superscript"/>
                <w:lang w:eastAsia="de-DE"/>
              </w:rPr>
              <w:t>-</w:t>
            </w:r>
          </w:p>
        </w:tc>
        <w:tc>
          <w:tcPr>
            <w:tcW w:w="0" w:type="auto"/>
            <w:hideMark/>
          </w:tcPr>
          <w:p w14:paraId="5950516F" w14:textId="77777777" w:rsidR="00AB7432" w:rsidRPr="00AB7432" w:rsidRDefault="00AB7432" w:rsidP="00AB7432">
            <w:pPr>
              <w:spacing w:after="120"/>
              <w:rPr>
                <w:rFonts w:ascii="Times New Roman" w:hAnsi="Times New Roman" w:cs="Times New Roman"/>
                <w:lang w:eastAsia="de-DE"/>
              </w:rPr>
            </w:pPr>
            <w:r w:rsidRPr="00AB7432">
              <w:rPr>
                <w:lang w:eastAsia="de-DE"/>
              </w:rPr>
              <w:t>76,4</w:t>
            </w:r>
          </w:p>
        </w:tc>
      </w:tr>
      <w:tr w:rsidR="00AB7432" w:rsidRPr="00AB7432" w14:paraId="27F641EE" w14:textId="77777777" w:rsidTr="00AB7432">
        <w:trPr>
          <w:jc w:val="center"/>
        </w:trPr>
        <w:tc>
          <w:tcPr>
            <w:tcW w:w="0" w:type="auto"/>
            <w:hideMark/>
          </w:tcPr>
          <w:p w14:paraId="2F97E73C" w14:textId="77777777" w:rsidR="00AB7432" w:rsidRPr="00AB7432" w:rsidRDefault="00AB7432" w:rsidP="00AB7432">
            <w:pPr>
              <w:spacing w:after="120"/>
              <w:rPr>
                <w:rFonts w:ascii="Times New Roman" w:hAnsi="Times New Roman" w:cs="Times New Roman"/>
                <w:lang w:eastAsia="de-DE"/>
              </w:rPr>
            </w:pPr>
            <w:r w:rsidRPr="00AB7432">
              <w:rPr>
                <w:lang w:eastAsia="de-DE"/>
              </w:rPr>
              <w:t>...</w:t>
            </w:r>
          </w:p>
        </w:tc>
        <w:tc>
          <w:tcPr>
            <w:tcW w:w="0" w:type="auto"/>
            <w:hideMark/>
          </w:tcPr>
          <w:p w14:paraId="718EAB68" w14:textId="77777777" w:rsidR="00AB7432" w:rsidRPr="00AB7432" w:rsidRDefault="00AB7432" w:rsidP="00AB7432">
            <w:pPr>
              <w:spacing w:after="120"/>
              <w:rPr>
                <w:rFonts w:ascii="Times New Roman" w:hAnsi="Times New Roman" w:cs="Times New Roman"/>
                <w:lang w:eastAsia="de-DE"/>
              </w:rPr>
            </w:pPr>
            <w:r w:rsidRPr="00AB7432">
              <w:rPr>
                <w:rFonts w:ascii="Times New Roman" w:hAnsi="Times New Roman" w:cs="Times New Roman"/>
                <w:lang w:eastAsia="de-DE"/>
              </w:rPr>
              <w:t> </w:t>
            </w:r>
          </w:p>
        </w:tc>
        <w:tc>
          <w:tcPr>
            <w:tcW w:w="0" w:type="auto"/>
            <w:hideMark/>
          </w:tcPr>
          <w:p w14:paraId="0952A0FB" w14:textId="77777777" w:rsidR="00AB7432" w:rsidRPr="00AB7432" w:rsidRDefault="00AB7432" w:rsidP="00AB7432">
            <w:pPr>
              <w:spacing w:after="120"/>
              <w:rPr>
                <w:rFonts w:ascii="Times New Roman" w:hAnsi="Times New Roman" w:cs="Times New Roman"/>
                <w:lang w:eastAsia="de-DE"/>
              </w:rPr>
            </w:pPr>
            <w:r w:rsidRPr="00AB7432">
              <w:rPr>
                <w:lang w:eastAsia="de-DE"/>
              </w:rPr>
              <w:t>...</w:t>
            </w:r>
          </w:p>
        </w:tc>
        <w:tc>
          <w:tcPr>
            <w:tcW w:w="0" w:type="auto"/>
            <w:hideMark/>
          </w:tcPr>
          <w:p w14:paraId="41F67BC0" w14:textId="77777777" w:rsidR="00AB7432" w:rsidRPr="00AB7432" w:rsidRDefault="00AB7432" w:rsidP="00AB7432">
            <w:pPr>
              <w:spacing w:after="120"/>
              <w:rPr>
                <w:rFonts w:ascii="Times New Roman" w:hAnsi="Times New Roman" w:cs="Times New Roman"/>
                <w:lang w:eastAsia="de-DE"/>
              </w:rPr>
            </w:pPr>
            <w:r w:rsidRPr="00AB7432">
              <w:rPr>
                <w:rFonts w:ascii="Times New Roman" w:hAnsi="Times New Roman" w:cs="Times New Roman"/>
                <w:lang w:eastAsia="de-DE"/>
              </w:rPr>
              <w:t> </w:t>
            </w:r>
          </w:p>
        </w:tc>
      </w:tr>
    </w:tbl>
    <w:p w14:paraId="2F39D03E" w14:textId="499A6CFB" w:rsidR="00AB7432" w:rsidRDefault="00AB7432" w:rsidP="00AB7432">
      <w:pPr>
        <w:pStyle w:val="Beschriftung"/>
      </w:pPr>
      <w:bookmarkStart w:id="6" w:name="_Ref55548651"/>
      <w:r>
        <w:t xml:space="preserve">Abb. </w:t>
      </w:r>
      <w:r w:rsidR="007556B2">
        <w:fldChar w:fldCharType="begin"/>
      </w:r>
      <w:r w:rsidR="007556B2">
        <w:instrText xml:space="preserve"> SEQ Abb. \* ARABIC </w:instrText>
      </w:r>
      <w:r w:rsidR="007556B2">
        <w:fldChar w:fldCharType="separate"/>
      </w:r>
      <w:r w:rsidR="007556B2">
        <w:rPr>
          <w:noProof/>
        </w:rPr>
        <w:t>4</w:t>
      </w:r>
      <w:r w:rsidR="007556B2">
        <w:rPr>
          <w:noProof/>
        </w:rPr>
        <w:fldChar w:fldCharType="end"/>
      </w:r>
      <w:bookmarkEnd w:id="6"/>
      <w:r>
        <w:t>: Ionenäquivalent-Leitfähigkeiten in Wasser bei 25°C [</w:t>
      </w:r>
      <w:r>
        <w:fldChar w:fldCharType="begin"/>
      </w:r>
      <w:r>
        <w:instrText xml:space="preserve"> REF _Ref55548640 \r \h </w:instrText>
      </w:r>
      <w:r>
        <w:fldChar w:fldCharType="separate"/>
      </w:r>
      <w:r w:rsidR="007556B2">
        <w:t>1</w:t>
      </w:r>
      <w:r>
        <w:fldChar w:fldCharType="end"/>
      </w:r>
      <w:r>
        <w:t>]</w:t>
      </w:r>
    </w:p>
    <w:p w14:paraId="7CDA5ECC" w14:textId="5E9B5E44" w:rsidR="00AB7432" w:rsidRDefault="00AB7432" w:rsidP="00AB7432">
      <w:pPr>
        <w:rPr>
          <w:rFonts w:cs="Arial"/>
        </w:rPr>
      </w:pPr>
      <w:r>
        <w:rPr>
          <w:rFonts w:cs="Arial"/>
        </w:rPr>
        <w:t xml:space="preserve">Dazu ist wichtig zu sagen, dass das Proton und das Hydroxid-Anion eine besonders hohe Leitfähigkeit haben, da sie in Wasser über Wasserstoff-Brücken transportiert werden, d. h. sie brauchen nicht den vollen Weg zurückzulegen, sondern sich nur an eine Seite eines Wasser-Moleküle anlagern, während auf der anderen Seite ein anderes Proton oder Hydroxid-Anion </w:t>
      </w:r>
      <w:proofErr w:type="spellStart"/>
      <w:r>
        <w:rPr>
          <w:rFonts w:cs="Arial"/>
        </w:rPr>
        <w:t>abdissoziiert</w:t>
      </w:r>
      <w:proofErr w:type="spellEnd"/>
      <w:r>
        <w:rPr>
          <w:rFonts w:cs="Arial"/>
        </w:rPr>
        <w:t>.</w:t>
      </w:r>
    </w:p>
    <w:p w14:paraId="097C4CDE" w14:textId="70010430" w:rsidR="00AB7432" w:rsidRDefault="00AB7432" w:rsidP="00AB7432">
      <w:pPr>
        <w:pStyle w:val="Bilder"/>
      </w:pPr>
      <w:r>
        <w:rPr>
          <w:lang w:eastAsia="de-DE"/>
        </w:rPr>
        <w:drawing>
          <wp:inline distT="0" distB="0" distL="0" distR="0" wp14:anchorId="7E9DEA1F" wp14:editId="602A0AB2">
            <wp:extent cx="4513809" cy="1080000"/>
            <wp:effectExtent l="0" t="0" r="127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3809" cy="1080000"/>
                    </a:xfrm>
                    <a:prstGeom prst="rect">
                      <a:avLst/>
                    </a:prstGeom>
                    <a:noFill/>
                    <a:ln>
                      <a:noFill/>
                    </a:ln>
                  </pic:spPr>
                </pic:pic>
              </a:graphicData>
            </a:graphic>
          </wp:inline>
        </w:drawing>
      </w:r>
    </w:p>
    <w:p w14:paraId="720A9E85" w14:textId="12573C35" w:rsidR="00AB7432" w:rsidRDefault="00AB7432" w:rsidP="00AB7432">
      <w:pPr>
        <w:pStyle w:val="Beschriftung"/>
      </w:pPr>
      <w:r>
        <w:t xml:space="preserve">Abb. </w:t>
      </w:r>
      <w:r w:rsidR="007556B2">
        <w:fldChar w:fldCharType="begin"/>
      </w:r>
      <w:r w:rsidR="007556B2">
        <w:instrText xml:space="preserve"> SEQ Abb. \* ARABIC </w:instrText>
      </w:r>
      <w:r w:rsidR="007556B2">
        <w:fldChar w:fldCharType="separate"/>
      </w:r>
      <w:r w:rsidR="007556B2">
        <w:rPr>
          <w:noProof/>
        </w:rPr>
        <w:t>5</w:t>
      </w:r>
      <w:r w:rsidR="007556B2">
        <w:rPr>
          <w:noProof/>
        </w:rPr>
        <w:fldChar w:fldCharType="end"/>
      </w:r>
      <w:r>
        <w:t xml:space="preserve">: Wasserstoffbrücken-Bindungen in wässriger Lösung [nach </w:t>
      </w:r>
      <w:r>
        <w:fldChar w:fldCharType="begin"/>
      </w:r>
      <w:r>
        <w:instrText xml:space="preserve"> REF _Ref55548963 \r \h </w:instrText>
      </w:r>
      <w:r>
        <w:fldChar w:fldCharType="separate"/>
      </w:r>
      <w:r w:rsidR="007556B2">
        <w:t>2</w:t>
      </w:r>
      <w:r>
        <w:fldChar w:fldCharType="end"/>
      </w:r>
      <w:r>
        <w:t>]</w:t>
      </w:r>
      <w:r>
        <w:br/>
        <w:t>Transport einer positiven Ladung Richtung Kathode</w:t>
      </w:r>
    </w:p>
    <w:p w14:paraId="56B8C72B" w14:textId="5047933A" w:rsidR="00AB7432" w:rsidRDefault="00AB7432" w:rsidP="00AB7432">
      <w:pPr>
        <w:rPr>
          <w:rFonts w:cs="Arial"/>
        </w:rPr>
      </w:pPr>
      <w:r>
        <w:rPr>
          <w:rFonts w:cs="Arial"/>
        </w:rPr>
        <w:t>Am Äquivalenz-Punkt sind alle Wasserstoff</w:t>
      </w:r>
      <w:r w:rsidR="00371FFE">
        <w:rPr>
          <w:rFonts w:cs="Arial"/>
        </w:rPr>
        <w:t>-I</w:t>
      </w:r>
      <w:r>
        <w:rPr>
          <w:rFonts w:cs="Arial"/>
        </w:rPr>
        <w:t>onen durch Natrium</w:t>
      </w:r>
      <w:r w:rsidR="00371FFE">
        <w:rPr>
          <w:rFonts w:cs="Arial"/>
        </w:rPr>
        <w:t>-I</w:t>
      </w:r>
      <w:r>
        <w:rPr>
          <w:rFonts w:cs="Arial"/>
        </w:rPr>
        <w:t>onen ersetzt worden. Gibt man nach dem Äquivalenz</w:t>
      </w:r>
      <w:r w:rsidR="00371FFE">
        <w:rPr>
          <w:rFonts w:cs="Arial"/>
        </w:rPr>
        <w:t>-P</w:t>
      </w:r>
      <w:r>
        <w:rPr>
          <w:rFonts w:cs="Arial"/>
        </w:rPr>
        <w:t>unkt weiter Natronlauge zu, steigt die Gesamt</w:t>
      </w:r>
      <w:r w:rsidR="00371FFE">
        <w:rPr>
          <w:rFonts w:cs="Arial"/>
        </w:rPr>
        <w:t>-L</w:t>
      </w:r>
      <w:r>
        <w:rPr>
          <w:rFonts w:cs="Arial"/>
        </w:rPr>
        <w:t>eitfähigkeit wieder an. Da zusätzlich zu Na</w:t>
      </w:r>
      <w:r>
        <w:rPr>
          <w:rFonts w:cs="Arial"/>
          <w:vertAlign w:val="superscript"/>
        </w:rPr>
        <w:t>+</w:t>
      </w:r>
      <w:r>
        <w:rPr>
          <w:rFonts w:cs="Arial"/>
        </w:rPr>
        <w:t xml:space="preserve"> und Cl</w:t>
      </w:r>
      <w:r>
        <w:rPr>
          <w:rFonts w:cs="Arial"/>
          <w:vertAlign w:val="superscript"/>
        </w:rPr>
        <w:t>-</w:t>
      </w:r>
      <w:r>
        <w:rPr>
          <w:rFonts w:cs="Arial"/>
        </w:rPr>
        <w:t xml:space="preserve"> nun auch noch OH</w:t>
      </w:r>
      <w:r>
        <w:rPr>
          <w:rFonts w:cs="Arial"/>
          <w:vertAlign w:val="superscript"/>
        </w:rPr>
        <w:t>-</w:t>
      </w:r>
      <w:r>
        <w:rPr>
          <w:rFonts w:cs="Arial"/>
        </w:rPr>
        <w:t xml:space="preserve"> den Strom leiten. Wichtig: konstante Temperatur!!!</w:t>
      </w:r>
    </w:p>
    <w:p w14:paraId="64E7FEDF" w14:textId="70CAB6C3" w:rsidR="00371FFE" w:rsidRDefault="00371FFE" w:rsidP="00371FFE">
      <w:r>
        <w:t>Den Äquivalenz-Punkt findet man durch Extrapolation (niedrigster Leitfähigkeitswert). Das heißt durch Verbinden der beiden Geraden. Der Äquivalenz-Punkt wird somit nicht gemessen, sondern graphisch ermittelt.</w:t>
      </w:r>
    </w:p>
    <w:p w14:paraId="2BD244FC" w14:textId="640D9DA8" w:rsidR="00371FFE" w:rsidRDefault="00371FFE" w:rsidP="00371FFE">
      <w:pPr>
        <w:rPr>
          <w:rFonts w:cs="Arial"/>
        </w:rPr>
      </w:pPr>
      <w:r>
        <w:rPr>
          <w:rFonts w:cs="Arial"/>
        </w:rPr>
        <w:t>Grundsätzlich sind noch folgende Punkte zu ergänzen: Die Gesamt-Leitfähigkeit setzt sich additiv aus den Leitfähigkeiten der einzelnen Ionen zusammen. Wenn eine hohe Fremdionen-Konzentration vorliegt, ist die Leitfähigkeitsänderung während der Titration zu gering. Dann ist die Konduktometrie ungeeignet. Die Konduktometrie ist eine preiswerte und leicht durchzuführende Methode, um den Äquivalenz-Punkt zu bestimmen und wird deshalb in der Industrie verwendet.</w:t>
      </w:r>
    </w:p>
    <w:p w14:paraId="79662239" w14:textId="7A798E9A" w:rsidR="00371FFE" w:rsidRDefault="00371FFE" w:rsidP="00371FFE">
      <w:pPr>
        <w:pStyle w:val="berschrift1"/>
      </w:pPr>
      <w:bookmarkStart w:id="7" w:name="_Toc55549419"/>
      <w:r>
        <w:t>Verfahren</w:t>
      </w:r>
      <w:bookmarkEnd w:id="7"/>
    </w:p>
    <w:p w14:paraId="24609ACA" w14:textId="3E99D47B" w:rsidR="00371FFE" w:rsidRDefault="00371FFE" w:rsidP="00371FFE">
      <w:pPr>
        <w:rPr>
          <w:rFonts w:cs="Arial"/>
        </w:rPr>
      </w:pPr>
      <w:r>
        <w:rPr>
          <w:rFonts w:cs="Arial"/>
        </w:rPr>
        <w:t>Man misst in einer Leitfähigkeitszelle, d. h. ein Gefäß mit Platin-Elektroden und Rühr-Vorrichtung. Der Widerstand „R“ (Leitfähigkeit ist der reziproke Wert des Widerstandes) (R = U / I) wird gemessen und daraus die Leitfähigkeit bestimmt. Heute verwendet man ausschließlich elektronische Messgeräte (Konduktometer). Bei der Leitfähigkeitstitration wird mit Wechselstrom gearbeitet, damit keine Elektrolyse eintritt.</w:t>
      </w:r>
    </w:p>
    <w:p w14:paraId="2E793C1D" w14:textId="222D12F4" w:rsidR="00371FFE" w:rsidRDefault="00371FFE" w:rsidP="00371FFE">
      <w:pPr>
        <w:pStyle w:val="berschrift1"/>
      </w:pPr>
      <w:bookmarkStart w:id="8" w:name="_Toc55549420"/>
      <w:r>
        <w:lastRenderedPageBreak/>
        <w:t>Anwendungen</w:t>
      </w:r>
      <w:bookmarkEnd w:id="8"/>
    </w:p>
    <w:p w14:paraId="7B42EFD4" w14:textId="485D2CB8" w:rsidR="00371FFE" w:rsidRDefault="00371FFE" w:rsidP="00371FFE">
      <w:pPr>
        <w:pStyle w:val="Liste1Aufzhlung"/>
      </w:pPr>
      <w:r>
        <w:t>Neutralisationsvorgänge (Säure-Base-Titrationen): Starke Säuren und Basen lassen sich auch bis zu sehr großen Verdünnungen exakt konduktometrisch bestimmen. Allerdings muss man CO</w:t>
      </w:r>
      <w:r>
        <w:rPr>
          <w:vertAlign w:val="subscript"/>
        </w:rPr>
        <w:t>2</w:t>
      </w:r>
      <w:r>
        <w:t>-freie Laugen und zum Verdünnen CO</w:t>
      </w:r>
      <w:r>
        <w:rPr>
          <w:vertAlign w:val="subscript"/>
        </w:rPr>
        <w:t>2</w:t>
      </w:r>
      <w:r>
        <w:t>-freies Wasser verwenden.</w:t>
      </w:r>
    </w:p>
    <w:p w14:paraId="39895F2B" w14:textId="3FB26F4E" w:rsidR="00371FFE" w:rsidRPr="00371FFE" w:rsidRDefault="00371FFE" w:rsidP="00371FFE">
      <w:pPr>
        <w:pStyle w:val="Liste1Aufzhlung"/>
      </w:pPr>
      <w:r>
        <w:rPr>
          <w:rFonts w:cs="Arial"/>
        </w:rPr>
        <w:t>Fällungstitrationen: Besonders wichtig ist die konduktometrische Fällungsanalyse, da es viele analytisch wichtige Fällungsreaktionen gibt, für deren Äquivalenzpunkt-Erkennung ein geeigneter Indikator fehlt.</w:t>
      </w:r>
    </w:p>
    <w:p w14:paraId="3B64EB90" w14:textId="473C7941" w:rsidR="00371FFE" w:rsidRDefault="00371FFE" w:rsidP="00371FFE">
      <w:pPr>
        <w:pStyle w:val="Formeln"/>
        <w:rPr>
          <w:sz w:val="24"/>
          <w:szCs w:val="20"/>
        </w:rPr>
      </w:pPr>
      <w:r w:rsidRPr="00371FFE">
        <w:rPr>
          <w:sz w:val="24"/>
          <w:szCs w:val="20"/>
        </w:rPr>
        <w:t xml:space="preserve">Natriumbromid + Silberacetat </w:t>
      </w:r>
      <w:r w:rsidRPr="00371FFE">
        <w:rPr>
          <w:rFonts w:cs="Arial"/>
          <w:sz w:val="24"/>
          <w:szCs w:val="20"/>
        </w:rPr>
        <w:t>→</w:t>
      </w:r>
      <w:r w:rsidRPr="00371FFE">
        <w:rPr>
          <w:sz w:val="24"/>
          <w:szCs w:val="20"/>
        </w:rPr>
        <w:t xml:space="preserve"> Silberbromid + Natrium-Kationen + Acetat-Anionen</w:t>
      </w:r>
    </w:p>
    <w:p w14:paraId="76048D33" w14:textId="6E7E6F51" w:rsidR="00371FFE" w:rsidRPr="007556B2" w:rsidRDefault="007556B2" w:rsidP="00371FFE">
      <w:pPr>
        <w:pStyle w:val="Formeln"/>
        <w:rPr>
          <w:rFonts w:eastAsiaTheme="minorEastAsia"/>
          <w:lang w:val="en-US"/>
        </w:rPr>
      </w:pPr>
      <m:oMathPara>
        <m:oMath>
          <m:sSup>
            <m:sSupPr>
              <m:ctrlPr>
                <w:rPr>
                  <w:rFonts w:ascii="Cambria Math" w:hAnsi="Cambria Math"/>
                </w:rPr>
              </m:ctrlPr>
            </m:sSupPr>
            <m:e>
              <m:r>
                <m:rPr>
                  <m:nor/>
                </m:rPr>
                <w:rPr>
                  <w:lang w:val="en-US"/>
                </w:rPr>
                <m:t>Na</m:t>
              </m:r>
            </m:e>
            <m:sup>
              <m:r>
                <m:rPr>
                  <m:nor/>
                </m:rPr>
                <w:rPr>
                  <w:lang w:val="en-US"/>
                </w:rPr>
                <m:t>+</m:t>
              </m:r>
            </m:sup>
          </m:sSup>
          <m:r>
            <m:rPr>
              <m:nor/>
            </m:rPr>
            <w:rPr>
              <w:lang w:val="en-US"/>
            </w:rPr>
            <m:t xml:space="preserve"> + </m:t>
          </m:r>
          <m:sSup>
            <m:sSupPr>
              <m:ctrlPr>
                <w:rPr>
                  <w:rFonts w:ascii="Cambria Math" w:hAnsi="Cambria Math"/>
                </w:rPr>
              </m:ctrlPr>
            </m:sSupPr>
            <m:e>
              <m:r>
                <m:rPr>
                  <m:nor/>
                </m:rPr>
                <w:rPr>
                  <w:lang w:val="en-US"/>
                </w:rPr>
                <m:t>Br</m:t>
              </m:r>
            </m:e>
            <m:sup>
              <m:r>
                <m:rPr>
                  <m:nor/>
                </m:rPr>
                <w:rPr>
                  <w:lang w:val="en-US"/>
                </w:rPr>
                <m:t>-</m:t>
              </m:r>
            </m:sup>
          </m:sSup>
          <m:r>
            <m:rPr>
              <m:nor/>
            </m:rPr>
            <w:rPr>
              <w:lang w:val="en-US"/>
            </w:rPr>
            <m:t xml:space="preserve"> + </m:t>
          </m:r>
          <m:sSup>
            <m:sSupPr>
              <m:ctrlPr>
                <w:rPr>
                  <w:rFonts w:ascii="Cambria Math" w:hAnsi="Cambria Math"/>
                </w:rPr>
              </m:ctrlPr>
            </m:sSupPr>
            <m:e>
              <m:r>
                <m:rPr>
                  <m:nor/>
                </m:rPr>
                <w:rPr>
                  <w:lang w:val="en-US"/>
                </w:rPr>
                <m:t>Ag</m:t>
              </m:r>
            </m:e>
            <m:sup>
              <m:r>
                <m:rPr>
                  <m:nor/>
                </m:rPr>
                <w:rPr>
                  <w:lang w:val="en-US"/>
                </w:rPr>
                <m:t>+</m:t>
              </m:r>
            </m:sup>
          </m:sSup>
          <m:r>
            <m:rPr>
              <m:nor/>
            </m:rPr>
            <w:rPr>
              <w:lang w:val="en-US"/>
            </w:rPr>
            <m:t xml:space="preserve"> + </m:t>
          </m:r>
          <m:sSub>
            <m:sSubPr>
              <m:ctrlPr>
                <w:rPr>
                  <w:rFonts w:ascii="Cambria Math" w:hAnsi="Cambria Math"/>
                </w:rPr>
              </m:ctrlPr>
            </m:sSubPr>
            <m:e>
              <m:r>
                <m:rPr>
                  <m:nor/>
                </m:rPr>
                <w:rPr>
                  <w:lang w:val="en-US"/>
                </w:rPr>
                <m:t>CH</m:t>
              </m:r>
            </m:e>
            <m:sub>
              <m:r>
                <m:rPr>
                  <m:nor/>
                </m:rPr>
                <w:rPr>
                  <w:lang w:val="en-US"/>
                </w:rPr>
                <m:t>3</m:t>
              </m:r>
            </m:sub>
          </m:sSub>
          <m:sSup>
            <m:sSupPr>
              <m:ctrlPr>
                <w:rPr>
                  <w:rFonts w:ascii="Cambria Math" w:hAnsi="Cambria Math"/>
                </w:rPr>
              </m:ctrlPr>
            </m:sSupPr>
            <m:e>
              <m:r>
                <m:rPr>
                  <m:nor/>
                </m:rPr>
                <w:rPr>
                  <w:lang w:val="en-US"/>
                </w:rPr>
                <m:t>COO</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AgBr↓ + </m:t>
          </m:r>
          <m:sSup>
            <m:sSupPr>
              <m:ctrlPr>
                <w:rPr>
                  <w:rFonts w:ascii="Cambria Math" w:hAnsi="Cambria Math"/>
                </w:rPr>
              </m:ctrlPr>
            </m:sSupPr>
            <m:e>
              <m:r>
                <m:rPr>
                  <m:nor/>
                </m:rPr>
                <w:rPr>
                  <w:lang w:val="en-US"/>
                </w:rPr>
                <m:t>Na</m:t>
              </m:r>
            </m:e>
            <m:sup>
              <m:r>
                <m:rPr>
                  <m:nor/>
                </m:rPr>
                <w:rPr>
                  <w:lang w:val="en-US"/>
                </w:rPr>
                <m:t>+</m:t>
              </m:r>
            </m:sup>
          </m:sSup>
          <m:r>
            <m:rPr>
              <m:nor/>
            </m:rPr>
            <w:rPr>
              <w:lang w:val="en-US"/>
            </w:rPr>
            <m:t xml:space="preserve"> + </m:t>
          </m:r>
          <m:sSub>
            <m:sSubPr>
              <m:ctrlPr>
                <w:rPr>
                  <w:rFonts w:ascii="Cambria Math" w:hAnsi="Cambria Math"/>
                </w:rPr>
              </m:ctrlPr>
            </m:sSubPr>
            <m:e>
              <m:r>
                <m:rPr>
                  <m:nor/>
                </m:rPr>
                <w:rPr>
                  <w:lang w:val="en-US"/>
                </w:rPr>
                <m:t>CH</m:t>
              </m:r>
            </m:e>
            <m:sub>
              <m:r>
                <m:rPr>
                  <m:nor/>
                </m:rPr>
                <w:rPr>
                  <w:lang w:val="en-US"/>
                </w:rPr>
                <m:t>3</m:t>
              </m:r>
            </m:sub>
          </m:sSub>
          <m:sSup>
            <m:sSupPr>
              <m:ctrlPr>
                <w:rPr>
                  <w:rFonts w:ascii="Cambria Math" w:hAnsi="Cambria Math"/>
                </w:rPr>
              </m:ctrlPr>
            </m:sSupPr>
            <m:e>
              <m:r>
                <m:rPr>
                  <m:nor/>
                </m:rPr>
                <w:rPr>
                  <w:lang w:val="en-US"/>
                </w:rPr>
                <m:t>COO</m:t>
              </m:r>
            </m:e>
            <m:sup>
              <m:r>
                <m:rPr>
                  <m:nor/>
                </m:rPr>
                <w:rPr>
                  <w:lang w:val="en-US"/>
                </w:rPr>
                <m:t>-</m:t>
              </m:r>
            </m:sup>
          </m:sSup>
        </m:oMath>
      </m:oMathPara>
    </w:p>
    <w:p w14:paraId="03815AE9" w14:textId="0C5649C9" w:rsidR="00371FFE" w:rsidRDefault="00371FFE" w:rsidP="00371FFE">
      <w:pPr>
        <w:pStyle w:val="berschrift1"/>
      </w:pPr>
      <w:bookmarkStart w:id="9" w:name="_Toc55549421"/>
      <w:r>
        <w:t>Praktische Anwendungsbereiche</w:t>
      </w:r>
      <w:bookmarkEnd w:id="9"/>
    </w:p>
    <w:p w14:paraId="1AE55D0A" w14:textId="77777777" w:rsidR="00371FFE" w:rsidRPr="00371FFE" w:rsidRDefault="00371FFE" w:rsidP="00371FFE">
      <w:pPr>
        <w:pStyle w:val="Liste1Aufzhlung"/>
      </w:pPr>
      <w:r w:rsidRPr="00371FFE">
        <w:t xml:space="preserve">Kontrolle der Reinheit von Lösungen (Beispiel: demineralisiertes Wasser) </w:t>
      </w:r>
    </w:p>
    <w:p w14:paraId="6C2F01E0" w14:textId="77777777" w:rsidR="00371FFE" w:rsidRPr="00371FFE" w:rsidRDefault="00371FFE" w:rsidP="00371FFE">
      <w:pPr>
        <w:pStyle w:val="Liste1Aufzhlung"/>
      </w:pPr>
      <w:r w:rsidRPr="00371FFE">
        <w:t xml:space="preserve">Kontrolle von Titrationen (als Indikator) </w:t>
      </w:r>
    </w:p>
    <w:p w14:paraId="6267E5E2" w14:textId="5B5DCFB2" w:rsidR="00371FFE" w:rsidRPr="00371FFE" w:rsidRDefault="00371FFE" w:rsidP="00371FFE">
      <w:pPr>
        <w:pStyle w:val="Liste1Aufzhlung"/>
      </w:pPr>
      <w:r w:rsidRPr="00371FFE">
        <w:t>Bestimmung der Konzentration (Säurebad, Salz</w:t>
      </w:r>
      <w:r>
        <w:t>-L</w:t>
      </w:r>
      <w:r w:rsidRPr="00371FFE">
        <w:t>ösung) mit Eichkurven, Tabellen</w:t>
      </w:r>
    </w:p>
    <w:p w14:paraId="46EB0484" w14:textId="09FCD6EC" w:rsidR="00371FFE" w:rsidRPr="00371FFE" w:rsidRDefault="00371FFE" w:rsidP="00371FFE">
      <w:pPr>
        <w:pStyle w:val="Liste1Aufzhlung"/>
      </w:pPr>
      <w:r w:rsidRPr="00371FFE">
        <w:t>Bestimmung der Gesamtheit aller Elektrolyte (Wasser</w:t>
      </w:r>
      <w:r>
        <w:t>-A</w:t>
      </w:r>
      <w:r w:rsidRPr="00371FFE">
        <w:t xml:space="preserve">nalyse, Medizin) </w:t>
      </w:r>
    </w:p>
    <w:p w14:paraId="65596EA5" w14:textId="3FF4387B" w:rsidR="00371FFE" w:rsidRDefault="00371FFE" w:rsidP="00371FFE">
      <w:pPr>
        <w:pStyle w:val="Zusammenfassung"/>
      </w:pPr>
      <w:r w:rsidRPr="00371FFE">
        <w:rPr>
          <w:rStyle w:val="Fett"/>
        </w:rPr>
        <w:t>Zusammenfassung</w:t>
      </w:r>
      <w:r>
        <w:t xml:space="preserve">: </w:t>
      </w:r>
    </w:p>
    <w:p w14:paraId="68EB7785" w14:textId="04FAA7E0" w:rsidR="00371FFE" w:rsidRPr="00371FFE" w:rsidRDefault="00371FFE" w:rsidP="00371FFE">
      <w:pPr>
        <w:pStyle w:val="Zusammenfassung"/>
        <w:numPr>
          <w:ilvl w:val="2"/>
          <w:numId w:val="15"/>
        </w:numPr>
      </w:pPr>
      <w:r w:rsidRPr="00371FFE">
        <w:t>Bei der Konduktometrie beobachtet man die Änderung der Leitfähigkeit in Abhängigkeit der zugegebenen Maßlösung.</w:t>
      </w:r>
    </w:p>
    <w:p w14:paraId="2C551178" w14:textId="38D66A07" w:rsidR="00371FFE" w:rsidRPr="00371FFE" w:rsidRDefault="00371FFE" w:rsidP="00371FFE">
      <w:pPr>
        <w:pStyle w:val="Zusammenfassung"/>
        <w:numPr>
          <w:ilvl w:val="2"/>
          <w:numId w:val="15"/>
        </w:numPr>
      </w:pPr>
      <w:r w:rsidRPr="00371FFE">
        <w:t>Das Minimum der Gesamt</w:t>
      </w:r>
      <w:r>
        <w:t>-L</w:t>
      </w:r>
      <w:r w:rsidRPr="00371FFE">
        <w:t>eitfähigkeit zeigt den Äquivalenz</w:t>
      </w:r>
      <w:r>
        <w:t>-P</w:t>
      </w:r>
      <w:r w:rsidRPr="00371FFE">
        <w:t>unkt an. Das Minimum wird durch Extrapolation bestimmt.</w:t>
      </w:r>
    </w:p>
    <w:p w14:paraId="6AB76A5E" w14:textId="16CB05C6" w:rsidR="00371FFE" w:rsidRPr="00371FFE" w:rsidRDefault="00371FFE" w:rsidP="00371FFE">
      <w:pPr>
        <w:pStyle w:val="EinstiegAbschluss"/>
      </w:pPr>
      <w:r>
        <w:rPr>
          <w:b/>
          <w:bCs/>
        </w:rPr>
        <w:t>Abschluss:</w:t>
      </w:r>
      <w:r>
        <w:t xml:space="preserve"> Während des Vortrags haben wir gesehen, dass im Grund-Praktikum nicht unbedingt die schnellsten und einfachsten Titration-Methoden angewendet werden. Die Konduktometrie ist eine vielseitig einsetzbare Methode, weshalb sie irgendwann im Studium Erwähnung finden sollte. Durch diesen Vortrag solltet ihr einen recht guten Einblick in die Theorie und Praxis dieser Methode bekommen haben.</w:t>
      </w:r>
    </w:p>
    <w:p w14:paraId="2A8C06EE" w14:textId="1CA16502" w:rsidR="00931B30" w:rsidRDefault="00931B30" w:rsidP="00931B30">
      <w:pPr>
        <w:rPr>
          <w:b/>
          <w:bCs/>
        </w:rPr>
      </w:pPr>
      <w:r w:rsidRPr="000E61E0">
        <w:rPr>
          <w:b/>
          <w:bCs/>
        </w:rPr>
        <w:t>Quellen:</w:t>
      </w:r>
    </w:p>
    <w:p w14:paraId="1CFC7EA0" w14:textId="57E0ACAC" w:rsidR="00AB7432" w:rsidRDefault="00AB7432" w:rsidP="00AB7432">
      <w:pPr>
        <w:pStyle w:val="AufzhlungStandard"/>
      </w:pPr>
      <w:bookmarkStart w:id="10" w:name="_Ref55548640"/>
      <w:proofErr w:type="spellStart"/>
      <w:r>
        <w:t>Jander</w:t>
      </w:r>
      <w:proofErr w:type="spellEnd"/>
      <w:r>
        <w:t>, G., Jahr, K. (fortgeführt von Schulze, G., Simon, J.): Maßanalyse. Theorie und Praxis der Titrationen mit chemischen und physikalischen Indikatoren, 16. Aufl., Berlin/New York 2003</w:t>
      </w:r>
      <w:bookmarkEnd w:id="10"/>
    </w:p>
    <w:p w14:paraId="1D92745A" w14:textId="614D39D8" w:rsidR="00AB7432" w:rsidRDefault="00AB7432" w:rsidP="00AB7432">
      <w:pPr>
        <w:pStyle w:val="AufzhlungStandard"/>
      </w:pPr>
      <w:bookmarkStart w:id="11" w:name="_Ref55548963"/>
      <w:proofErr w:type="spellStart"/>
      <w:r>
        <w:t>Jander</w:t>
      </w:r>
      <w:proofErr w:type="spellEnd"/>
      <w:r>
        <w:t>, G., Jahr, K., Knoll, H.: Maßanalyse. Theorie und Praxis der klassischen und der elektrochemischen Titrierverfahren, 13. Aufl., Berlin/New York 1973</w:t>
      </w:r>
      <w:bookmarkEnd w:id="11"/>
    </w:p>
    <w:p w14:paraId="16866B54" w14:textId="6AB0FADE" w:rsidR="00AB7432" w:rsidRDefault="00AB7432" w:rsidP="00AB7432">
      <w:pPr>
        <w:pStyle w:val="AufzhlungStandard"/>
      </w:pPr>
      <w:r>
        <w:t>Kunze, Udo R., Schwedt, G.: Grundlagen der qualitativen und quantitativen Analyse, 5. Aufl., Weinheim 2002</w:t>
      </w:r>
    </w:p>
    <w:p w14:paraId="3DD025B2" w14:textId="63FE693F" w:rsidR="00AB7432" w:rsidRDefault="007556B2" w:rsidP="00AB7432">
      <w:pPr>
        <w:pStyle w:val="AufzhlungStandard"/>
      </w:pPr>
      <w:hyperlink r:id="rId13" w:history="1">
        <w:r w:rsidR="00AB7432">
          <w:rPr>
            <w:rStyle w:val="Hyperlink"/>
            <w:rFonts w:cs="Arial"/>
          </w:rPr>
          <w:t>http://www.chemie.de/lexikon/d/Konduktometrie</w:t>
        </w:r>
      </w:hyperlink>
      <w:r w:rsidR="00AB7432">
        <w:t>; (05.07.2016).</w:t>
      </w:r>
    </w:p>
    <w:sectPr w:rsidR="00AB7432" w:rsidSect="009B4835">
      <w:footerReference w:type="default" r:id="rId14"/>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AB7432" w:rsidRDefault="00AB7432" w:rsidP="005A7DCE">
      <w:pPr>
        <w:spacing w:before="0"/>
      </w:pPr>
      <w:r>
        <w:separator/>
      </w:r>
    </w:p>
  </w:endnote>
  <w:endnote w:type="continuationSeparator" w:id="0">
    <w:p w14:paraId="3214F425" w14:textId="77777777" w:rsidR="00AB7432" w:rsidRDefault="00AB7432"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AB7432" w:rsidRDefault="00AB7432">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C3A4D40" w:rsidR="00AB7432" w:rsidRDefault="00AB7432">
        <w:pPr>
          <w:pStyle w:val="Fuzeile"/>
          <w:jc w:val="center"/>
        </w:pPr>
        <w:r>
          <w:fldChar w:fldCharType="begin"/>
        </w:r>
        <w:r>
          <w:instrText>PAGE    \* MERGEFORMAT</w:instrText>
        </w:r>
        <w:r>
          <w:fldChar w:fldCharType="separate"/>
        </w:r>
        <w:r w:rsidR="007556B2">
          <w:rPr>
            <w:noProof/>
          </w:rPr>
          <w:t>3</w:t>
        </w:r>
        <w:r>
          <w:fldChar w:fldCharType="end"/>
        </w:r>
      </w:p>
    </w:sdtContent>
  </w:sdt>
  <w:p w14:paraId="69DF8B39" w14:textId="77777777" w:rsidR="00AB7432" w:rsidRDefault="00AB74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AB7432" w:rsidRDefault="00AB7432" w:rsidP="005A7DCE">
      <w:pPr>
        <w:spacing w:before="0"/>
      </w:pPr>
      <w:r>
        <w:separator/>
      </w:r>
    </w:p>
  </w:footnote>
  <w:footnote w:type="continuationSeparator" w:id="0">
    <w:p w14:paraId="026CC8B6" w14:textId="77777777" w:rsidR="00AB7432" w:rsidRDefault="00AB7432"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613"/>
    <w:multiLevelType w:val="multilevel"/>
    <w:tmpl w:val="03EA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5062D3F"/>
    <w:multiLevelType w:val="multilevel"/>
    <w:tmpl w:val="23B0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A1067FB"/>
    <w:multiLevelType w:val="multilevel"/>
    <w:tmpl w:val="D02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6"/>
  </w:num>
  <w:num w:numId="21">
    <w:abstractNumId w:val="7"/>
  </w:num>
  <w:num w:numId="22">
    <w:abstractNumId w:val="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3663A"/>
    <w:rsid w:val="0036111E"/>
    <w:rsid w:val="00371FFE"/>
    <w:rsid w:val="004A4B07"/>
    <w:rsid w:val="005633FE"/>
    <w:rsid w:val="005A7DCE"/>
    <w:rsid w:val="007161D1"/>
    <w:rsid w:val="007514D3"/>
    <w:rsid w:val="007556B2"/>
    <w:rsid w:val="00783295"/>
    <w:rsid w:val="007B2C80"/>
    <w:rsid w:val="007F18E1"/>
    <w:rsid w:val="008117E4"/>
    <w:rsid w:val="00825BFE"/>
    <w:rsid w:val="00850560"/>
    <w:rsid w:val="00883728"/>
    <w:rsid w:val="008A524D"/>
    <w:rsid w:val="00931B30"/>
    <w:rsid w:val="009710A6"/>
    <w:rsid w:val="009B4835"/>
    <w:rsid w:val="00A21130"/>
    <w:rsid w:val="00A5383F"/>
    <w:rsid w:val="00AA5D66"/>
    <w:rsid w:val="00AB7432"/>
    <w:rsid w:val="00AB7E4B"/>
    <w:rsid w:val="00AE53F0"/>
    <w:rsid w:val="00AF7672"/>
    <w:rsid w:val="00B10DD4"/>
    <w:rsid w:val="00B85024"/>
    <w:rsid w:val="00C511E6"/>
    <w:rsid w:val="00CA413D"/>
    <w:rsid w:val="00CE076E"/>
    <w:rsid w:val="00D97908"/>
    <w:rsid w:val="00E14DE1"/>
    <w:rsid w:val="00E20AF3"/>
    <w:rsid w:val="00E50811"/>
    <w:rsid w:val="00E54A99"/>
    <w:rsid w:val="00E8473B"/>
    <w:rsid w:val="00EA43D0"/>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AB7432"/>
    <w:rPr>
      <w:color w:val="0000FF" w:themeColor="followedHyperlink"/>
      <w:u w:val="single"/>
    </w:rPr>
  </w:style>
  <w:style w:type="character" w:styleId="Fett">
    <w:name w:val="Strong"/>
    <w:basedOn w:val="Absatz-Standardschriftart"/>
    <w:uiPriority w:val="22"/>
    <w:rsid w:val="00AB7432"/>
    <w:rPr>
      <w:b/>
      <w:bCs/>
    </w:rPr>
  </w:style>
  <w:style w:type="table" w:styleId="Tabellenraster">
    <w:name w:val="Table Grid"/>
    <w:basedOn w:val="NormaleTabelle"/>
    <w:uiPriority w:val="39"/>
    <w:rsid w:val="00AB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71F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5203">
      <w:bodyDiv w:val="1"/>
      <w:marLeft w:val="0"/>
      <w:marRight w:val="0"/>
      <w:marTop w:val="0"/>
      <w:marBottom w:val="0"/>
      <w:divBdr>
        <w:top w:val="none" w:sz="0" w:space="0" w:color="auto"/>
        <w:left w:val="none" w:sz="0" w:space="0" w:color="auto"/>
        <w:bottom w:val="none" w:sz="0" w:space="0" w:color="auto"/>
        <w:right w:val="none" w:sz="0" w:space="0" w:color="auto"/>
      </w:divBdr>
    </w:div>
    <w:div w:id="1714426277">
      <w:bodyDiv w:val="1"/>
      <w:marLeft w:val="0"/>
      <w:marRight w:val="0"/>
      <w:marTop w:val="0"/>
      <w:marBottom w:val="0"/>
      <w:divBdr>
        <w:top w:val="none" w:sz="0" w:space="0" w:color="auto"/>
        <w:left w:val="none" w:sz="0" w:space="0" w:color="auto"/>
        <w:bottom w:val="none" w:sz="0" w:space="0" w:color="auto"/>
        <w:right w:val="none" w:sz="0" w:space="0" w:color="auto"/>
      </w:divBdr>
    </w:div>
    <w:div w:id="1744988176">
      <w:bodyDiv w:val="1"/>
      <w:marLeft w:val="0"/>
      <w:marRight w:val="0"/>
      <w:marTop w:val="0"/>
      <w:marBottom w:val="0"/>
      <w:divBdr>
        <w:top w:val="none" w:sz="0" w:space="0" w:color="auto"/>
        <w:left w:val="none" w:sz="0" w:space="0" w:color="auto"/>
        <w:bottom w:val="none" w:sz="0" w:space="0" w:color="auto"/>
        <w:right w:val="none" w:sz="0" w:space="0" w:color="auto"/>
      </w:divBdr>
    </w:div>
    <w:div w:id="18234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mie.de/lexikon/d/Konduktomet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9563-85AD-457D-B126-651CBA24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2020-12-16T08:44:00Z</cp:lastPrinted>
  <dcterms:created xsi:type="dcterms:W3CDTF">2020-11-06T08:40:00Z</dcterms:created>
  <dcterms:modified xsi:type="dcterms:W3CDTF">2020-12-16T08:44:00Z</dcterms:modified>
</cp:coreProperties>
</file>