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AE6A01" w:rsidRDefault="00AE6A0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AE6A01" w:rsidRDefault="00AE6A0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316CB9AC" w:rsidR="00AE53F0" w:rsidRPr="00F84A8A" w:rsidRDefault="00E8473B" w:rsidP="00F84A8A">
      <w:pPr>
        <w:pStyle w:val="Seminar"/>
      </w:pPr>
      <w:r w:rsidRPr="00F84A8A">
        <w:t>Seminar</w:t>
      </w:r>
      <w:r w:rsidR="00FD7888" w:rsidRPr="00F84A8A">
        <w:t xml:space="preserve"> „Übungen im Vortragen –</w:t>
      </w:r>
      <w:r w:rsidR="00F84A8A">
        <w:t xml:space="preserve"> </w:t>
      </w:r>
      <w:r w:rsidR="00FD7888" w:rsidRPr="00F84A8A">
        <w:t>PC</w:t>
      </w:r>
      <w:r w:rsidR="00F84A8A">
        <w:t>, OC</w:t>
      </w:r>
      <w:r w:rsidR="00FD7888" w:rsidRPr="00F84A8A">
        <w:t>“</w:t>
      </w:r>
    </w:p>
    <w:p w14:paraId="61C6F5BC" w14:textId="62E82349" w:rsidR="00E8473B" w:rsidRDefault="00F84A8A" w:rsidP="005633FE">
      <w:pPr>
        <w:pStyle w:val="Titel"/>
      </w:pPr>
      <w:r>
        <w:t>Fluoreszenz</w:t>
      </w:r>
    </w:p>
    <w:p w14:paraId="28CE20D7" w14:textId="1F06626A" w:rsidR="00E8473B" w:rsidRDefault="00F84A8A" w:rsidP="00E8473B">
      <w:pPr>
        <w:pStyle w:val="Autor"/>
      </w:pPr>
      <w:r>
        <w:t xml:space="preserve">Johannes </w:t>
      </w:r>
      <w:proofErr w:type="spellStart"/>
      <w:r>
        <w:t>Bröckel</w:t>
      </w:r>
      <w:proofErr w:type="spellEnd"/>
      <w:r>
        <w:t>, SS 09; Stefanie Simon, SS 17</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0F33F317" w14:textId="687FA5BE" w:rsidR="0016460D"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3039808" w:history="1">
            <w:r w:rsidR="0016460D" w:rsidRPr="00C976B0">
              <w:rPr>
                <w:rStyle w:val="Hyperlink"/>
                <w:noProof/>
              </w:rPr>
              <w:t>1</w:t>
            </w:r>
            <w:r w:rsidR="0016460D">
              <w:rPr>
                <w:rFonts w:asciiTheme="minorHAnsi" w:eastAsiaTheme="minorEastAsia" w:hAnsiTheme="minorHAnsi"/>
                <w:noProof/>
                <w:sz w:val="22"/>
                <w:lang w:eastAsia="de-DE"/>
              </w:rPr>
              <w:tab/>
            </w:r>
            <w:r w:rsidR="0016460D" w:rsidRPr="00C976B0">
              <w:rPr>
                <w:rStyle w:val="Hyperlink"/>
                <w:noProof/>
              </w:rPr>
              <w:t>Einteilung der Lumineszenz</w:t>
            </w:r>
            <w:r w:rsidR="0016460D">
              <w:rPr>
                <w:noProof/>
                <w:webHidden/>
              </w:rPr>
              <w:tab/>
            </w:r>
            <w:r w:rsidR="0016460D">
              <w:rPr>
                <w:noProof/>
                <w:webHidden/>
              </w:rPr>
              <w:fldChar w:fldCharType="begin"/>
            </w:r>
            <w:r w:rsidR="0016460D">
              <w:rPr>
                <w:noProof/>
                <w:webHidden/>
              </w:rPr>
              <w:instrText xml:space="preserve"> PAGEREF _Toc53039808 \h </w:instrText>
            </w:r>
            <w:r w:rsidR="0016460D">
              <w:rPr>
                <w:noProof/>
                <w:webHidden/>
              </w:rPr>
            </w:r>
            <w:r w:rsidR="0016460D">
              <w:rPr>
                <w:noProof/>
                <w:webHidden/>
              </w:rPr>
              <w:fldChar w:fldCharType="separate"/>
            </w:r>
            <w:r w:rsidR="00C46857">
              <w:rPr>
                <w:noProof/>
                <w:webHidden/>
              </w:rPr>
              <w:t>1</w:t>
            </w:r>
            <w:r w:rsidR="0016460D">
              <w:rPr>
                <w:noProof/>
                <w:webHidden/>
              </w:rPr>
              <w:fldChar w:fldCharType="end"/>
            </w:r>
          </w:hyperlink>
        </w:p>
        <w:p w14:paraId="570166D6" w14:textId="1921D914" w:rsidR="0016460D" w:rsidRDefault="00C46857">
          <w:pPr>
            <w:pStyle w:val="Verzeichnis1"/>
            <w:tabs>
              <w:tab w:val="left" w:pos="480"/>
              <w:tab w:val="right" w:leader="dot" w:pos="9344"/>
            </w:tabs>
            <w:rPr>
              <w:rFonts w:asciiTheme="minorHAnsi" w:eastAsiaTheme="minorEastAsia" w:hAnsiTheme="minorHAnsi"/>
              <w:noProof/>
              <w:sz w:val="22"/>
              <w:lang w:eastAsia="de-DE"/>
            </w:rPr>
          </w:pPr>
          <w:hyperlink w:anchor="_Toc53039809" w:history="1">
            <w:r w:rsidR="0016460D" w:rsidRPr="00C976B0">
              <w:rPr>
                <w:rStyle w:val="Hyperlink"/>
                <w:noProof/>
              </w:rPr>
              <w:t>2</w:t>
            </w:r>
            <w:r w:rsidR="0016460D">
              <w:rPr>
                <w:rFonts w:asciiTheme="minorHAnsi" w:eastAsiaTheme="minorEastAsia" w:hAnsiTheme="minorHAnsi"/>
                <w:noProof/>
                <w:sz w:val="22"/>
                <w:lang w:eastAsia="de-DE"/>
              </w:rPr>
              <w:tab/>
            </w:r>
            <w:r w:rsidR="0016460D" w:rsidRPr="00C976B0">
              <w:rPr>
                <w:rStyle w:val="Hyperlink"/>
                <w:noProof/>
              </w:rPr>
              <w:t>Fluoreszenz</w:t>
            </w:r>
            <w:r w:rsidR="0016460D">
              <w:rPr>
                <w:noProof/>
                <w:webHidden/>
              </w:rPr>
              <w:tab/>
            </w:r>
            <w:r w:rsidR="0016460D">
              <w:rPr>
                <w:noProof/>
                <w:webHidden/>
              </w:rPr>
              <w:fldChar w:fldCharType="begin"/>
            </w:r>
            <w:r w:rsidR="0016460D">
              <w:rPr>
                <w:noProof/>
                <w:webHidden/>
              </w:rPr>
              <w:instrText xml:space="preserve"> PAGEREF _Toc53039809 \h </w:instrText>
            </w:r>
            <w:r w:rsidR="0016460D">
              <w:rPr>
                <w:noProof/>
                <w:webHidden/>
              </w:rPr>
            </w:r>
            <w:r w:rsidR="0016460D">
              <w:rPr>
                <w:noProof/>
                <w:webHidden/>
              </w:rPr>
              <w:fldChar w:fldCharType="separate"/>
            </w:r>
            <w:r>
              <w:rPr>
                <w:noProof/>
                <w:webHidden/>
              </w:rPr>
              <w:t>2</w:t>
            </w:r>
            <w:r w:rsidR="0016460D">
              <w:rPr>
                <w:noProof/>
                <w:webHidden/>
              </w:rPr>
              <w:fldChar w:fldCharType="end"/>
            </w:r>
          </w:hyperlink>
        </w:p>
        <w:p w14:paraId="6BD30365" w14:textId="64001678" w:rsidR="0016460D" w:rsidRDefault="00C46857">
          <w:pPr>
            <w:pStyle w:val="Verzeichnis2"/>
            <w:tabs>
              <w:tab w:val="left" w:pos="880"/>
              <w:tab w:val="right" w:leader="dot" w:pos="9344"/>
            </w:tabs>
            <w:rPr>
              <w:rFonts w:asciiTheme="minorHAnsi" w:eastAsiaTheme="minorEastAsia" w:hAnsiTheme="minorHAnsi"/>
              <w:noProof/>
              <w:sz w:val="22"/>
              <w:lang w:eastAsia="de-DE"/>
            </w:rPr>
          </w:pPr>
          <w:hyperlink w:anchor="_Toc53039810" w:history="1">
            <w:r w:rsidR="0016460D" w:rsidRPr="00C976B0">
              <w:rPr>
                <w:rStyle w:val="Hyperlink"/>
                <w:noProof/>
              </w:rPr>
              <w:t>2.1</w:t>
            </w:r>
            <w:r w:rsidR="0016460D">
              <w:rPr>
                <w:rFonts w:asciiTheme="minorHAnsi" w:eastAsiaTheme="minorEastAsia" w:hAnsiTheme="minorHAnsi"/>
                <w:noProof/>
                <w:sz w:val="22"/>
                <w:lang w:eastAsia="de-DE"/>
              </w:rPr>
              <w:tab/>
            </w:r>
            <w:r w:rsidR="0016460D" w:rsidRPr="00C976B0">
              <w:rPr>
                <w:rStyle w:val="Hyperlink"/>
                <w:noProof/>
              </w:rPr>
              <w:t>Aufbau des Jablónski-Diagramms</w:t>
            </w:r>
            <w:r w:rsidR="0016460D">
              <w:rPr>
                <w:noProof/>
                <w:webHidden/>
              </w:rPr>
              <w:tab/>
            </w:r>
            <w:r w:rsidR="0016460D">
              <w:rPr>
                <w:noProof/>
                <w:webHidden/>
              </w:rPr>
              <w:fldChar w:fldCharType="begin"/>
            </w:r>
            <w:r w:rsidR="0016460D">
              <w:rPr>
                <w:noProof/>
                <w:webHidden/>
              </w:rPr>
              <w:instrText xml:space="preserve"> PAGEREF _Toc53039810 \h </w:instrText>
            </w:r>
            <w:r w:rsidR="0016460D">
              <w:rPr>
                <w:noProof/>
                <w:webHidden/>
              </w:rPr>
            </w:r>
            <w:r w:rsidR="0016460D">
              <w:rPr>
                <w:noProof/>
                <w:webHidden/>
              </w:rPr>
              <w:fldChar w:fldCharType="separate"/>
            </w:r>
            <w:r>
              <w:rPr>
                <w:noProof/>
                <w:webHidden/>
              </w:rPr>
              <w:t>2</w:t>
            </w:r>
            <w:r w:rsidR="0016460D">
              <w:rPr>
                <w:noProof/>
                <w:webHidden/>
              </w:rPr>
              <w:fldChar w:fldCharType="end"/>
            </w:r>
          </w:hyperlink>
        </w:p>
        <w:p w14:paraId="193629DD" w14:textId="0AE17119" w:rsidR="0016460D" w:rsidRDefault="00C46857">
          <w:pPr>
            <w:pStyle w:val="Verzeichnis2"/>
            <w:tabs>
              <w:tab w:val="left" w:pos="880"/>
              <w:tab w:val="right" w:leader="dot" w:pos="9344"/>
            </w:tabs>
            <w:rPr>
              <w:rFonts w:asciiTheme="minorHAnsi" w:eastAsiaTheme="minorEastAsia" w:hAnsiTheme="minorHAnsi"/>
              <w:noProof/>
              <w:sz w:val="22"/>
              <w:lang w:eastAsia="de-DE"/>
            </w:rPr>
          </w:pPr>
          <w:hyperlink w:anchor="_Toc53039811" w:history="1">
            <w:r w:rsidR="0016460D" w:rsidRPr="00C976B0">
              <w:rPr>
                <w:rStyle w:val="Hyperlink"/>
                <w:noProof/>
              </w:rPr>
              <w:t>2.2</w:t>
            </w:r>
            <w:r w:rsidR="0016460D">
              <w:rPr>
                <w:rFonts w:asciiTheme="minorHAnsi" w:eastAsiaTheme="minorEastAsia" w:hAnsiTheme="minorHAnsi"/>
                <w:noProof/>
                <w:sz w:val="22"/>
                <w:lang w:eastAsia="de-DE"/>
              </w:rPr>
              <w:tab/>
            </w:r>
            <w:r w:rsidR="0016460D" w:rsidRPr="00C976B0">
              <w:rPr>
                <w:rStyle w:val="Hyperlink"/>
                <w:noProof/>
              </w:rPr>
              <w:t>Photophysikalische Prozesse im Jablónski-Diagramm</w:t>
            </w:r>
            <w:r w:rsidR="0016460D">
              <w:rPr>
                <w:noProof/>
                <w:webHidden/>
              </w:rPr>
              <w:tab/>
            </w:r>
            <w:r w:rsidR="0016460D">
              <w:rPr>
                <w:noProof/>
                <w:webHidden/>
              </w:rPr>
              <w:fldChar w:fldCharType="begin"/>
            </w:r>
            <w:r w:rsidR="0016460D">
              <w:rPr>
                <w:noProof/>
                <w:webHidden/>
              </w:rPr>
              <w:instrText xml:space="preserve"> PAGEREF _Toc53039811 \h </w:instrText>
            </w:r>
            <w:r w:rsidR="0016460D">
              <w:rPr>
                <w:noProof/>
                <w:webHidden/>
              </w:rPr>
            </w:r>
            <w:r w:rsidR="0016460D">
              <w:rPr>
                <w:noProof/>
                <w:webHidden/>
              </w:rPr>
              <w:fldChar w:fldCharType="separate"/>
            </w:r>
            <w:r>
              <w:rPr>
                <w:noProof/>
                <w:webHidden/>
              </w:rPr>
              <w:t>3</w:t>
            </w:r>
            <w:r w:rsidR="0016460D">
              <w:rPr>
                <w:noProof/>
                <w:webHidden/>
              </w:rPr>
              <w:fldChar w:fldCharType="end"/>
            </w:r>
          </w:hyperlink>
        </w:p>
        <w:p w14:paraId="4DF0B39D" w14:textId="2C8A5635" w:rsidR="0016460D" w:rsidRDefault="00C46857">
          <w:pPr>
            <w:pStyle w:val="Verzeichnis2"/>
            <w:tabs>
              <w:tab w:val="left" w:pos="880"/>
              <w:tab w:val="right" w:leader="dot" w:pos="9344"/>
            </w:tabs>
            <w:rPr>
              <w:rFonts w:asciiTheme="minorHAnsi" w:eastAsiaTheme="minorEastAsia" w:hAnsiTheme="minorHAnsi"/>
              <w:noProof/>
              <w:sz w:val="22"/>
              <w:lang w:eastAsia="de-DE"/>
            </w:rPr>
          </w:pPr>
          <w:hyperlink w:anchor="_Toc53039812" w:history="1">
            <w:r w:rsidR="0016460D" w:rsidRPr="00C976B0">
              <w:rPr>
                <w:rStyle w:val="Hyperlink"/>
                <w:noProof/>
              </w:rPr>
              <w:t>2.3</w:t>
            </w:r>
            <w:r w:rsidR="0016460D">
              <w:rPr>
                <w:rFonts w:asciiTheme="minorHAnsi" w:eastAsiaTheme="minorEastAsia" w:hAnsiTheme="minorHAnsi"/>
                <w:noProof/>
                <w:sz w:val="22"/>
                <w:lang w:eastAsia="de-DE"/>
              </w:rPr>
              <w:tab/>
            </w:r>
            <w:r w:rsidR="0016460D" w:rsidRPr="00C976B0">
              <w:rPr>
                <w:rStyle w:val="Hyperlink"/>
                <w:noProof/>
              </w:rPr>
              <w:t>Stokes’sche Verschiebung</w:t>
            </w:r>
            <w:r w:rsidR="0016460D">
              <w:rPr>
                <w:noProof/>
                <w:webHidden/>
              </w:rPr>
              <w:tab/>
            </w:r>
            <w:r w:rsidR="0016460D">
              <w:rPr>
                <w:noProof/>
                <w:webHidden/>
              </w:rPr>
              <w:fldChar w:fldCharType="begin"/>
            </w:r>
            <w:r w:rsidR="0016460D">
              <w:rPr>
                <w:noProof/>
                <w:webHidden/>
              </w:rPr>
              <w:instrText xml:space="preserve"> PAGEREF _Toc53039812 \h </w:instrText>
            </w:r>
            <w:r w:rsidR="0016460D">
              <w:rPr>
                <w:noProof/>
                <w:webHidden/>
              </w:rPr>
            </w:r>
            <w:r w:rsidR="0016460D">
              <w:rPr>
                <w:noProof/>
                <w:webHidden/>
              </w:rPr>
              <w:fldChar w:fldCharType="separate"/>
            </w:r>
            <w:r>
              <w:rPr>
                <w:noProof/>
                <w:webHidden/>
              </w:rPr>
              <w:t>3</w:t>
            </w:r>
            <w:r w:rsidR="0016460D">
              <w:rPr>
                <w:noProof/>
                <w:webHidden/>
              </w:rPr>
              <w:fldChar w:fldCharType="end"/>
            </w:r>
          </w:hyperlink>
        </w:p>
        <w:p w14:paraId="26276DF2" w14:textId="49FE84DC" w:rsidR="0016460D" w:rsidRDefault="00C46857">
          <w:pPr>
            <w:pStyle w:val="Verzeichnis1"/>
            <w:tabs>
              <w:tab w:val="left" w:pos="480"/>
              <w:tab w:val="right" w:leader="dot" w:pos="9344"/>
            </w:tabs>
            <w:rPr>
              <w:rFonts w:asciiTheme="minorHAnsi" w:eastAsiaTheme="minorEastAsia" w:hAnsiTheme="minorHAnsi"/>
              <w:noProof/>
              <w:sz w:val="22"/>
              <w:lang w:eastAsia="de-DE"/>
            </w:rPr>
          </w:pPr>
          <w:hyperlink w:anchor="_Toc53039813" w:history="1">
            <w:r w:rsidR="0016460D" w:rsidRPr="00C976B0">
              <w:rPr>
                <w:rStyle w:val="Hyperlink"/>
                <w:noProof/>
              </w:rPr>
              <w:t>3</w:t>
            </w:r>
            <w:r w:rsidR="0016460D">
              <w:rPr>
                <w:rFonts w:asciiTheme="minorHAnsi" w:eastAsiaTheme="minorEastAsia" w:hAnsiTheme="minorHAnsi"/>
                <w:noProof/>
                <w:sz w:val="22"/>
                <w:lang w:eastAsia="de-DE"/>
              </w:rPr>
              <w:tab/>
            </w:r>
            <w:r w:rsidR="0016460D" w:rsidRPr="00C976B0">
              <w:rPr>
                <w:rStyle w:val="Hyperlink"/>
                <w:noProof/>
              </w:rPr>
              <w:t>Fluoreszenz-Anregung</w:t>
            </w:r>
            <w:r w:rsidR="0016460D">
              <w:rPr>
                <w:noProof/>
                <w:webHidden/>
              </w:rPr>
              <w:tab/>
            </w:r>
            <w:r w:rsidR="0016460D">
              <w:rPr>
                <w:noProof/>
                <w:webHidden/>
              </w:rPr>
              <w:fldChar w:fldCharType="begin"/>
            </w:r>
            <w:r w:rsidR="0016460D">
              <w:rPr>
                <w:noProof/>
                <w:webHidden/>
              </w:rPr>
              <w:instrText xml:space="preserve"> PAGEREF _Toc53039813 \h </w:instrText>
            </w:r>
            <w:r w:rsidR="0016460D">
              <w:rPr>
                <w:noProof/>
                <w:webHidden/>
              </w:rPr>
            </w:r>
            <w:r w:rsidR="0016460D">
              <w:rPr>
                <w:noProof/>
                <w:webHidden/>
              </w:rPr>
              <w:fldChar w:fldCharType="separate"/>
            </w:r>
            <w:r>
              <w:rPr>
                <w:noProof/>
                <w:webHidden/>
              </w:rPr>
              <w:t>3</w:t>
            </w:r>
            <w:r w:rsidR="0016460D">
              <w:rPr>
                <w:noProof/>
                <w:webHidden/>
              </w:rPr>
              <w:fldChar w:fldCharType="end"/>
            </w:r>
          </w:hyperlink>
        </w:p>
        <w:p w14:paraId="51B1A392" w14:textId="43162769" w:rsidR="0016460D" w:rsidRDefault="00C46857">
          <w:pPr>
            <w:pStyle w:val="Verzeichnis1"/>
            <w:tabs>
              <w:tab w:val="left" w:pos="480"/>
              <w:tab w:val="right" w:leader="dot" w:pos="9344"/>
            </w:tabs>
            <w:rPr>
              <w:rFonts w:asciiTheme="minorHAnsi" w:eastAsiaTheme="minorEastAsia" w:hAnsiTheme="minorHAnsi"/>
              <w:noProof/>
              <w:sz w:val="22"/>
              <w:lang w:eastAsia="de-DE"/>
            </w:rPr>
          </w:pPr>
          <w:hyperlink w:anchor="_Toc53039814" w:history="1">
            <w:r w:rsidR="0016460D" w:rsidRPr="00C976B0">
              <w:rPr>
                <w:rStyle w:val="Hyperlink"/>
                <w:noProof/>
              </w:rPr>
              <w:t>4</w:t>
            </w:r>
            <w:r w:rsidR="0016460D">
              <w:rPr>
                <w:rFonts w:asciiTheme="minorHAnsi" w:eastAsiaTheme="minorEastAsia" w:hAnsiTheme="minorHAnsi"/>
                <w:noProof/>
                <w:sz w:val="22"/>
                <w:lang w:eastAsia="de-DE"/>
              </w:rPr>
              <w:tab/>
            </w:r>
            <w:r w:rsidR="0016460D" w:rsidRPr="00C976B0">
              <w:rPr>
                <w:rStyle w:val="Hyperlink"/>
                <w:noProof/>
              </w:rPr>
              <w:t>Fluoreszierende Stoffe</w:t>
            </w:r>
            <w:r w:rsidR="0016460D">
              <w:rPr>
                <w:noProof/>
                <w:webHidden/>
              </w:rPr>
              <w:tab/>
            </w:r>
            <w:r w:rsidR="0016460D">
              <w:rPr>
                <w:noProof/>
                <w:webHidden/>
              </w:rPr>
              <w:fldChar w:fldCharType="begin"/>
            </w:r>
            <w:r w:rsidR="0016460D">
              <w:rPr>
                <w:noProof/>
                <w:webHidden/>
              </w:rPr>
              <w:instrText xml:space="preserve"> PAGEREF _Toc53039814 \h </w:instrText>
            </w:r>
            <w:r w:rsidR="0016460D">
              <w:rPr>
                <w:noProof/>
                <w:webHidden/>
              </w:rPr>
            </w:r>
            <w:r w:rsidR="0016460D">
              <w:rPr>
                <w:noProof/>
                <w:webHidden/>
              </w:rPr>
              <w:fldChar w:fldCharType="separate"/>
            </w:r>
            <w:r>
              <w:rPr>
                <w:noProof/>
                <w:webHidden/>
              </w:rPr>
              <w:t>5</w:t>
            </w:r>
            <w:r w:rsidR="0016460D">
              <w:rPr>
                <w:noProof/>
                <w:webHidden/>
              </w:rPr>
              <w:fldChar w:fldCharType="end"/>
            </w:r>
          </w:hyperlink>
        </w:p>
        <w:p w14:paraId="26DCFCE5" w14:textId="52249DC1" w:rsidR="0016460D" w:rsidRDefault="00C46857">
          <w:pPr>
            <w:pStyle w:val="Verzeichnis2"/>
            <w:tabs>
              <w:tab w:val="left" w:pos="880"/>
              <w:tab w:val="right" w:leader="dot" w:pos="9344"/>
            </w:tabs>
            <w:rPr>
              <w:rFonts w:asciiTheme="minorHAnsi" w:eastAsiaTheme="minorEastAsia" w:hAnsiTheme="minorHAnsi"/>
              <w:noProof/>
              <w:sz w:val="22"/>
              <w:lang w:eastAsia="de-DE"/>
            </w:rPr>
          </w:pPr>
          <w:hyperlink w:anchor="_Toc53039815" w:history="1">
            <w:r w:rsidR="0016460D" w:rsidRPr="00C976B0">
              <w:rPr>
                <w:rStyle w:val="Hyperlink"/>
                <w:noProof/>
              </w:rPr>
              <w:t>4.1</w:t>
            </w:r>
            <w:r w:rsidR="0016460D">
              <w:rPr>
                <w:rFonts w:asciiTheme="minorHAnsi" w:eastAsiaTheme="minorEastAsia" w:hAnsiTheme="minorHAnsi"/>
                <w:noProof/>
                <w:sz w:val="22"/>
                <w:lang w:eastAsia="de-DE"/>
              </w:rPr>
              <w:tab/>
            </w:r>
            <w:r w:rsidR="0016460D" w:rsidRPr="00C976B0">
              <w:rPr>
                <w:rStyle w:val="Hyperlink"/>
                <w:noProof/>
              </w:rPr>
              <w:t>Vorkommen</w:t>
            </w:r>
            <w:r w:rsidR="0016460D">
              <w:rPr>
                <w:noProof/>
                <w:webHidden/>
              </w:rPr>
              <w:tab/>
            </w:r>
            <w:r w:rsidR="0016460D">
              <w:rPr>
                <w:noProof/>
                <w:webHidden/>
              </w:rPr>
              <w:fldChar w:fldCharType="begin"/>
            </w:r>
            <w:r w:rsidR="0016460D">
              <w:rPr>
                <w:noProof/>
                <w:webHidden/>
              </w:rPr>
              <w:instrText xml:space="preserve"> PAGEREF _Toc53039815 \h </w:instrText>
            </w:r>
            <w:r w:rsidR="0016460D">
              <w:rPr>
                <w:noProof/>
                <w:webHidden/>
              </w:rPr>
            </w:r>
            <w:r w:rsidR="0016460D">
              <w:rPr>
                <w:noProof/>
                <w:webHidden/>
              </w:rPr>
              <w:fldChar w:fldCharType="separate"/>
            </w:r>
            <w:r>
              <w:rPr>
                <w:noProof/>
                <w:webHidden/>
              </w:rPr>
              <w:t>5</w:t>
            </w:r>
            <w:r w:rsidR="0016460D">
              <w:rPr>
                <w:noProof/>
                <w:webHidden/>
              </w:rPr>
              <w:fldChar w:fldCharType="end"/>
            </w:r>
          </w:hyperlink>
        </w:p>
        <w:p w14:paraId="06DEA367" w14:textId="56B73323" w:rsidR="0016460D" w:rsidRDefault="00C46857">
          <w:pPr>
            <w:pStyle w:val="Verzeichnis2"/>
            <w:tabs>
              <w:tab w:val="left" w:pos="880"/>
              <w:tab w:val="right" w:leader="dot" w:pos="9344"/>
            </w:tabs>
            <w:rPr>
              <w:rFonts w:asciiTheme="minorHAnsi" w:eastAsiaTheme="minorEastAsia" w:hAnsiTheme="minorHAnsi"/>
              <w:noProof/>
              <w:sz w:val="22"/>
              <w:lang w:eastAsia="de-DE"/>
            </w:rPr>
          </w:pPr>
          <w:hyperlink w:anchor="_Toc53039816" w:history="1">
            <w:r w:rsidR="0016460D" w:rsidRPr="00C976B0">
              <w:rPr>
                <w:rStyle w:val="Hyperlink"/>
                <w:noProof/>
              </w:rPr>
              <w:t>4.2</w:t>
            </w:r>
            <w:r w:rsidR="0016460D">
              <w:rPr>
                <w:rFonts w:asciiTheme="minorHAnsi" w:eastAsiaTheme="minorEastAsia" w:hAnsiTheme="minorHAnsi"/>
                <w:noProof/>
                <w:sz w:val="22"/>
                <w:lang w:eastAsia="de-DE"/>
              </w:rPr>
              <w:tab/>
            </w:r>
            <w:r w:rsidR="0016460D" w:rsidRPr="00C976B0">
              <w:rPr>
                <w:rStyle w:val="Hyperlink"/>
                <w:noProof/>
              </w:rPr>
              <w:t>Organische Fluoreszenz-Farbstoffklassen</w:t>
            </w:r>
            <w:r w:rsidR="0016460D">
              <w:rPr>
                <w:noProof/>
                <w:webHidden/>
              </w:rPr>
              <w:tab/>
            </w:r>
            <w:r w:rsidR="0016460D">
              <w:rPr>
                <w:noProof/>
                <w:webHidden/>
              </w:rPr>
              <w:fldChar w:fldCharType="begin"/>
            </w:r>
            <w:r w:rsidR="0016460D">
              <w:rPr>
                <w:noProof/>
                <w:webHidden/>
              </w:rPr>
              <w:instrText xml:space="preserve"> PAGEREF _Toc53039816 \h </w:instrText>
            </w:r>
            <w:r w:rsidR="0016460D">
              <w:rPr>
                <w:noProof/>
                <w:webHidden/>
              </w:rPr>
            </w:r>
            <w:r w:rsidR="0016460D">
              <w:rPr>
                <w:noProof/>
                <w:webHidden/>
              </w:rPr>
              <w:fldChar w:fldCharType="separate"/>
            </w:r>
            <w:r>
              <w:rPr>
                <w:noProof/>
                <w:webHidden/>
              </w:rPr>
              <w:t>7</w:t>
            </w:r>
            <w:r w:rsidR="0016460D">
              <w:rPr>
                <w:noProof/>
                <w:webHidden/>
              </w:rPr>
              <w:fldChar w:fldCharType="end"/>
            </w:r>
          </w:hyperlink>
        </w:p>
        <w:p w14:paraId="5AC765BB" w14:textId="262F6177" w:rsidR="009B4835" w:rsidRDefault="009B4835">
          <w:r>
            <w:rPr>
              <w:b/>
              <w:bCs/>
            </w:rPr>
            <w:fldChar w:fldCharType="end"/>
          </w:r>
        </w:p>
      </w:sdtContent>
    </w:sdt>
    <w:p w14:paraId="06CE8F08" w14:textId="60B4A189" w:rsidR="00FD7888" w:rsidRPr="00F84A8A" w:rsidRDefault="00FD7888" w:rsidP="00FD7888">
      <w:pPr>
        <w:pStyle w:val="EinstiegAbschluss"/>
      </w:pPr>
      <w:bookmarkStart w:id="0" w:name="_Überschrift_1"/>
      <w:bookmarkEnd w:id="0"/>
      <w:r w:rsidRPr="00F84A8A">
        <w:rPr>
          <w:rStyle w:val="Fett"/>
        </w:rPr>
        <w:t>Einstieg</w:t>
      </w:r>
      <w:r w:rsidR="00F84A8A" w:rsidRPr="00F84A8A">
        <w:rPr>
          <w:rStyle w:val="Fett"/>
        </w:rPr>
        <w:t xml:space="preserve"> 1</w:t>
      </w:r>
      <w:r>
        <w:t>:</w:t>
      </w:r>
      <w:r w:rsidR="00F84A8A">
        <w:t xml:space="preserve"> </w:t>
      </w:r>
      <w:r w:rsidR="00F84A8A">
        <w:rPr>
          <w:rFonts w:cs="Arial"/>
        </w:rPr>
        <w:t>In regelmäßigen Abständen ereignet sich ein Mysterium in allen Städten: zahlreiche Jugendliche pilgern in weißen T-Shirts in die Innenstadt. Grund dafür sind die Schwarzlicht-Partys. Das Phänomen der leuchtenden weißen T-Shirts unter Schwarzlicht in Diskotheken ist bekannt. Die physikalisch-chemische Grundlage für dieses Leuchten soll im Folgenden näher erläutert werden.</w:t>
      </w:r>
    </w:p>
    <w:p w14:paraId="0CA5F2CE" w14:textId="5A7A7CAE" w:rsidR="00F84A8A" w:rsidRDefault="00F84A8A" w:rsidP="00FD7888">
      <w:pPr>
        <w:pStyle w:val="EinstiegAbschluss"/>
      </w:pPr>
      <w:r>
        <w:rPr>
          <w:rFonts w:cs="Arial"/>
          <w:b/>
          <w:bCs/>
        </w:rPr>
        <w:t>Einstieg 2</w:t>
      </w:r>
      <w:r>
        <w:rPr>
          <w:rFonts w:cs="Arial"/>
        </w:rPr>
        <w:t>: Es ist Donnerstag-Abend, alle Jugendlichen sind in heller Aufregung und machen sich Gedanken über das Outfit für den heutigen Abend. Heute ist Schwarzlichtparty angesagt! Klassisch wählt man ein weißes T-Shirt und eine einfache Jeans. Man möchte schließlich aus der Masse herausstechen. Doch leider kann dies auch im negativen Sinne passieren. Denn auch die Wahl der Unterwäsche soll gut überlegt sein</w:t>
      </w:r>
      <w:r w:rsidR="00C46857">
        <w:rPr>
          <w:rFonts w:cs="Arial"/>
        </w:rPr>
        <w:t>:</w:t>
      </w:r>
      <w:r>
        <w:rPr>
          <w:rFonts w:cs="Arial"/>
        </w:rPr>
        <w:t xml:space="preserve"> weiße Unterwäsche kann durch dunklen Stoff hindurch scheinen und ein ungewolltes Highlight setzen. Die physikalisch-chemische Grundlage für dieses Leuchten soll im Folgenden näher erläutert werden.</w:t>
      </w:r>
    </w:p>
    <w:p w14:paraId="3D51DEDA" w14:textId="072FEC4E" w:rsidR="00E8473B" w:rsidRDefault="00F84A8A" w:rsidP="008A524D">
      <w:pPr>
        <w:pStyle w:val="berschrift1"/>
      </w:pPr>
      <w:bookmarkStart w:id="1" w:name="_Toc53039808"/>
      <w:r>
        <w:t>Einteilung der Lumineszenz</w:t>
      </w:r>
      <w:bookmarkEnd w:id="1"/>
    </w:p>
    <w:p w14:paraId="54892535" w14:textId="270BA5A6" w:rsidR="00F84A8A" w:rsidRDefault="00F84A8A" w:rsidP="00F84A8A">
      <w:pPr>
        <w:rPr>
          <w:rFonts w:cs="Arial"/>
        </w:rPr>
      </w:pPr>
      <w:r>
        <w:rPr>
          <w:rFonts w:cs="Arial"/>
        </w:rPr>
        <w:t xml:space="preserve">Die Fähigkeit eines Körpers zu leuchten, nennt man Lumineszenz (lat. </w:t>
      </w:r>
      <w:proofErr w:type="spellStart"/>
      <w:r>
        <w:rPr>
          <w:rStyle w:val="Hervorhebung"/>
          <w:rFonts w:cs="Arial"/>
        </w:rPr>
        <w:t>lumen</w:t>
      </w:r>
      <w:proofErr w:type="spellEnd"/>
      <w:r>
        <w:rPr>
          <w:rFonts w:cs="Arial"/>
        </w:rPr>
        <w:t xml:space="preserve"> = Licht). Leuchten bedeutet physikalisch die Emission von elektromagnetischer Strahlung. Diese kann aber nur nach Anregung des Systems erfolgen, wobei dies auf unterschiedliche Arten passieren kann. Bei einem Handydisplay wird das System dadurch angeregt, dass ein elektrisches Feld angeschlossen wird. Diese Art wird Elektrolumineszenz genannt. Ebenso handelt es sich bei </w:t>
      </w:r>
      <w:proofErr w:type="spellStart"/>
      <w:r>
        <w:rPr>
          <w:rFonts w:cs="Arial"/>
        </w:rPr>
        <w:t>Luminol</w:t>
      </w:r>
      <w:proofErr w:type="spellEnd"/>
      <w:r>
        <w:rPr>
          <w:rFonts w:cs="Arial"/>
        </w:rPr>
        <w:t xml:space="preserve"> um eine Art der Lumineszenz. Dieses ist durch zahlreiche Kriminalserien recht bekannt. Hier wird Energie aus der chemischen Reaktion von </w:t>
      </w:r>
      <w:proofErr w:type="spellStart"/>
      <w:r>
        <w:rPr>
          <w:rFonts w:cs="Arial"/>
        </w:rPr>
        <w:t>Luminol</w:t>
      </w:r>
      <w:proofErr w:type="spellEnd"/>
      <w:r>
        <w:rPr>
          <w:rFonts w:cs="Arial"/>
        </w:rPr>
        <w:t xml:space="preserve"> und Hämoglobin in Form von Licht frei - die sogenannte Chemolumineszenz. Wird hingegen ein System durch elektromagnetische Strahlung angeregt, so bezeichnet man dies allgemein als </w:t>
      </w:r>
      <w:proofErr w:type="spellStart"/>
      <w:r>
        <w:rPr>
          <w:rFonts w:cs="Arial"/>
        </w:rPr>
        <w:t>Photolumineszenz</w:t>
      </w:r>
      <w:proofErr w:type="spellEnd"/>
      <w:r>
        <w:rPr>
          <w:rFonts w:cs="Arial"/>
        </w:rPr>
        <w:t>. Man unterscheidet hier wiederum zwei Arten:</w:t>
      </w:r>
    </w:p>
    <w:p w14:paraId="04DE8A2E" w14:textId="680E4216" w:rsidR="00F84A8A" w:rsidRPr="00F84A8A" w:rsidRDefault="00F84A8A" w:rsidP="00F84A8A">
      <w:pPr>
        <w:pStyle w:val="Liste2Aufzhlung"/>
      </w:pPr>
      <w:r w:rsidRPr="00F84A8A">
        <w:rPr>
          <w:rStyle w:val="Fett"/>
        </w:rPr>
        <w:lastRenderedPageBreak/>
        <w:t>Fluoreszenz</w:t>
      </w:r>
      <w:r>
        <w:rPr>
          <w:rFonts w:cs="Arial"/>
        </w:rPr>
        <w:t xml:space="preserve">: Es erfolgt </w:t>
      </w:r>
      <w:r w:rsidRPr="00F84A8A">
        <w:rPr>
          <w:rFonts w:cs="Arial"/>
          <w:b/>
          <w:bCs/>
        </w:rPr>
        <w:t>kein</w:t>
      </w:r>
      <w:r>
        <w:rPr>
          <w:rFonts w:cs="Arial"/>
        </w:rPr>
        <w:t xml:space="preserve"> Nachleuchten bei Abschalten der Lichtquelle (z. B. Sternenhimmel im Kinderzimmer)</w:t>
      </w:r>
    </w:p>
    <w:p w14:paraId="060A4680" w14:textId="42C22E6F" w:rsidR="00F84A8A" w:rsidRPr="00F84A8A" w:rsidRDefault="00F84A8A" w:rsidP="00F84A8A">
      <w:pPr>
        <w:pStyle w:val="Liste2Aufzhlung"/>
      </w:pPr>
      <w:r w:rsidRPr="00F84A8A">
        <w:rPr>
          <w:rStyle w:val="Fett"/>
        </w:rPr>
        <w:t>Phosphoreszenz</w:t>
      </w:r>
      <w:r>
        <w:rPr>
          <w:rFonts w:cs="Arial"/>
        </w:rPr>
        <w:t xml:space="preserve">: Es erfolgt </w:t>
      </w:r>
      <w:r w:rsidRPr="00F84A8A">
        <w:rPr>
          <w:rStyle w:val="Fett"/>
        </w:rPr>
        <w:t>ein</w:t>
      </w:r>
      <w:r>
        <w:rPr>
          <w:rFonts w:cs="Arial"/>
        </w:rPr>
        <w:t xml:space="preserve"> Nachleuchten bei Abschalten der Lichtquelle (</w:t>
      </w:r>
      <w:r w:rsidR="0016460D">
        <w:rPr>
          <w:rFonts w:cs="Arial"/>
        </w:rPr>
        <w:t>z. B.</w:t>
      </w:r>
      <w:r>
        <w:rPr>
          <w:rFonts w:cs="Arial"/>
        </w:rPr>
        <w:t xml:space="preserve"> weißes T-Shirt unter UV-Lampe)</w:t>
      </w:r>
    </w:p>
    <w:p w14:paraId="072C9993" w14:textId="2C2F2B7A" w:rsidR="00F84A8A" w:rsidRDefault="00F84A8A" w:rsidP="00F84A8A">
      <w:pPr>
        <w:pStyle w:val="berschrift1"/>
      </w:pPr>
      <w:bookmarkStart w:id="2" w:name="_Toc53039809"/>
      <w:r>
        <w:t>Fluoreszenz</w:t>
      </w:r>
      <w:bookmarkEnd w:id="2"/>
    </w:p>
    <w:p w14:paraId="72A7F9FC" w14:textId="114DBD18" w:rsidR="00F84A8A" w:rsidRDefault="00F84A8A" w:rsidP="00F84A8A">
      <w:r>
        <w:t xml:space="preserve">Als Fluoreszenz wird die kurzzeitige, spontane Emission von Licht bezeichnet, die beim Übergang eines elektronisch angeregten Systems zurück in einen Zustand niedrigerer Energie erfolgt. Vereinfacht ausgedrückt ist damit ein Vorgang gemeint, bei dem durch elektromagnetische Strahlung (UV- oder Röntgen-Strahlung) ein </w:t>
      </w:r>
      <w:r w:rsidRPr="00F84A8A">
        <w:rPr>
          <w:rStyle w:val="RotZchn"/>
        </w:rPr>
        <w:t>Elektron auf ein angeregtes Niveau gehoben</w:t>
      </w:r>
      <w:r>
        <w:t xml:space="preserve"> wird. Kurz daraufhin kehrt dieses wieder in den </w:t>
      </w:r>
      <w:r w:rsidRPr="00F84A8A">
        <w:rPr>
          <w:rStyle w:val="GrnZchn"/>
        </w:rPr>
        <w:t>Grundzustand zurück</w:t>
      </w:r>
      <w:r>
        <w:t xml:space="preserve"> und gibt dabei ein </w:t>
      </w:r>
      <w:r w:rsidRPr="00F84A8A">
        <w:rPr>
          <w:rStyle w:val="BlauZchn"/>
        </w:rPr>
        <w:t>Photon im sichtbaren Spektral</w:t>
      </w:r>
      <w:r>
        <w:rPr>
          <w:rStyle w:val="BlauZchn"/>
        </w:rPr>
        <w:t>-B</w:t>
      </w:r>
      <w:r w:rsidRPr="00F84A8A">
        <w:rPr>
          <w:rStyle w:val="BlauZchn"/>
        </w:rPr>
        <w:t>ereich</w:t>
      </w:r>
      <w:r>
        <w:t xml:space="preserve"> ab. Die Elektronen-Übergänge lassen sich vereinfacht mit einem Schalen-Modell wiedergeben (</w:t>
      </w:r>
      <w:r>
        <w:rPr>
          <w:color w:val="FF00FF" w:themeColor="accent4"/>
        </w:rPr>
        <w:fldChar w:fldCharType="begin"/>
      </w:r>
      <w:r>
        <w:instrText xml:space="preserve"> REF _Ref53037536 \h </w:instrText>
      </w:r>
      <w:r>
        <w:rPr>
          <w:color w:val="FF00FF" w:themeColor="accent4"/>
        </w:rPr>
      </w:r>
      <w:r>
        <w:rPr>
          <w:color w:val="FF00FF" w:themeColor="accent4"/>
        </w:rPr>
        <w:fldChar w:fldCharType="separate"/>
      </w:r>
      <w:r w:rsidR="00C46857">
        <w:t xml:space="preserve">Abb. </w:t>
      </w:r>
      <w:r w:rsidR="00C46857">
        <w:rPr>
          <w:noProof/>
        </w:rPr>
        <w:t>1</w:t>
      </w:r>
      <w:r>
        <w:rPr>
          <w:color w:val="FF00FF" w:themeColor="accent4"/>
        </w:rPr>
        <w:fldChar w:fldCharType="end"/>
      </w:r>
      <w:r>
        <w:t xml:space="preserve">). Eine elaborierte Darstellung bietet das </w:t>
      </w:r>
      <w:proofErr w:type="spellStart"/>
      <w:r>
        <w:t>Jablónski</w:t>
      </w:r>
      <w:proofErr w:type="spellEnd"/>
      <w:r>
        <w:t>-Diagramm (</w:t>
      </w:r>
      <w:r w:rsidR="00A228C5">
        <w:rPr>
          <w:color w:val="FF00FF" w:themeColor="accent4"/>
        </w:rPr>
        <w:fldChar w:fldCharType="begin"/>
      </w:r>
      <w:r w:rsidR="00A228C5">
        <w:instrText xml:space="preserve"> REF _Ref53037690 \h </w:instrText>
      </w:r>
      <w:r w:rsidR="00A228C5">
        <w:rPr>
          <w:color w:val="FF00FF" w:themeColor="accent4"/>
        </w:rPr>
      </w:r>
      <w:r w:rsidR="00A228C5">
        <w:rPr>
          <w:color w:val="FF00FF" w:themeColor="accent4"/>
        </w:rPr>
        <w:fldChar w:fldCharType="separate"/>
      </w:r>
      <w:r w:rsidR="00C46857">
        <w:t xml:space="preserve">Abb. </w:t>
      </w:r>
      <w:r w:rsidR="00C46857">
        <w:rPr>
          <w:noProof/>
        </w:rPr>
        <w:t>2</w:t>
      </w:r>
      <w:r w:rsidR="00A228C5">
        <w:rPr>
          <w:color w:val="FF00FF" w:themeColor="accent4"/>
        </w:rPr>
        <w:fldChar w:fldCharType="end"/>
      </w:r>
      <w:r>
        <w:t>).</w:t>
      </w:r>
    </w:p>
    <w:p w14:paraId="3BD39E0E" w14:textId="0EAA5BE1" w:rsidR="00F84A8A" w:rsidRDefault="00F84A8A" w:rsidP="00F84A8A">
      <w:pPr>
        <w:pStyle w:val="Bilder"/>
      </w:pPr>
      <w:r>
        <w:rPr>
          <w:lang w:eastAsia="de-DE"/>
        </w:rPr>
        <w:drawing>
          <wp:inline distT="0" distB="0" distL="0" distR="0" wp14:anchorId="339F2087" wp14:editId="4E4A7036">
            <wp:extent cx="1946861" cy="1800000"/>
            <wp:effectExtent l="0" t="0" r="0" b="0"/>
            <wp:docPr id="2" name="Grafik 2" descr="schalen_mo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alen_mode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6861" cy="1800000"/>
                    </a:xfrm>
                    <a:prstGeom prst="rect">
                      <a:avLst/>
                    </a:prstGeom>
                    <a:noFill/>
                    <a:ln>
                      <a:noFill/>
                    </a:ln>
                  </pic:spPr>
                </pic:pic>
              </a:graphicData>
            </a:graphic>
          </wp:inline>
        </w:drawing>
      </w:r>
    </w:p>
    <w:p w14:paraId="38938AD9" w14:textId="4FEC34D5" w:rsidR="00F84A8A" w:rsidRDefault="00F84A8A" w:rsidP="00F84A8A">
      <w:pPr>
        <w:pStyle w:val="Beschriftung"/>
      </w:pPr>
      <w:bookmarkStart w:id="3" w:name="_Ref53037536"/>
      <w:r>
        <w:t xml:space="preserve">Abb. </w:t>
      </w:r>
      <w:fldSimple w:instr=" SEQ Abb. \* ARABIC ">
        <w:r w:rsidR="00C46857">
          <w:rPr>
            <w:noProof/>
          </w:rPr>
          <w:t>1</w:t>
        </w:r>
      </w:fldSimple>
      <w:bookmarkEnd w:id="3"/>
      <w:r>
        <w:t>: Schalen-Modell</w:t>
      </w:r>
    </w:p>
    <w:p w14:paraId="35181EEB" w14:textId="61C5DC3E" w:rsidR="00F84A8A" w:rsidRDefault="00F84A8A" w:rsidP="00F84A8A">
      <w:pPr>
        <w:pStyle w:val="berschrift2"/>
      </w:pPr>
      <w:bookmarkStart w:id="4" w:name="_Toc53039810"/>
      <w:r>
        <w:t xml:space="preserve">Aufbau des </w:t>
      </w:r>
      <w:proofErr w:type="spellStart"/>
      <w:r>
        <w:t>Jablónski</w:t>
      </w:r>
      <w:proofErr w:type="spellEnd"/>
      <w:r>
        <w:t>-Diagramms</w:t>
      </w:r>
      <w:bookmarkEnd w:id="4"/>
    </w:p>
    <w:p w14:paraId="7E9F3214" w14:textId="1CE74ABC" w:rsidR="00F84A8A" w:rsidRDefault="00F84A8A" w:rsidP="00F84A8A">
      <w:r>
        <w:t xml:space="preserve">Bei dem </w:t>
      </w:r>
      <w:proofErr w:type="spellStart"/>
      <w:r>
        <w:t>Jablónski</w:t>
      </w:r>
      <w:proofErr w:type="spellEnd"/>
      <w:r>
        <w:t xml:space="preserve">-Diagramm handelt es sich um ein Energie-Diagramm. Es existieren hier der </w:t>
      </w:r>
      <w:proofErr w:type="spellStart"/>
      <w:r>
        <w:t>Singulett</w:t>
      </w:r>
      <w:proofErr w:type="spellEnd"/>
      <w:r>
        <w:t>-Grundzustand S</w:t>
      </w:r>
      <w:r>
        <w:rPr>
          <w:vertAlign w:val="subscript"/>
        </w:rPr>
        <w:t xml:space="preserve">0 </w:t>
      </w:r>
      <w:r>
        <w:t xml:space="preserve">und die erlaubten angeregten </w:t>
      </w:r>
      <w:proofErr w:type="spellStart"/>
      <w:r>
        <w:t>Singulett</w:t>
      </w:r>
      <w:proofErr w:type="spellEnd"/>
      <w:r>
        <w:t>-Zustände S</w:t>
      </w:r>
      <w:r>
        <w:rPr>
          <w:vertAlign w:val="subscript"/>
        </w:rPr>
        <w:t>1</w:t>
      </w:r>
      <w:r>
        <w:t xml:space="preserve"> oder S</w:t>
      </w:r>
      <w:r>
        <w:rPr>
          <w:vertAlign w:val="subscript"/>
        </w:rPr>
        <w:t>2</w:t>
      </w:r>
      <w:r>
        <w:t xml:space="preserve">. </w:t>
      </w:r>
      <w:proofErr w:type="spellStart"/>
      <w:r>
        <w:t>Singlett</w:t>
      </w:r>
      <w:proofErr w:type="spellEnd"/>
      <w:r>
        <w:t>-Zustand bedeutet, dass die Elektronen Spin-Paare bilden, sodass die Spin</w:t>
      </w:r>
      <w:r w:rsidR="00A228C5">
        <w:t>-</w:t>
      </w:r>
      <w:proofErr w:type="spellStart"/>
      <w:r w:rsidR="00A228C5">
        <w:t>M</w:t>
      </w:r>
      <w:r>
        <w:t>ultiplizität</w:t>
      </w:r>
      <w:proofErr w:type="spellEnd"/>
      <w:r>
        <w:t xml:space="preserve"> immer gleich eins ist. Neben diesen Zuständen gibt es noch die sogenannten Schwingungsniveaus. Diese entstehen dadurch, dass die Atom</w:t>
      </w:r>
      <w:r w:rsidR="00A228C5">
        <w:t>-K</w:t>
      </w:r>
      <w:r>
        <w:t>erne durch die Elektronenpaar</w:t>
      </w:r>
      <w:r w:rsidR="00A228C5">
        <w:t>-B</w:t>
      </w:r>
      <w:r w:rsidR="00C46857">
        <w:t>ildung elastisch aneinander</w:t>
      </w:r>
      <w:r>
        <w:t>gebunden sind. Sie schwingen, um so eine Gleichgewichtslage herstellen zu können. Diese sind in der Grafik durch graue Linien visualisiert.</w:t>
      </w:r>
    </w:p>
    <w:p w14:paraId="5D8F3359" w14:textId="35D423C3" w:rsidR="00A228C5" w:rsidRDefault="00A228C5" w:rsidP="00A228C5">
      <w:pPr>
        <w:pStyle w:val="Bilder"/>
      </w:pPr>
      <w:r>
        <w:rPr>
          <w:lang w:eastAsia="de-DE"/>
        </w:rPr>
        <w:drawing>
          <wp:inline distT="0" distB="0" distL="0" distR="0" wp14:anchorId="5399386C" wp14:editId="4D1C90C2">
            <wp:extent cx="4763719" cy="27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719" cy="2700000"/>
                    </a:xfrm>
                    <a:prstGeom prst="rect">
                      <a:avLst/>
                    </a:prstGeom>
                    <a:noFill/>
                    <a:ln>
                      <a:noFill/>
                    </a:ln>
                  </pic:spPr>
                </pic:pic>
              </a:graphicData>
            </a:graphic>
          </wp:inline>
        </w:drawing>
      </w:r>
    </w:p>
    <w:p w14:paraId="266CD059" w14:textId="5FBBDDFE" w:rsidR="00A228C5" w:rsidRDefault="00A228C5" w:rsidP="00A228C5">
      <w:pPr>
        <w:pStyle w:val="Beschriftung"/>
      </w:pPr>
      <w:bookmarkStart w:id="5" w:name="_Ref53037690"/>
      <w:r>
        <w:t xml:space="preserve">Abb. </w:t>
      </w:r>
      <w:fldSimple w:instr=" SEQ Abb. \* ARABIC ">
        <w:r w:rsidR="00C46857">
          <w:rPr>
            <w:noProof/>
          </w:rPr>
          <w:t>2</w:t>
        </w:r>
      </w:fldSimple>
      <w:bookmarkEnd w:id="5"/>
      <w:r>
        <w:t xml:space="preserve">: </w:t>
      </w:r>
      <w:proofErr w:type="spellStart"/>
      <w:r>
        <w:t>Jablónski</w:t>
      </w:r>
      <w:proofErr w:type="spellEnd"/>
      <w:r>
        <w:t>-Diagramm</w:t>
      </w:r>
    </w:p>
    <w:p w14:paraId="35F75929" w14:textId="520F7C81" w:rsidR="00A228C5" w:rsidRDefault="00A228C5" w:rsidP="00A228C5">
      <w:pPr>
        <w:pStyle w:val="berschrift2"/>
      </w:pPr>
      <w:bookmarkStart w:id="6" w:name="_Toc53039811"/>
      <w:proofErr w:type="spellStart"/>
      <w:r>
        <w:lastRenderedPageBreak/>
        <w:t>Photophysikalische</w:t>
      </w:r>
      <w:proofErr w:type="spellEnd"/>
      <w:r>
        <w:t xml:space="preserve"> Prozesse im </w:t>
      </w:r>
      <w:proofErr w:type="spellStart"/>
      <w:r>
        <w:t>Jablónski</w:t>
      </w:r>
      <w:proofErr w:type="spellEnd"/>
      <w:r>
        <w:t>-Diagramm</w:t>
      </w:r>
      <w:bookmarkEnd w:id="6"/>
    </w:p>
    <w:p w14:paraId="372846B1" w14:textId="224F28E8" w:rsidR="00A228C5" w:rsidRPr="00A228C5" w:rsidRDefault="00A228C5" w:rsidP="00A228C5">
      <w:pPr>
        <w:pStyle w:val="Liste1Aufzhlung"/>
      </w:pPr>
      <w:r>
        <w:rPr>
          <w:rFonts w:cs="Arial"/>
        </w:rPr>
        <w:t>Ein Elektron wird durch Absorption eines Anregungsphotons (</w:t>
      </w:r>
      <w:proofErr w:type="spellStart"/>
      <w:r>
        <w:rPr>
          <w:rFonts w:cs="Arial"/>
        </w:rPr>
        <w:t>hv</w:t>
      </w:r>
      <w:proofErr w:type="spellEnd"/>
      <w:r>
        <w:rPr>
          <w:rFonts w:cs="Arial"/>
        </w:rPr>
        <w:t>) aus dem Grundzustand S</w:t>
      </w:r>
      <w:r>
        <w:rPr>
          <w:rFonts w:cs="Arial"/>
          <w:vertAlign w:val="subscript"/>
        </w:rPr>
        <w:t>0</w:t>
      </w:r>
      <w:r>
        <w:rPr>
          <w:rFonts w:cs="Arial"/>
        </w:rPr>
        <w:t xml:space="preserve"> in einen der angeregten Zustände S</w:t>
      </w:r>
      <w:r>
        <w:rPr>
          <w:rFonts w:cs="Arial"/>
          <w:vertAlign w:val="subscript"/>
        </w:rPr>
        <w:t>1</w:t>
      </w:r>
      <w:r>
        <w:rPr>
          <w:rFonts w:cs="Arial"/>
        </w:rPr>
        <w:t xml:space="preserve"> oder S</w:t>
      </w:r>
      <w:r>
        <w:rPr>
          <w:rFonts w:cs="Arial"/>
          <w:vertAlign w:val="subscript"/>
        </w:rPr>
        <w:t>2</w:t>
      </w:r>
      <w:r>
        <w:rPr>
          <w:rFonts w:cs="Arial"/>
        </w:rPr>
        <w:t xml:space="preserve"> oder in deren Schwingungsniveaus angehoben</w:t>
      </w:r>
    </w:p>
    <w:p w14:paraId="51E11E67" w14:textId="5CDAC7F0" w:rsidR="00A228C5" w:rsidRPr="00A228C5" w:rsidRDefault="00A228C5" w:rsidP="00A228C5">
      <w:pPr>
        <w:pStyle w:val="Liste1Aufzhlung"/>
        <w:rPr>
          <w:rStyle w:val="GrnZchn"/>
          <w:color w:val="auto"/>
        </w:rPr>
      </w:pPr>
      <w:r>
        <w:rPr>
          <w:rFonts w:cs="Arial"/>
        </w:rPr>
        <w:t>Diese angeregten Zustände sind energetisch ungünstig und nicht stabil. Es erfolgt sofort ein strahlungsloser Übergang zum niedrigsten S</w:t>
      </w:r>
      <w:r>
        <w:rPr>
          <w:rFonts w:cs="Arial"/>
          <w:vertAlign w:val="subscript"/>
        </w:rPr>
        <w:t>1</w:t>
      </w:r>
      <w:r>
        <w:rPr>
          <w:rFonts w:cs="Arial"/>
        </w:rPr>
        <w:t xml:space="preserve">-Niveau, wobei die Anregungsenergie als </w:t>
      </w:r>
      <w:r w:rsidRPr="00A228C5">
        <w:rPr>
          <w:rStyle w:val="GrnZchn"/>
        </w:rPr>
        <w:t>Schwingungsenergie (Wärme)</w:t>
      </w:r>
      <w:r>
        <w:rPr>
          <w:rFonts w:cs="Arial"/>
        </w:rPr>
        <w:t xml:space="preserve"> frei wird. Dies bezeichnet man auch als frei wird. Dies bezeichnet man auch als </w:t>
      </w:r>
      <w:r w:rsidRPr="00A228C5">
        <w:rPr>
          <w:rStyle w:val="GrnZchn"/>
        </w:rPr>
        <w:t>Schwingungsrelaxation</w:t>
      </w:r>
    </w:p>
    <w:p w14:paraId="4DCA0028" w14:textId="5848FB16" w:rsidR="00A228C5" w:rsidRPr="00A228C5" w:rsidRDefault="00A228C5" w:rsidP="00A228C5">
      <w:pPr>
        <w:pStyle w:val="Liste1Aufzhlung"/>
      </w:pPr>
      <w:r>
        <w:rPr>
          <w:rFonts w:cs="Arial"/>
        </w:rPr>
        <w:t>Der anschließende Übergang vom S</w:t>
      </w:r>
      <w:r>
        <w:rPr>
          <w:rFonts w:cs="Arial"/>
          <w:vertAlign w:val="subscript"/>
        </w:rPr>
        <w:t>1</w:t>
      </w:r>
      <w:r>
        <w:rPr>
          <w:rFonts w:cs="Arial"/>
        </w:rPr>
        <w:t>-Zustand in den Grundzustand S</w:t>
      </w:r>
      <w:r>
        <w:rPr>
          <w:rFonts w:cs="Arial"/>
          <w:vertAlign w:val="subscript"/>
        </w:rPr>
        <w:t>0</w:t>
      </w:r>
      <w:r>
        <w:rPr>
          <w:rFonts w:cs="Arial"/>
          <w:vertAlign w:val="subscript"/>
        </w:rPr>
        <w:tab/>
      </w:r>
      <w:r>
        <w:rPr>
          <w:rFonts w:cs="Arial"/>
        </w:rPr>
        <w:br/>
        <w:t>erfolgt in 10</w:t>
      </w:r>
      <w:r>
        <w:rPr>
          <w:rFonts w:cs="Arial"/>
          <w:vertAlign w:val="superscript"/>
        </w:rPr>
        <w:t>-8</w:t>
      </w:r>
      <w:r>
        <w:rPr>
          <w:rFonts w:cs="Arial"/>
        </w:rPr>
        <w:t xml:space="preserve"> s. Dies geschieht entweder unter </w:t>
      </w:r>
      <w:r w:rsidRPr="00A228C5">
        <w:rPr>
          <w:rStyle w:val="BlauZchn"/>
        </w:rPr>
        <w:t>Emission von Photonen</w:t>
      </w:r>
      <w:r>
        <w:rPr>
          <w:rFonts w:cs="Arial"/>
        </w:rPr>
        <w:t xml:space="preserve"> (</w:t>
      </w:r>
      <w:r w:rsidRPr="00A228C5">
        <w:rPr>
          <w:rStyle w:val="BlauZchn"/>
        </w:rPr>
        <w:t xml:space="preserve">Fluoreszenzlicht: </w:t>
      </w:r>
      <w:proofErr w:type="spellStart"/>
      <w:r w:rsidRPr="00A228C5">
        <w:rPr>
          <w:rStyle w:val="BlauZchn"/>
        </w:rPr>
        <w:t>hv</w:t>
      </w:r>
      <w:proofErr w:type="spellEnd"/>
      <w:r w:rsidRPr="00A228C5">
        <w:rPr>
          <w:rStyle w:val="BlauZchn"/>
        </w:rPr>
        <w:t>*</w:t>
      </w:r>
      <w:r>
        <w:rPr>
          <w:rFonts w:cs="Arial"/>
        </w:rPr>
        <w:t xml:space="preserve">) oder wieder unter </w:t>
      </w:r>
      <w:r>
        <w:rPr>
          <w:rFonts w:cs="Arial"/>
          <w:color w:val="00CC00"/>
        </w:rPr>
        <w:t>Wärmeabgabe (Schwingungsrelaxation)</w:t>
      </w:r>
    </w:p>
    <w:p w14:paraId="02D56BD7" w14:textId="5D907987" w:rsidR="00A228C5" w:rsidRDefault="00A228C5" w:rsidP="00A228C5">
      <w:pPr>
        <w:pStyle w:val="berschrift2"/>
      </w:pPr>
      <w:bookmarkStart w:id="7" w:name="_Toc53039812"/>
      <w:proofErr w:type="spellStart"/>
      <w:r>
        <w:t>Stokes’sche</w:t>
      </w:r>
      <w:proofErr w:type="spellEnd"/>
      <w:r>
        <w:t xml:space="preserve"> Verschiebung</w:t>
      </w:r>
      <w:bookmarkEnd w:id="7"/>
    </w:p>
    <w:p w14:paraId="24442D12" w14:textId="63FB608D" w:rsidR="00A228C5" w:rsidRDefault="00A228C5" w:rsidP="00A228C5">
      <w:r>
        <w:rPr>
          <w:rFonts w:cs="Arial"/>
        </w:rPr>
        <w:t xml:space="preserve">Bedeutsam bei der Fluoreszenz ist, dass die Wellenlänge der absorbierten elektromagnetischen Strahlung nicht mit der Wellenlänge der emittierten elektromagnetischen Strahlung übereinstimmt. Da bei den </w:t>
      </w:r>
      <w:proofErr w:type="spellStart"/>
      <w:r>
        <w:rPr>
          <w:rFonts w:cs="Arial"/>
        </w:rPr>
        <w:t>photophysikalischen</w:t>
      </w:r>
      <w:proofErr w:type="spellEnd"/>
      <w:r>
        <w:rPr>
          <w:rFonts w:cs="Arial"/>
        </w:rPr>
        <w:t xml:space="preserve"> Prozessen die Energie nicht nur in Form von elektromagnetischer Strahlung frei wird, sondern auch in Form von Wärme, ist das emittierte Licht im Vergleich energieärmer und damit langwelliger. Es kommt zu einer Verschiebung der Emissionskurve in den langwelligeren Bereich des Spektrums (</w:t>
      </w:r>
      <w:r>
        <w:rPr>
          <w:rFonts w:cs="Arial"/>
          <w:color w:val="FF00FF" w:themeColor="accent4"/>
        </w:rPr>
        <w:fldChar w:fldCharType="begin"/>
      </w:r>
      <w:r>
        <w:rPr>
          <w:rFonts w:cs="Arial"/>
        </w:rPr>
        <w:instrText xml:space="preserve"> REF _Ref53037957 \h </w:instrText>
      </w:r>
      <w:r>
        <w:rPr>
          <w:rFonts w:cs="Arial"/>
          <w:color w:val="FF00FF" w:themeColor="accent4"/>
        </w:rPr>
      </w:r>
      <w:r>
        <w:rPr>
          <w:rFonts w:cs="Arial"/>
          <w:color w:val="FF00FF" w:themeColor="accent4"/>
        </w:rPr>
        <w:fldChar w:fldCharType="separate"/>
      </w:r>
      <w:r w:rsidR="00C46857">
        <w:t xml:space="preserve">Abb. </w:t>
      </w:r>
      <w:r w:rsidR="00C46857">
        <w:rPr>
          <w:noProof/>
        </w:rPr>
        <w:t>3</w:t>
      </w:r>
      <w:r>
        <w:rPr>
          <w:rFonts w:cs="Arial"/>
          <w:color w:val="FF00FF" w:themeColor="accent4"/>
        </w:rPr>
        <w:fldChar w:fldCharType="end"/>
      </w:r>
      <w:r>
        <w:rPr>
          <w:rFonts w:cs="Arial"/>
        </w:rPr>
        <w:t xml:space="preserve">). Dies wird auch </w:t>
      </w:r>
      <w:proofErr w:type="spellStart"/>
      <w:r>
        <w:rPr>
          <w:rFonts w:cs="Arial"/>
        </w:rPr>
        <w:t>Stokes`sche</w:t>
      </w:r>
      <w:proofErr w:type="spellEnd"/>
      <w:r>
        <w:rPr>
          <w:rFonts w:cs="Arial"/>
        </w:rPr>
        <w:t xml:space="preserve"> Verschiebung genannt.</w:t>
      </w:r>
    </w:p>
    <w:p w14:paraId="0A930B02" w14:textId="0A350B00" w:rsidR="00A228C5" w:rsidRDefault="00A228C5" w:rsidP="00A228C5">
      <w:pPr>
        <w:pStyle w:val="Bilder"/>
      </w:pPr>
      <w:r>
        <w:rPr>
          <w:lang w:eastAsia="de-DE"/>
        </w:rPr>
        <w:drawing>
          <wp:inline distT="0" distB="0" distL="0" distR="0" wp14:anchorId="44A191BB" wp14:editId="156532AB">
            <wp:extent cx="3987974" cy="2844000"/>
            <wp:effectExtent l="0" t="0" r="0" b="0"/>
            <wp:docPr id="4" name="Grafik 4" descr="stokes_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kes_shif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7974" cy="2844000"/>
                    </a:xfrm>
                    <a:prstGeom prst="rect">
                      <a:avLst/>
                    </a:prstGeom>
                    <a:noFill/>
                    <a:ln>
                      <a:noFill/>
                    </a:ln>
                  </pic:spPr>
                </pic:pic>
              </a:graphicData>
            </a:graphic>
          </wp:inline>
        </w:drawing>
      </w:r>
    </w:p>
    <w:p w14:paraId="2FF3C283" w14:textId="4C921D79" w:rsidR="00A228C5" w:rsidRDefault="00A228C5" w:rsidP="00A228C5">
      <w:pPr>
        <w:pStyle w:val="Beschriftung"/>
      </w:pPr>
      <w:bookmarkStart w:id="8" w:name="_Ref53037957"/>
      <w:r>
        <w:t xml:space="preserve">Abb. </w:t>
      </w:r>
      <w:fldSimple w:instr=" SEQ Abb. \* ARABIC ">
        <w:r w:rsidR="00C46857">
          <w:rPr>
            <w:noProof/>
          </w:rPr>
          <w:t>3</w:t>
        </w:r>
      </w:fldSimple>
      <w:bookmarkEnd w:id="8"/>
      <w:r>
        <w:t xml:space="preserve">: </w:t>
      </w:r>
      <w:proofErr w:type="spellStart"/>
      <w:r>
        <w:t>Stokes’sche</w:t>
      </w:r>
      <w:proofErr w:type="spellEnd"/>
      <w:r>
        <w:t xml:space="preserve"> Verschiebung</w:t>
      </w:r>
    </w:p>
    <w:p w14:paraId="44E3C1A2" w14:textId="119C7840" w:rsidR="00A228C5" w:rsidRDefault="00A228C5" w:rsidP="00A228C5">
      <w:pPr>
        <w:pStyle w:val="berschrift1"/>
      </w:pPr>
      <w:bookmarkStart w:id="9" w:name="_Toc53039813"/>
      <w:r>
        <w:t>Fluoreszenz-Anregung</w:t>
      </w:r>
      <w:bookmarkEnd w:id="9"/>
    </w:p>
    <w:p w14:paraId="3ABDE2E0" w14:textId="0C457FD8" w:rsidR="00A228C5" w:rsidRDefault="00A228C5" w:rsidP="00A228C5">
      <w:pPr>
        <w:rPr>
          <w:rFonts w:cs="Arial"/>
        </w:rPr>
      </w:pPr>
      <w:r>
        <w:rPr>
          <w:rFonts w:cs="Arial"/>
        </w:rPr>
        <w:t>Zur Fluoreszenzanregung sind nur Lichtquellen geeignet, die energiereiche elektromagnetische Strahlung aus dem nichtsichtbaren Spektralbereich aussenden. Darunter fallen folgende Strahlungsarten:</w:t>
      </w:r>
    </w:p>
    <w:p w14:paraId="614646ED" w14:textId="77777777" w:rsidR="00A228C5" w:rsidRDefault="00A228C5" w:rsidP="00A228C5">
      <w:pPr>
        <w:rPr>
          <w:rFonts w:cs="Arial"/>
        </w:rPr>
      </w:pPr>
    </w:p>
    <w:tbl>
      <w:tblPr>
        <w:tblStyle w:val="Tabellenraster"/>
        <w:tblW w:w="0" w:type="auto"/>
        <w:jc w:val="center"/>
        <w:tblLook w:val="04A0" w:firstRow="1" w:lastRow="0" w:firstColumn="1" w:lastColumn="0" w:noHBand="0" w:noVBand="1"/>
      </w:tblPr>
      <w:tblGrid>
        <w:gridCol w:w="3031"/>
        <w:gridCol w:w="1984"/>
        <w:gridCol w:w="1984"/>
      </w:tblGrid>
      <w:tr w:rsidR="00A228C5" w:rsidRPr="00A228C5" w14:paraId="70609A7A" w14:textId="77777777" w:rsidTr="00A228C5">
        <w:trPr>
          <w:jc w:val="center"/>
        </w:trPr>
        <w:tc>
          <w:tcPr>
            <w:tcW w:w="0" w:type="auto"/>
            <w:shd w:val="clear" w:color="auto" w:fill="C7C7C7" w:themeFill="background2" w:themeFillShade="E6"/>
          </w:tcPr>
          <w:p w14:paraId="28A7FC03" w14:textId="6E393839" w:rsidR="00A228C5" w:rsidRPr="00A228C5" w:rsidRDefault="00A228C5" w:rsidP="00A228C5">
            <w:pPr>
              <w:jc w:val="center"/>
              <w:rPr>
                <w:rStyle w:val="Fett"/>
              </w:rPr>
            </w:pPr>
            <w:r w:rsidRPr="00A228C5">
              <w:rPr>
                <w:rStyle w:val="Fett"/>
              </w:rPr>
              <w:t>Strahlungsart</w:t>
            </w:r>
          </w:p>
        </w:tc>
        <w:tc>
          <w:tcPr>
            <w:tcW w:w="1984" w:type="dxa"/>
            <w:shd w:val="clear" w:color="auto" w:fill="C7C7C7" w:themeFill="background2" w:themeFillShade="E6"/>
          </w:tcPr>
          <w:p w14:paraId="2FCE85D5" w14:textId="3A4A9717" w:rsidR="00A228C5" w:rsidRPr="00A228C5" w:rsidRDefault="00A228C5" w:rsidP="00A228C5">
            <w:pPr>
              <w:jc w:val="center"/>
              <w:rPr>
                <w:rStyle w:val="Fett"/>
              </w:rPr>
            </w:pPr>
            <w:r w:rsidRPr="00A228C5">
              <w:rPr>
                <w:rStyle w:val="Fett"/>
              </w:rPr>
              <w:t>Wellenlänge</w:t>
            </w:r>
          </w:p>
        </w:tc>
        <w:tc>
          <w:tcPr>
            <w:tcW w:w="1984" w:type="dxa"/>
            <w:shd w:val="clear" w:color="auto" w:fill="C7C7C7" w:themeFill="background2" w:themeFillShade="E6"/>
          </w:tcPr>
          <w:p w14:paraId="4F7BBFC1" w14:textId="141B5D55" w:rsidR="00A228C5" w:rsidRPr="00A228C5" w:rsidRDefault="00A228C5" w:rsidP="00A228C5">
            <w:pPr>
              <w:jc w:val="center"/>
              <w:rPr>
                <w:rStyle w:val="Fett"/>
              </w:rPr>
            </w:pPr>
            <w:r w:rsidRPr="00A228C5">
              <w:rPr>
                <w:rStyle w:val="Fett"/>
              </w:rPr>
              <w:t>Sichtbarkeit</w:t>
            </w:r>
          </w:p>
        </w:tc>
      </w:tr>
      <w:tr w:rsidR="00A228C5" w14:paraId="5F966397" w14:textId="77777777" w:rsidTr="00A228C5">
        <w:trPr>
          <w:jc w:val="center"/>
        </w:trPr>
        <w:tc>
          <w:tcPr>
            <w:tcW w:w="0" w:type="auto"/>
          </w:tcPr>
          <w:p w14:paraId="4513241E" w14:textId="49206D7A" w:rsidR="00A228C5" w:rsidRDefault="00A228C5" w:rsidP="00A228C5">
            <w:pPr>
              <w:jc w:val="left"/>
            </w:pPr>
            <w:r>
              <w:t>Röntgen-Strahlung</w:t>
            </w:r>
          </w:p>
        </w:tc>
        <w:tc>
          <w:tcPr>
            <w:tcW w:w="1984" w:type="dxa"/>
          </w:tcPr>
          <w:p w14:paraId="58593D45" w14:textId="4EE6FEC4" w:rsidR="00A228C5" w:rsidRDefault="00A228C5" w:rsidP="00A228C5">
            <w:pPr>
              <w:jc w:val="left"/>
            </w:pPr>
            <w:r>
              <w:t>bis 200 </w:t>
            </w:r>
            <w:proofErr w:type="spellStart"/>
            <w:r>
              <w:t>nm</w:t>
            </w:r>
            <w:proofErr w:type="spellEnd"/>
          </w:p>
        </w:tc>
        <w:tc>
          <w:tcPr>
            <w:tcW w:w="1984" w:type="dxa"/>
          </w:tcPr>
          <w:p w14:paraId="0A5D7F06" w14:textId="005188C7" w:rsidR="00A228C5" w:rsidRDefault="00A228C5" w:rsidP="00A228C5">
            <w:pPr>
              <w:jc w:val="left"/>
            </w:pPr>
            <w:r>
              <w:t>unsichtbar</w:t>
            </w:r>
          </w:p>
        </w:tc>
      </w:tr>
      <w:tr w:rsidR="00A228C5" w14:paraId="7E2A8F86" w14:textId="77777777" w:rsidTr="00A228C5">
        <w:trPr>
          <w:jc w:val="center"/>
        </w:trPr>
        <w:tc>
          <w:tcPr>
            <w:tcW w:w="0" w:type="auto"/>
          </w:tcPr>
          <w:p w14:paraId="7E1EB546" w14:textId="2D799494" w:rsidR="00A228C5" w:rsidRDefault="00A228C5" w:rsidP="00A228C5">
            <w:pPr>
              <w:jc w:val="left"/>
            </w:pPr>
            <w:r>
              <w:t>kurzwellige UV-Strahlung</w:t>
            </w:r>
          </w:p>
        </w:tc>
        <w:tc>
          <w:tcPr>
            <w:tcW w:w="1984" w:type="dxa"/>
          </w:tcPr>
          <w:p w14:paraId="7B1D32B7" w14:textId="1B024490" w:rsidR="00A228C5" w:rsidRDefault="00A228C5" w:rsidP="00A228C5">
            <w:pPr>
              <w:jc w:val="left"/>
            </w:pPr>
            <w:r>
              <w:t>200 - 285 </w:t>
            </w:r>
            <w:proofErr w:type="spellStart"/>
            <w:r>
              <w:t>nm</w:t>
            </w:r>
            <w:proofErr w:type="spellEnd"/>
          </w:p>
        </w:tc>
        <w:tc>
          <w:tcPr>
            <w:tcW w:w="1984" w:type="dxa"/>
          </w:tcPr>
          <w:p w14:paraId="2A2F9316" w14:textId="3B4A3A5C" w:rsidR="00A228C5" w:rsidRDefault="00A228C5" w:rsidP="00A228C5">
            <w:pPr>
              <w:jc w:val="left"/>
            </w:pPr>
            <w:r>
              <w:t>unsichtbar</w:t>
            </w:r>
          </w:p>
        </w:tc>
      </w:tr>
      <w:tr w:rsidR="00A228C5" w14:paraId="7509CF85" w14:textId="77777777" w:rsidTr="00A228C5">
        <w:trPr>
          <w:jc w:val="center"/>
        </w:trPr>
        <w:tc>
          <w:tcPr>
            <w:tcW w:w="0" w:type="auto"/>
          </w:tcPr>
          <w:p w14:paraId="0AD9C8CE" w14:textId="472615A9" w:rsidR="00A228C5" w:rsidRDefault="00A228C5" w:rsidP="00A228C5">
            <w:pPr>
              <w:jc w:val="left"/>
            </w:pPr>
            <w:r>
              <w:t>mittelwellige UV-Strahlung</w:t>
            </w:r>
          </w:p>
        </w:tc>
        <w:tc>
          <w:tcPr>
            <w:tcW w:w="1984" w:type="dxa"/>
          </w:tcPr>
          <w:p w14:paraId="5FF94ADF" w14:textId="6D63C592" w:rsidR="00A228C5" w:rsidRDefault="00A228C5" w:rsidP="00A228C5">
            <w:pPr>
              <w:jc w:val="left"/>
            </w:pPr>
            <w:r>
              <w:t>285 - 320 </w:t>
            </w:r>
            <w:proofErr w:type="spellStart"/>
            <w:r>
              <w:t>nm</w:t>
            </w:r>
            <w:proofErr w:type="spellEnd"/>
          </w:p>
        </w:tc>
        <w:tc>
          <w:tcPr>
            <w:tcW w:w="1984" w:type="dxa"/>
          </w:tcPr>
          <w:p w14:paraId="79BA2426" w14:textId="32693E6E" w:rsidR="00A228C5" w:rsidRDefault="00A228C5" w:rsidP="00A228C5">
            <w:pPr>
              <w:jc w:val="left"/>
            </w:pPr>
            <w:r>
              <w:t>unsichtbar</w:t>
            </w:r>
          </w:p>
        </w:tc>
      </w:tr>
      <w:tr w:rsidR="00A228C5" w14:paraId="37553395" w14:textId="77777777" w:rsidTr="00A228C5">
        <w:trPr>
          <w:jc w:val="center"/>
        </w:trPr>
        <w:tc>
          <w:tcPr>
            <w:tcW w:w="0" w:type="auto"/>
          </w:tcPr>
          <w:p w14:paraId="081CF927" w14:textId="7A8A8201" w:rsidR="00A228C5" w:rsidRDefault="00A228C5" w:rsidP="00A228C5">
            <w:pPr>
              <w:jc w:val="left"/>
            </w:pPr>
            <w:r>
              <w:t>langwellige UV-Strahlung</w:t>
            </w:r>
          </w:p>
        </w:tc>
        <w:tc>
          <w:tcPr>
            <w:tcW w:w="1984" w:type="dxa"/>
          </w:tcPr>
          <w:p w14:paraId="5A8EFB40" w14:textId="6FF29C2F" w:rsidR="00A228C5" w:rsidRPr="00A228C5" w:rsidRDefault="00A228C5" w:rsidP="00A228C5">
            <w:pPr>
              <w:jc w:val="left"/>
            </w:pPr>
            <w:r>
              <w:t>320 - 380 </w:t>
            </w:r>
            <w:proofErr w:type="spellStart"/>
            <w:r>
              <w:t>nm</w:t>
            </w:r>
            <w:proofErr w:type="spellEnd"/>
          </w:p>
        </w:tc>
        <w:tc>
          <w:tcPr>
            <w:tcW w:w="1984" w:type="dxa"/>
          </w:tcPr>
          <w:p w14:paraId="3A49ABEB" w14:textId="364F5954" w:rsidR="00A228C5" w:rsidRDefault="00A228C5" w:rsidP="00A228C5">
            <w:pPr>
              <w:jc w:val="left"/>
            </w:pPr>
            <w:r>
              <w:t>unsichtbar</w:t>
            </w:r>
          </w:p>
        </w:tc>
      </w:tr>
    </w:tbl>
    <w:p w14:paraId="49D1BC0F" w14:textId="2E6948A9" w:rsidR="00A228C5" w:rsidRDefault="00A228C5" w:rsidP="00A228C5">
      <w:pPr>
        <w:rPr>
          <w:rFonts w:cs="Arial"/>
        </w:rPr>
      </w:pPr>
      <w:r>
        <w:rPr>
          <w:rFonts w:cs="Arial"/>
        </w:rPr>
        <w:lastRenderedPageBreak/>
        <w:t>Mit folgendem Versuch kann man unsichtbare UV-Strahlung mit Hilfe der Fluoreszenz sichtbar machen. Dazu wird zuerst das Emissionsspektrum einer Quecksilberdampflampe entworfen (</w:t>
      </w:r>
      <w:r w:rsidR="00C17957">
        <w:rPr>
          <w:rFonts w:cs="Arial"/>
          <w:color w:val="FF00FF" w:themeColor="accent4"/>
        </w:rPr>
        <w:fldChar w:fldCharType="begin"/>
      </w:r>
      <w:r w:rsidR="00C17957">
        <w:rPr>
          <w:rFonts w:cs="Arial"/>
        </w:rPr>
        <w:instrText xml:space="preserve"> REF _Ref53038359 \h </w:instrText>
      </w:r>
      <w:r w:rsidR="00C17957">
        <w:rPr>
          <w:rFonts w:cs="Arial"/>
          <w:color w:val="FF00FF" w:themeColor="accent4"/>
        </w:rPr>
      </w:r>
      <w:r w:rsidR="00C17957">
        <w:rPr>
          <w:rFonts w:cs="Arial"/>
          <w:color w:val="FF00FF" w:themeColor="accent4"/>
        </w:rPr>
        <w:fldChar w:fldCharType="separate"/>
      </w:r>
      <w:r w:rsidR="00C46857">
        <w:t xml:space="preserve">Abb. </w:t>
      </w:r>
      <w:r w:rsidR="00C46857">
        <w:rPr>
          <w:noProof/>
        </w:rPr>
        <w:t>4</w:t>
      </w:r>
      <w:r w:rsidR="00C17957">
        <w:rPr>
          <w:rFonts w:cs="Arial"/>
          <w:color w:val="FF00FF" w:themeColor="accent4"/>
        </w:rPr>
        <w:fldChar w:fldCharType="end"/>
      </w:r>
      <w:r>
        <w:rPr>
          <w:rFonts w:cs="Arial"/>
        </w:rPr>
        <w:t>). Anschließend bringt man in den nicht sichtbaren Teil des Spektrums jenseits vom Blau ein Papierstück, wodurch zwei weitere Spektral</w:t>
      </w:r>
      <w:r w:rsidR="00C17957">
        <w:rPr>
          <w:rFonts w:cs="Arial"/>
        </w:rPr>
        <w:t>-L</w:t>
      </w:r>
      <w:r>
        <w:rPr>
          <w:rFonts w:cs="Arial"/>
        </w:rPr>
        <w:t>inien aufleuchten. Das unsichtbare kurzwellige UV-Licht wurde so in sichtbares langwelligeres Licht umgewandelt (</w:t>
      </w:r>
      <w:r w:rsidR="00C17957">
        <w:rPr>
          <w:rFonts w:cs="Arial"/>
          <w:color w:val="FF00FF" w:themeColor="accent4"/>
        </w:rPr>
        <w:fldChar w:fldCharType="begin"/>
      </w:r>
      <w:r w:rsidR="00C17957">
        <w:rPr>
          <w:rFonts w:cs="Arial"/>
        </w:rPr>
        <w:instrText xml:space="preserve"> REF _Ref53038365 \h </w:instrText>
      </w:r>
      <w:r w:rsidR="00C17957">
        <w:rPr>
          <w:rFonts w:cs="Arial"/>
          <w:color w:val="FF00FF" w:themeColor="accent4"/>
        </w:rPr>
      </w:r>
      <w:r w:rsidR="00C17957">
        <w:rPr>
          <w:rFonts w:cs="Arial"/>
          <w:color w:val="FF00FF" w:themeColor="accent4"/>
        </w:rPr>
        <w:fldChar w:fldCharType="separate"/>
      </w:r>
      <w:r w:rsidR="00C46857">
        <w:t xml:space="preserve">Abb. </w:t>
      </w:r>
      <w:r w:rsidR="00C46857">
        <w:rPr>
          <w:noProof/>
        </w:rPr>
        <w:t>5</w:t>
      </w:r>
      <w:r w:rsidR="00C17957">
        <w:rPr>
          <w:rFonts w:cs="Arial"/>
          <w:color w:val="FF00FF" w:themeColor="accent4"/>
        </w:rPr>
        <w:fldChar w:fldCharType="end"/>
      </w:r>
      <w:r>
        <w:rPr>
          <w:rFonts w:cs="Arial"/>
        </w:rPr>
        <w:t>).</w:t>
      </w:r>
    </w:p>
    <w:p w14:paraId="6E28AACE" w14:textId="082D4668" w:rsidR="00C17957" w:rsidRDefault="00C17957" w:rsidP="00C17957">
      <w:pPr>
        <w:pStyle w:val="Bilder"/>
      </w:pPr>
      <w:r>
        <w:rPr>
          <w:lang w:eastAsia="de-DE"/>
        </w:rPr>
        <w:drawing>
          <wp:inline distT="0" distB="0" distL="0" distR="0" wp14:anchorId="4402E52E" wp14:editId="6BBA9F4D">
            <wp:extent cx="5904865" cy="2170430"/>
            <wp:effectExtent l="0" t="0" r="63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4865" cy="2170430"/>
                    </a:xfrm>
                    <a:prstGeom prst="rect">
                      <a:avLst/>
                    </a:prstGeom>
                    <a:noFill/>
                    <a:ln>
                      <a:noFill/>
                    </a:ln>
                  </pic:spPr>
                </pic:pic>
              </a:graphicData>
            </a:graphic>
          </wp:inline>
        </w:drawing>
      </w:r>
    </w:p>
    <w:p w14:paraId="4BF2B143" w14:textId="29BD4A96" w:rsidR="00C17957" w:rsidRDefault="00C17957" w:rsidP="00C17957">
      <w:pPr>
        <w:pStyle w:val="Beschriftung"/>
      </w:pPr>
      <w:bookmarkStart w:id="10" w:name="_Ref53038359"/>
      <w:r>
        <w:t xml:space="preserve">Abb. </w:t>
      </w:r>
      <w:fldSimple w:instr=" SEQ Abb. \* ARABIC ">
        <w:r w:rsidR="00C46857">
          <w:rPr>
            <w:noProof/>
          </w:rPr>
          <w:t>4</w:t>
        </w:r>
      </w:fldSimple>
      <w:bookmarkEnd w:id="10"/>
      <w:r>
        <w:t>: Versuchsaufbau zur Untersuchung eines Quecksilber-Spektrums</w:t>
      </w:r>
    </w:p>
    <w:p w14:paraId="3C4E13CB" w14:textId="6BF89339" w:rsidR="00C17957" w:rsidRDefault="00C17957" w:rsidP="00C17957">
      <w:pPr>
        <w:pStyle w:val="Bilder"/>
      </w:pPr>
      <w:r>
        <w:rPr>
          <w:lang w:eastAsia="de-DE"/>
        </w:rPr>
        <w:drawing>
          <wp:inline distT="0" distB="0" distL="0" distR="0" wp14:anchorId="7CB4953E" wp14:editId="495ACE21">
            <wp:extent cx="5904865" cy="1564005"/>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1564005"/>
                    </a:xfrm>
                    <a:prstGeom prst="rect">
                      <a:avLst/>
                    </a:prstGeom>
                    <a:noFill/>
                    <a:ln>
                      <a:noFill/>
                    </a:ln>
                  </pic:spPr>
                </pic:pic>
              </a:graphicData>
            </a:graphic>
          </wp:inline>
        </w:drawing>
      </w:r>
    </w:p>
    <w:p w14:paraId="3A34F2E2" w14:textId="259FFBEC" w:rsidR="00C17957" w:rsidRDefault="00C17957" w:rsidP="00C17957">
      <w:pPr>
        <w:pStyle w:val="Beschriftung"/>
      </w:pPr>
      <w:bookmarkStart w:id="11" w:name="_Ref53038365"/>
      <w:r>
        <w:t xml:space="preserve">Abb. </w:t>
      </w:r>
      <w:fldSimple w:instr=" SEQ Abb. \* ARABIC ">
        <w:r w:rsidR="00C46857">
          <w:rPr>
            <w:noProof/>
          </w:rPr>
          <w:t>5</w:t>
        </w:r>
      </w:fldSimple>
      <w:bookmarkEnd w:id="11"/>
      <w:r>
        <w:t>: Nachweis von UV-Licht durch Fluoreszenz - links: ohne Papier, rechts: mit Papier</w:t>
      </w:r>
    </w:p>
    <w:p w14:paraId="1FDF46A0" w14:textId="519D50AB" w:rsidR="00C17957" w:rsidRDefault="00C17957" w:rsidP="00C17957">
      <w:r w:rsidRPr="00C17957">
        <w:rPr>
          <w:rStyle w:val="Fett"/>
        </w:rPr>
        <w:t>Zeitbedarf</w:t>
      </w:r>
      <w:r>
        <w:t>: 10 Minuten</w:t>
      </w:r>
    </w:p>
    <w:p w14:paraId="5D2A0C73" w14:textId="772357A5" w:rsidR="00C17957" w:rsidRDefault="00C17957" w:rsidP="00C17957">
      <w:r w:rsidRPr="00C17957">
        <w:rPr>
          <w:rStyle w:val="Fett"/>
        </w:rPr>
        <w:t>Ziel</w:t>
      </w:r>
      <w:r>
        <w:t>: Sichtbarmachen von unsichtbarer UV-Strahlung mit Hilfe der Fluoreszenz</w:t>
      </w:r>
    </w:p>
    <w:p w14:paraId="21E63CCB" w14:textId="6B6DEFF7" w:rsidR="00C17957" w:rsidRDefault="00C17957" w:rsidP="00C17957">
      <w:r w:rsidRPr="00C17957">
        <w:rPr>
          <w:rStyle w:val="Fett"/>
        </w:rPr>
        <w:t>Material</w:t>
      </w:r>
      <w:r>
        <w:t>:</w:t>
      </w:r>
    </w:p>
    <w:p w14:paraId="7A232535" w14:textId="77777777" w:rsidR="00C17957" w:rsidRDefault="00C17957" w:rsidP="00C17957">
      <w:pPr>
        <w:pStyle w:val="Liste1Aufzhlung"/>
        <w:sectPr w:rsidR="00C17957" w:rsidSect="009B4835">
          <w:footerReference w:type="default" r:id="rId14"/>
          <w:pgSz w:w="11906" w:h="16838"/>
          <w:pgMar w:top="851" w:right="1134" w:bottom="851" w:left="1418" w:header="0" w:footer="0" w:gutter="0"/>
          <w:cols w:space="708"/>
          <w:titlePg/>
          <w:docGrid w:linePitch="360"/>
        </w:sectPr>
      </w:pPr>
    </w:p>
    <w:p w14:paraId="739BC698" w14:textId="36B28849" w:rsidR="00C17957" w:rsidRDefault="00C17957" w:rsidP="00C17957">
      <w:pPr>
        <w:pStyle w:val="Liste1Aufzhlung"/>
      </w:pPr>
      <w:r>
        <w:lastRenderedPageBreak/>
        <w:t>Vorschalt-Gerät</w:t>
      </w:r>
    </w:p>
    <w:p w14:paraId="4C0DF586" w14:textId="34C28A20" w:rsidR="00C17957" w:rsidRDefault="00C17957" w:rsidP="00C17957">
      <w:pPr>
        <w:pStyle w:val="Liste1Aufzhlung"/>
      </w:pPr>
      <w:r>
        <w:t>Quecksilber-Dampflampe</w:t>
      </w:r>
    </w:p>
    <w:p w14:paraId="2639D088" w14:textId="4406E72D" w:rsidR="00C17957" w:rsidRDefault="00C17957" w:rsidP="00C17957">
      <w:pPr>
        <w:pStyle w:val="Liste1Aufzhlung"/>
      </w:pPr>
      <w:r>
        <w:t>2 Linsen</w:t>
      </w:r>
    </w:p>
    <w:p w14:paraId="57DF8B47" w14:textId="52BA8CE0" w:rsidR="00C17957" w:rsidRDefault="00C17957" w:rsidP="00C17957">
      <w:pPr>
        <w:pStyle w:val="Liste1Aufzhlung"/>
      </w:pPr>
      <w:r>
        <w:lastRenderedPageBreak/>
        <w:t>verstellbarer Spalt</w:t>
      </w:r>
    </w:p>
    <w:p w14:paraId="51BD0051" w14:textId="697CA85A" w:rsidR="00C17957" w:rsidRDefault="00C17957" w:rsidP="00C17957">
      <w:pPr>
        <w:pStyle w:val="Liste1Aufzhlung"/>
      </w:pPr>
      <w:r>
        <w:t xml:space="preserve">Gitter </w:t>
      </w:r>
    </w:p>
    <w:p w14:paraId="6E537F33" w14:textId="3DF23DEE" w:rsidR="00C17957" w:rsidRDefault="00C17957" w:rsidP="00C17957">
      <w:pPr>
        <w:pStyle w:val="Liste1Aufzhlung"/>
      </w:pPr>
      <w:r>
        <w:t>Schirm</w:t>
      </w:r>
    </w:p>
    <w:p w14:paraId="7D01FB5C" w14:textId="77777777" w:rsidR="00C17957" w:rsidRDefault="00C17957" w:rsidP="00C17957">
      <w:pPr>
        <w:rPr>
          <w:rStyle w:val="Fett"/>
        </w:rPr>
        <w:sectPr w:rsidR="00C17957" w:rsidSect="00C17957">
          <w:type w:val="continuous"/>
          <w:pgSz w:w="11906" w:h="16838"/>
          <w:pgMar w:top="851" w:right="1134" w:bottom="851" w:left="1418" w:header="0" w:footer="0" w:gutter="0"/>
          <w:cols w:num="2" w:space="708"/>
          <w:titlePg/>
          <w:docGrid w:linePitch="360"/>
        </w:sectPr>
      </w:pPr>
    </w:p>
    <w:p w14:paraId="113EB0C0" w14:textId="194AA989" w:rsidR="00C17957" w:rsidRDefault="00C17957" w:rsidP="00C17957">
      <w:pPr>
        <w:rPr>
          <w:rFonts w:cs="Arial"/>
        </w:rPr>
      </w:pPr>
      <w:r w:rsidRPr="00C17957">
        <w:rPr>
          <w:rStyle w:val="Fett"/>
        </w:rPr>
        <w:lastRenderedPageBreak/>
        <w:t>Durchführung 1</w:t>
      </w:r>
      <w:r>
        <w:t xml:space="preserve">: </w:t>
      </w:r>
      <w:r>
        <w:rPr>
          <w:rFonts w:cs="Arial"/>
        </w:rPr>
        <w:t xml:space="preserve">Man baut die Apparatur gemäß </w:t>
      </w:r>
      <w:r>
        <w:rPr>
          <w:rFonts w:cs="Arial"/>
        </w:rPr>
        <w:fldChar w:fldCharType="begin"/>
      </w:r>
      <w:r>
        <w:rPr>
          <w:rFonts w:cs="Arial"/>
        </w:rPr>
        <w:instrText xml:space="preserve"> REF _Ref53038359 \h </w:instrText>
      </w:r>
      <w:r>
        <w:rPr>
          <w:rFonts w:cs="Arial"/>
        </w:rPr>
      </w:r>
      <w:r>
        <w:rPr>
          <w:rFonts w:cs="Arial"/>
        </w:rPr>
        <w:fldChar w:fldCharType="separate"/>
      </w:r>
      <w:r w:rsidR="00C46857">
        <w:t xml:space="preserve">Abb. </w:t>
      </w:r>
      <w:r w:rsidR="00C46857">
        <w:rPr>
          <w:noProof/>
        </w:rPr>
        <w:t>4</w:t>
      </w:r>
      <w:r>
        <w:rPr>
          <w:rFonts w:cs="Arial"/>
        </w:rPr>
        <w:fldChar w:fldCharType="end"/>
      </w:r>
      <w:r>
        <w:rPr>
          <w:rFonts w:cs="Arial"/>
        </w:rPr>
        <w:t xml:space="preserve"> auf, verdunkelt den Raum und schaltet die Quecksilber-Dampflampe ein.</w:t>
      </w:r>
    </w:p>
    <w:p w14:paraId="1D572864" w14:textId="52D26700" w:rsidR="00C17957" w:rsidRDefault="00C17957" w:rsidP="00C17957">
      <w:pPr>
        <w:rPr>
          <w:rFonts w:cs="Arial"/>
        </w:rPr>
      </w:pPr>
      <w:r w:rsidRPr="00C17957">
        <w:rPr>
          <w:rStyle w:val="Fett"/>
        </w:rPr>
        <w:t>Beobachtung 1</w:t>
      </w:r>
      <w:r>
        <w:rPr>
          <w:rFonts w:cs="Arial"/>
        </w:rPr>
        <w:t>: Das Linien-Spektrum der Quecksilber-Dampflampe ist auf dem Schirm zu sehen.</w:t>
      </w:r>
    </w:p>
    <w:p w14:paraId="4BF696D1" w14:textId="3F798DC5" w:rsidR="00C17957" w:rsidRDefault="00C17957" w:rsidP="00C17957">
      <w:pPr>
        <w:rPr>
          <w:rFonts w:cs="Arial"/>
        </w:rPr>
      </w:pPr>
      <w:r w:rsidRPr="00C17957">
        <w:rPr>
          <w:rStyle w:val="Fett"/>
        </w:rPr>
        <w:t>Durchführung 2</w:t>
      </w:r>
      <w:r>
        <w:rPr>
          <w:rFonts w:cs="Arial"/>
        </w:rPr>
        <w:t xml:space="preserve">: </w:t>
      </w:r>
      <w:r>
        <w:t>Man hält nun ein Papier-Stück</w:t>
      </w:r>
      <w:r>
        <w:rPr>
          <w:rFonts w:cs="Arial"/>
        </w:rPr>
        <w:t xml:space="preserve"> in den nicht sichtbaren Bereich jenseits vom Blau.</w:t>
      </w:r>
    </w:p>
    <w:p w14:paraId="354088E5" w14:textId="7FBE156B" w:rsidR="00C17957" w:rsidRDefault="00C17957" w:rsidP="00C17957">
      <w:pPr>
        <w:rPr>
          <w:rFonts w:cs="Arial"/>
        </w:rPr>
      </w:pPr>
      <w:r w:rsidRPr="00C17957">
        <w:rPr>
          <w:rStyle w:val="Fett"/>
        </w:rPr>
        <w:t>Beobachtung 2</w:t>
      </w:r>
      <w:r>
        <w:rPr>
          <w:rFonts w:cs="Arial"/>
        </w:rPr>
        <w:t>: Auf dem Papier-Stück leuchten 2 weitere Spektral-Linien auf.</w:t>
      </w:r>
    </w:p>
    <w:p w14:paraId="3A48B158" w14:textId="3CBEA9A4" w:rsidR="00C17957" w:rsidRDefault="00C17957" w:rsidP="00C17957">
      <w:pPr>
        <w:rPr>
          <w:rFonts w:cs="Arial"/>
        </w:rPr>
      </w:pPr>
      <w:r w:rsidRPr="00C17957">
        <w:rPr>
          <w:rStyle w:val="Fett"/>
        </w:rPr>
        <w:t>Deutung</w:t>
      </w:r>
      <w:r>
        <w:rPr>
          <w:rFonts w:cs="Arial"/>
        </w:rPr>
        <w:t>: Unsichtbares UV-Licht wird mit Hilfe der optischen Aufheller (fluoreszierende Substanzen), die im Papier enthalten sind, in sichtbares langwelligeres Licht umgewandelt.</w:t>
      </w:r>
    </w:p>
    <w:p w14:paraId="797EDCD4" w14:textId="755BA8EB" w:rsidR="00C17957" w:rsidRDefault="00AE6A01" w:rsidP="00AE6A01">
      <w:pPr>
        <w:pStyle w:val="berschrift1"/>
      </w:pPr>
      <w:bookmarkStart w:id="12" w:name="_Toc53039814"/>
      <w:r>
        <w:lastRenderedPageBreak/>
        <w:t>Fluoreszierende Stoffe</w:t>
      </w:r>
      <w:bookmarkEnd w:id="12"/>
    </w:p>
    <w:p w14:paraId="586C2FFD" w14:textId="743E7C94" w:rsidR="00AE6A01" w:rsidRDefault="00AE6A01" w:rsidP="00AE6A01">
      <w:pPr>
        <w:rPr>
          <w:rFonts w:cs="Arial"/>
        </w:rPr>
      </w:pPr>
      <w:r>
        <w:rPr>
          <w:rFonts w:cs="Arial"/>
        </w:rPr>
        <w:t>Fluoreszierende Stoffe, sind organische oder anorganische Verbindungen, die das Phänomen der Fluoreszenz aufweisen. Es existieren zahlreiche Stoffe, die diese Eigenschaft besitzen, deswegen werden nur ausgewählte Beispiele näher betrachtet.</w:t>
      </w:r>
    </w:p>
    <w:p w14:paraId="1C3E345A" w14:textId="3A646618" w:rsidR="00AE6A01" w:rsidRDefault="00AE6A01" w:rsidP="00AE6A01">
      <w:pPr>
        <w:pStyle w:val="berschrift2"/>
      </w:pPr>
      <w:bookmarkStart w:id="13" w:name="_Toc53039815"/>
      <w:r>
        <w:t>Vorkommen</w:t>
      </w:r>
      <w:bookmarkEnd w:id="13"/>
    </w:p>
    <w:p w14:paraId="38AD8966" w14:textId="5C7EB6A2" w:rsidR="00AE6A01" w:rsidRPr="00AE6A01" w:rsidRDefault="00AE6A01" w:rsidP="00AE6A01">
      <w:r>
        <w:t>Fluoreszierende Stoffe kommen sowohl im Alltag, in der Natur als auch in der Forschung vor. Die meisten werden nicht als solche wahrgenommen, obwohl sie zahlreiche Funktionen übernehmen.</w:t>
      </w:r>
    </w:p>
    <w:p w14:paraId="7EC52142" w14:textId="07CCFFD1" w:rsidR="00AE6A01" w:rsidRPr="00AE6A01" w:rsidRDefault="00AE6A01" w:rsidP="00AE6A01">
      <w:pPr>
        <w:pStyle w:val="Liste1Aufzhlung"/>
      </w:pPr>
      <w:r>
        <w:rPr>
          <w:rStyle w:val="Fett"/>
          <w:rFonts w:cs="Arial"/>
        </w:rPr>
        <w:t xml:space="preserve">Leuchtstoffröhren: </w:t>
      </w:r>
      <w:r>
        <w:rPr>
          <w:rFonts w:cs="Arial"/>
        </w:rPr>
        <w:t>Hier wird UV-Strahlung, die durch Gas-Entladung in der mit Quecksilberdampf gefüllten Röhre erzeugt wird, in sichtbares Licht umgewandelt</w:t>
      </w:r>
    </w:p>
    <w:p w14:paraId="5E7E978B" w14:textId="2852C2DC" w:rsidR="00AE6A01" w:rsidRPr="00AE6A01" w:rsidRDefault="00AE6A01" w:rsidP="00AE6A01">
      <w:pPr>
        <w:pStyle w:val="Liste1Aufzhlung"/>
      </w:pPr>
      <w:r>
        <w:rPr>
          <w:rStyle w:val="Fett"/>
          <w:rFonts w:cs="Arial"/>
        </w:rPr>
        <w:t>Optische Aufheller:</w:t>
      </w:r>
      <w:r>
        <w:rPr>
          <w:rFonts w:cs="Arial"/>
        </w:rPr>
        <w:t xml:space="preserve"> Einsatz fluoreszierender Farbstoffe (Papier- und Waschmittelherstellung), die einen höheren Weißeindruck erzielen (weißes Papier und weiße Textilien). Früher wurde hierfür der Saft des Rosskastanienzweiges verwendet. Dieser enthält den Stoff </w:t>
      </w:r>
      <w:proofErr w:type="spellStart"/>
      <w:r>
        <w:rPr>
          <w:rFonts w:cs="Arial"/>
        </w:rPr>
        <w:t>Aesculin</w:t>
      </w:r>
      <w:proofErr w:type="spellEnd"/>
      <w:r>
        <w:rPr>
          <w:rFonts w:cs="Arial"/>
        </w:rPr>
        <w:t>, welcher unter UV-Strahlung blau leuchtet. (</w:t>
      </w:r>
      <w:r>
        <w:rPr>
          <w:rFonts w:cs="Arial"/>
          <w:color w:val="FF00FF" w:themeColor="accent4"/>
        </w:rPr>
        <w:fldChar w:fldCharType="begin"/>
      </w:r>
      <w:r>
        <w:rPr>
          <w:rFonts w:cs="Arial"/>
        </w:rPr>
        <w:instrText xml:space="preserve"> REF _Ref53039024 \h </w:instrText>
      </w:r>
      <w:r>
        <w:rPr>
          <w:rFonts w:cs="Arial"/>
          <w:color w:val="FF00FF" w:themeColor="accent4"/>
        </w:rPr>
      </w:r>
      <w:r>
        <w:rPr>
          <w:rFonts w:cs="Arial"/>
          <w:color w:val="FF00FF" w:themeColor="accent4"/>
        </w:rPr>
        <w:fldChar w:fldCharType="separate"/>
      </w:r>
      <w:r w:rsidR="00C46857">
        <w:t xml:space="preserve">Abb. </w:t>
      </w:r>
      <w:r w:rsidR="00C46857">
        <w:rPr>
          <w:noProof/>
        </w:rPr>
        <w:t>6</w:t>
      </w:r>
      <w:r>
        <w:rPr>
          <w:rFonts w:cs="Arial"/>
          <w:color w:val="FF00FF" w:themeColor="accent4"/>
        </w:rPr>
        <w:fldChar w:fldCharType="end"/>
      </w:r>
      <w:r>
        <w:rPr>
          <w:rFonts w:cs="Arial"/>
        </w:rPr>
        <w:t>).</w:t>
      </w:r>
    </w:p>
    <w:p w14:paraId="26A3A6DB" w14:textId="2301A654" w:rsidR="00AE6A01" w:rsidRDefault="00AE6A01" w:rsidP="00AE6A01">
      <w:pPr>
        <w:pStyle w:val="Bilder"/>
      </w:pPr>
      <w:r>
        <w:rPr>
          <w:lang w:eastAsia="de-DE"/>
        </w:rPr>
        <w:drawing>
          <wp:inline distT="0" distB="0" distL="0" distR="0" wp14:anchorId="13B48E07" wp14:editId="0EA24796">
            <wp:extent cx="1196529" cy="1800000"/>
            <wp:effectExtent l="0" t="0" r="3810" b="0"/>
            <wp:docPr id="7" name="Grafik 7" descr="aesculin_kastanienzwe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esculin_kastanienzwei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6529" cy="1800000"/>
                    </a:xfrm>
                    <a:prstGeom prst="rect">
                      <a:avLst/>
                    </a:prstGeom>
                    <a:noFill/>
                    <a:ln>
                      <a:noFill/>
                    </a:ln>
                  </pic:spPr>
                </pic:pic>
              </a:graphicData>
            </a:graphic>
          </wp:inline>
        </w:drawing>
      </w:r>
    </w:p>
    <w:p w14:paraId="1156AE66" w14:textId="5255E666" w:rsidR="00AE6A01" w:rsidRDefault="00AE6A01" w:rsidP="00AE6A01">
      <w:pPr>
        <w:pStyle w:val="Beschriftung"/>
      </w:pPr>
      <w:bookmarkStart w:id="14" w:name="_Ref53039024"/>
      <w:r>
        <w:t xml:space="preserve">Abb. </w:t>
      </w:r>
      <w:fldSimple w:instr=" SEQ Abb. \* ARABIC ">
        <w:r w:rsidR="00C46857">
          <w:rPr>
            <w:noProof/>
          </w:rPr>
          <w:t>6</w:t>
        </w:r>
      </w:fldSimple>
      <w:bookmarkEnd w:id="14"/>
      <w:r>
        <w:t>: Blau leuchtender Saft des Rosskastanien-Zweiges unter UV-Lampe [</w:t>
      </w:r>
      <w:r>
        <w:fldChar w:fldCharType="begin"/>
      </w:r>
      <w:r>
        <w:instrText xml:space="preserve"> REF _Ref53039007 \r \h </w:instrText>
      </w:r>
      <w:r>
        <w:fldChar w:fldCharType="separate"/>
      </w:r>
      <w:r w:rsidR="00C46857">
        <w:t>9</w:t>
      </w:r>
      <w:r>
        <w:fldChar w:fldCharType="end"/>
      </w:r>
      <w:r>
        <w:t>]</w:t>
      </w:r>
    </w:p>
    <w:p w14:paraId="40D2EE1F" w14:textId="10CA5128" w:rsidR="00AE6A01" w:rsidRPr="00AE6A01" w:rsidRDefault="00AE6A01" w:rsidP="00AE6A01">
      <w:pPr>
        <w:pStyle w:val="Liste1Aufzhlung"/>
      </w:pPr>
      <w:r>
        <w:rPr>
          <w:rStyle w:val="Fett"/>
          <w:rFonts w:cs="Arial"/>
        </w:rPr>
        <w:t>Tagesleuchtfarben (Textmarker):</w:t>
      </w:r>
      <w:r>
        <w:rPr>
          <w:rFonts w:cs="Arial"/>
          <w:i/>
          <w:iCs/>
        </w:rPr>
        <w:t xml:space="preserve"> </w:t>
      </w:r>
      <w:r>
        <w:rPr>
          <w:rFonts w:cs="Arial"/>
        </w:rPr>
        <w:t xml:space="preserve">Tagesleuchtfarben (Neonfarben) wandeln durch Fluoreszenz den UV-Bereich des Tageslichts in Licht größerer Wellenlänge um. Bei herkömmlichen Textmarkern wird der chemische Stoff </w:t>
      </w:r>
      <w:proofErr w:type="spellStart"/>
      <w:r>
        <w:rPr>
          <w:rFonts w:cs="Arial"/>
        </w:rPr>
        <w:t>Pyranin</w:t>
      </w:r>
      <w:proofErr w:type="spellEnd"/>
      <w:r>
        <w:rPr>
          <w:rFonts w:cs="Arial"/>
        </w:rPr>
        <w:t xml:space="preserve"> verwendet. Dieser leuchtet unter UV-Licht grün.</w:t>
      </w:r>
    </w:p>
    <w:p w14:paraId="3C981604" w14:textId="6D9D46ED" w:rsidR="00AE6A01" w:rsidRPr="00AE6A01" w:rsidRDefault="00AE6A01" w:rsidP="00AE6A01">
      <w:pPr>
        <w:pStyle w:val="Liste1Aufzhlung"/>
      </w:pPr>
      <w:r>
        <w:rPr>
          <w:rStyle w:val="Fett"/>
          <w:rFonts w:cs="Arial"/>
        </w:rPr>
        <w:t>Sicherheitsmerkmale auf Geldscheinen und Briefmarken:</w:t>
      </w:r>
      <w:r>
        <w:rPr>
          <w:rFonts w:cs="Arial"/>
        </w:rPr>
        <w:t xml:space="preserve"> fluoreszierende Druckelemente, die nur unter bestimmten Lichtquellen (</w:t>
      </w:r>
      <w:r w:rsidR="0016460D">
        <w:rPr>
          <w:rFonts w:cs="Arial"/>
        </w:rPr>
        <w:t>z. B.</w:t>
      </w:r>
      <w:r>
        <w:rPr>
          <w:rFonts w:cs="Arial"/>
        </w:rPr>
        <w:t xml:space="preserve"> UV-Licht) sichtbar sind</w:t>
      </w:r>
    </w:p>
    <w:p w14:paraId="026DB6BF" w14:textId="40130E9F" w:rsidR="00AE6A01" w:rsidRDefault="00AE6A01" w:rsidP="00AE6A01">
      <w:pPr>
        <w:pStyle w:val="Bilder"/>
      </w:pPr>
      <w:r>
        <w:rPr>
          <w:lang w:eastAsia="de-DE"/>
        </w:rPr>
        <w:drawing>
          <wp:inline distT="0" distB="0" distL="0" distR="0" wp14:anchorId="1E72D594" wp14:editId="635FC84E">
            <wp:extent cx="2657143" cy="2880000"/>
            <wp:effectExtent l="0" t="0" r="0" b="0"/>
            <wp:docPr id="8" name="Grafik 8" descr="geldsc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ldsche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143" cy="2880000"/>
                    </a:xfrm>
                    <a:prstGeom prst="rect">
                      <a:avLst/>
                    </a:prstGeom>
                    <a:noFill/>
                    <a:ln>
                      <a:noFill/>
                    </a:ln>
                  </pic:spPr>
                </pic:pic>
              </a:graphicData>
            </a:graphic>
          </wp:inline>
        </w:drawing>
      </w:r>
    </w:p>
    <w:p w14:paraId="3624BF55" w14:textId="3C377828" w:rsidR="00AE6A01" w:rsidRDefault="00AE6A01" w:rsidP="00AE6A01">
      <w:pPr>
        <w:pStyle w:val="Beschriftung"/>
      </w:pPr>
      <w:bookmarkStart w:id="15" w:name="_Ref53039146"/>
      <w:r>
        <w:t xml:space="preserve">Abb. </w:t>
      </w:r>
      <w:fldSimple w:instr=" SEQ Abb. \* ARABIC ">
        <w:r w:rsidR="00C46857">
          <w:rPr>
            <w:noProof/>
          </w:rPr>
          <w:t>7</w:t>
        </w:r>
      </w:fldSimple>
      <w:bookmarkEnd w:id="15"/>
      <w:r>
        <w:t>: Geldschein unter UV-Lampe [</w:t>
      </w:r>
      <w:r>
        <w:fldChar w:fldCharType="begin"/>
      </w:r>
      <w:r>
        <w:instrText xml:space="preserve"> REF _Ref53039007 \r \h </w:instrText>
      </w:r>
      <w:r>
        <w:fldChar w:fldCharType="separate"/>
      </w:r>
      <w:r w:rsidR="00C46857">
        <w:t>9</w:t>
      </w:r>
      <w:r>
        <w:fldChar w:fldCharType="end"/>
      </w:r>
      <w:r>
        <w:t>]</w:t>
      </w:r>
    </w:p>
    <w:p w14:paraId="63B58D05" w14:textId="04644591" w:rsidR="00AE6A01" w:rsidRDefault="00AE6A01" w:rsidP="00AE6A01">
      <w:pPr>
        <w:pStyle w:val="Liste1Aufzhlung"/>
        <w:numPr>
          <w:ilvl w:val="3"/>
          <w:numId w:val="21"/>
        </w:numPr>
      </w:pPr>
      <w:r>
        <w:lastRenderedPageBreak/>
        <w:t>Bei eichten Banknoten sollt man unter der UV-Lampe folgende Merkmale gut erkennen (</w:t>
      </w:r>
      <w:r>
        <w:fldChar w:fldCharType="begin"/>
      </w:r>
      <w:r>
        <w:instrText xml:space="preserve"> REF _Ref53039146 \h </w:instrText>
      </w:r>
      <w:r>
        <w:fldChar w:fldCharType="separate"/>
      </w:r>
      <w:r w:rsidR="00C46857">
        <w:t xml:space="preserve">Abb. </w:t>
      </w:r>
      <w:r w:rsidR="00C46857">
        <w:rPr>
          <w:noProof/>
        </w:rPr>
        <w:t>7</w:t>
      </w:r>
      <w:r>
        <w:fldChar w:fldCharType="end"/>
      </w:r>
      <w:r>
        <w:t>)</w:t>
      </w:r>
    </w:p>
    <w:p w14:paraId="6AB748C2" w14:textId="0B3791EB" w:rsidR="00AE6A01" w:rsidRPr="00AE6A01" w:rsidRDefault="00AE6A01" w:rsidP="00AE6A01">
      <w:pPr>
        <w:pStyle w:val="Liste2Aufzhlung"/>
      </w:pPr>
      <w:r>
        <w:rPr>
          <w:rFonts w:cs="Arial"/>
        </w:rPr>
        <w:t>die im Papier willkürlich verstreute Fasern leuchten in blau, rot und grün</w:t>
      </w:r>
    </w:p>
    <w:p w14:paraId="6DE59FDD" w14:textId="219CA773" w:rsidR="00AE6A01" w:rsidRPr="00AE6A01" w:rsidRDefault="00AE6A01" w:rsidP="00AE6A01">
      <w:pPr>
        <w:pStyle w:val="Liste2Aufzhlung"/>
      </w:pPr>
      <w:r>
        <w:rPr>
          <w:rFonts w:cs="Arial"/>
        </w:rPr>
        <w:t>die blaue Europaflagge und die Unterschrift des EZB-Präsidenten leuchten in grün</w:t>
      </w:r>
    </w:p>
    <w:p w14:paraId="11D099E2" w14:textId="6F6916ED" w:rsidR="00AE6A01" w:rsidRPr="00AE6A01" w:rsidRDefault="00AE6A01" w:rsidP="00AE6A01">
      <w:pPr>
        <w:pStyle w:val="Liste2Aufzhlung"/>
      </w:pPr>
      <w:r>
        <w:rPr>
          <w:rFonts w:cs="Arial"/>
        </w:rPr>
        <w:t>die bei Tageslicht gelben Sterne der Europaflagge leuchten in orange</w:t>
      </w:r>
    </w:p>
    <w:p w14:paraId="2DA175A3" w14:textId="321AAA55" w:rsidR="00AE6A01" w:rsidRPr="00AE6A01" w:rsidRDefault="00AE6A01" w:rsidP="00AE6A01">
      <w:pPr>
        <w:pStyle w:val="Liste2Aufzhlung"/>
      </w:pPr>
      <w:r>
        <w:rPr>
          <w:rFonts w:cs="Arial"/>
        </w:rPr>
        <w:t>die im Halbkreis angeordneten Europasterne leuchten in unterschiedlichen Farben</w:t>
      </w:r>
    </w:p>
    <w:p w14:paraId="440552E0" w14:textId="19A637D4" w:rsidR="00AE6A01" w:rsidRPr="00AE6A01" w:rsidRDefault="00AE6A01" w:rsidP="00AE6A01">
      <w:pPr>
        <w:pStyle w:val="Liste2Aufzhlung"/>
      </w:pPr>
      <w:r>
        <w:rPr>
          <w:rFonts w:cs="Arial"/>
        </w:rPr>
        <w:t>die Brückenmotive und die Europakarte (auf der Rückseite) leuchten in grün</w:t>
      </w:r>
    </w:p>
    <w:p w14:paraId="18B88746" w14:textId="29D45E8D" w:rsidR="00AE6A01" w:rsidRPr="00AE6A01" w:rsidRDefault="00AE6A01" w:rsidP="00AE6A01">
      <w:pPr>
        <w:pStyle w:val="Liste1Aufzhlung"/>
      </w:pPr>
      <w:r>
        <w:rPr>
          <w:rStyle w:val="Fett"/>
          <w:rFonts w:cs="Arial"/>
        </w:rPr>
        <w:t xml:space="preserve">Technik: </w:t>
      </w:r>
      <w:r w:rsidR="0016460D">
        <w:rPr>
          <w:rFonts w:cs="Arial"/>
        </w:rPr>
        <w:t>z. B.</w:t>
      </w:r>
      <w:r>
        <w:rPr>
          <w:rFonts w:cs="Arial"/>
        </w:rPr>
        <w:t xml:space="preserve"> die Fluoreszenz</w:t>
      </w:r>
      <w:r w:rsidR="0016460D">
        <w:rPr>
          <w:rFonts w:cs="Arial"/>
        </w:rPr>
        <w:t>-S</w:t>
      </w:r>
      <w:r>
        <w:rPr>
          <w:rFonts w:cs="Arial"/>
        </w:rPr>
        <w:t>pektroskopie zur Untersuchung von Atomen und Molekülen</w:t>
      </w:r>
    </w:p>
    <w:p w14:paraId="19F79FFE" w14:textId="05BBA677" w:rsidR="00AE6A01" w:rsidRPr="00AE6A01" w:rsidRDefault="00AE6A01" w:rsidP="00AE6A01">
      <w:pPr>
        <w:pStyle w:val="Liste1Aufzhlung"/>
      </w:pPr>
      <w:r>
        <w:rPr>
          <w:rStyle w:val="Fett"/>
          <w:rFonts w:cs="Arial"/>
        </w:rPr>
        <w:t xml:space="preserve">Mineralogie: </w:t>
      </w:r>
      <w:r>
        <w:rPr>
          <w:rFonts w:cs="Arial"/>
        </w:rPr>
        <w:t>Zur Identifizierung von Mineralien durch charakteristische Lichtemissionen</w:t>
      </w:r>
    </w:p>
    <w:p w14:paraId="0AEDCB19" w14:textId="4C52AA4B" w:rsidR="00AE6A01" w:rsidRDefault="00AE6A01" w:rsidP="00AE6A01">
      <w:pPr>
        <w:pStyle w:val="Bilder"/>
      </w:pPr>
      <w:r>
        <w:rPr>
          <w:lang w:eastAsia="de-DE"/>
        </w:rPr>
        <w:drawing>
          <wp:inline distT="0" distB="0" distL="0" distR="0" wp14:anchorId="511638F6" wp14:editId="51FB671C">
            <wp:extent cx="3333115" cy="1820545"/>
            <wp:effectExtent l="0" t="0" r="635" b="8255"/>
            <wp:docPr id="9" name="Grafik 9" descr="miner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nerali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115" cy="1820545"/>
                    </a:xfrm>
                    <a:prstGeom prst="rect">
                      <a:avLst/>
                    </a:prstGeom>
                    <a:noFill/>
                    <a:ln>
                      <a:noFill/>
                    </a:ln>
                  </pic:spPr>
                </pic:pic>
              </a:graphicData>
            </a:graphic>
          </wp:inline>
        </w:drawing>
      </w:r>
    </w:p>
    <w:p w14:paraId="0B08D6C4" w14:textId="00A303F3" w:rsidR="00AE6A01" w:rsidRDefault="00AE6A01" w:rsidP="00AE6A01">
      <w:pPr>
        <w:pStyle w:val="Beschriftung"/>
        <w:rPr>
          <w:rFonts w:cs="Arial"/>
        </w:rPr>
      </w:pPr>
      <w:r>
        <w:t xml:space="preserve">Abb. </w:t>
      </w:r>
      <w:fldSimple w:instr=" SEQ Abb. \* ARABIC ">
        <w:r w:rsidR="00C46857">
          <w:rPr>
            <w:noProof/>
          </w:rPr>
          <w:t>8</w:t>
        </w:r>
      </w:fldSimple>
      <w:r>
        <w:t xml:space="preserve">: </w:t>
      </w:r>
      <w:r>
        <w:rPr>
          <w:rFonts w:cs="Arial"/>
        </w:rPr>
        <w:t>Fluorit (Flussspat CaF</w:t>
      </w:r>
      <w:r>
        <w:rPr>
          <w:rFonts w:cs="Arial"/>
          <w:vertAlign w:val="subscript"/>
        </w:rPr>
        <w:t>2</w:t>
      </w:r>
      <w:r>
        <w:rPr>
          <w:rFonts w:cs="Arial"/>
        </w:rPr>
        <w:t>), Rubin (Al</w:t>
      </w:r>
      <w:r>
        <w:rPr>
          <w:rFonts w:cs="Arial"/>
          <w:vertAlign w:val="subscript"/>
        </w:rPr>
        <w:t>2</w:t>
      </w:r>
      <w:r>
        <w:rPr>
          <w:rFonts w:cs="Arial"/>
        </w:rPr>
        <w:t>O</w:t>
      </w:r>
      <w:r>
        <w:rPr>
          <w:rFonts w:cs="Arial"/>
          <w:vertAlign w:val="subscript"/>
        </w:rPr>
        <w:t>3</w:t>
      </w:r>
      <w:r>
        <w:rPr>
          <w:rFonts w:cs="Arial"/>
        </w:rPr>
        <w:t>), Calcit (CaCO</w:t>
      </w:r>
      <w:r>
        <w:rPr>
          <w:rFonts w:cs="Arial"/>
          <w:vertAlign w:val="subscript"/>
        </w:rPr>
        <w:t>3</w:t>
      </w:r>
      <w:r>
        <w:rPr>
          <w:rFonts w:cs="Arial"/>
        </w:rPr>
        <w:t>) von links nach rechts unter UV-Lampe [</w:t>
      </w:r>
      <w:r>
        <w:rPr>
          <w:rFonts w:cs="Arial"/>
        </w:rPr>
        <w:fldChar w:fldCharType="begin"/>
      </w:r>
      <w:r>
        <w:rPr>
          <w:rFonts w:cs="Arial"/>
        </w:rPr>
        <w:instrText xml:space="preserve"> REF _Ref53039007 \r \h </w:instrText>
      </w:r>
      <w:r>
        <w:rPr>
          <w:rFonts w:cs="Arial"/>
        </w:rPr>
      </w:r>
      <w:r>
        <w:rPr>
          <w:rFonts w:cs="Arial"/>
        </w:rPr>
        <w:fldChar w:fldCharType="separate"/>
      </w:r>
      <w:r w:rsidR="00C46857">
        <w:rPr>
          <w:rFonts w:cs="Arial"/>
        </w:rPr>
        <w:t>9</w:t>
      </w:r>
      <w:r>
        <w:rPr>
          <w:rFonts w:cs="Arial"/>
        </w:rPr>
        <w:fldChar w:fldCharType="end"/>
      </w:r>
      <w:r>
        <w:rPr>
          <w:rFonts w:cs="Arial"/>
        </w:rPr>
        <w:t>]</w:t>
      </w:r>
    </w:p>
    <w:p w14:paraId="14AA16A0" w14:textId="1EE401D3" w:rsidR="00AE6A01" w:rsidRPr="00AE6A01" w:rsidRDefault="00AE6A01" w:rsidP="00AE6A01">
      <w:pPr>
        <w:pStyle w:val="Liste1Aufzhlung"/>
      </w:pPr>
      <w:r>
        <w:rPr>
          <w:rStyle w:val="Fett"/>
          <w:rFonts w:cs="Arial"/>
        </w:rPr>
        <w:t xml:space="preserve">Biochemie: </w:t>
      </w:r>
      <w:r>
        <w:rPr>
          <w:rFonts w:cs="Arial"/>
        </w:rPr>
        <w:t>z.</w:t>
      </w:r>
      <w:r w:rsidR="0016460D">
        <w:rPr>
          <w:rFonts w:cs="Arial"/>
        </w:rPr>
        <w:t> </w:t>
      </w:r>
      <w:r>
        <w:rPr>
          <w:rFonts w:cs="Arial"/>
        </w:rPr>
        <w:t>B. zum Sichtbarmachen der DNA bei der Sequenzierung (</w:t>
      </w:r>
      <w:r w:rsidR="0016460D">
        <w:rPr>
          <w:rFonts w:cs="Arial"/>
        </w:rPr>
        <w:t>z. B.</w:t>
      </w:r>
      <w:r>
        <w:rPr>
          <w:rFonts w:cs="Arial"/>
        </w:rPr>
        <w:t xml:space="preserve"> </w:t>
      </w:r>
      <w:proofErr w:type="spellStart"/>
      <w:r>
        <w:rPr>
          <w:rFonts w:cs="Arial"/>
        </w:rPr>
        <w:t>Fluorescein</w:t>
      </w:r>
      <w:proofErr w:type="spellEnd"/>
      <w:r>
        <w:rPr>
          <w:rFonts w:cs="Arial"/>
        </w:rPr>
        <w:t>)</w:t>
      </w:r>
    </w:p>
    <w:p w14:paraId="4550C314" w14:textId="514610E6" w:rsidR="00AE6A01" w:rsidRPr="00AE6A01" w:rsidRDefault="00AE6A01" w:rsidP="00AE6A01">
      <w:pPr>
        <w:pStyle w:val="Liste1Aufzhlung"/>
      </w:pPr>
      <w:r>
        <w:rPr>
          <w:rStyle w:val="Fett"/>
          <w:rFonts w:cs="Arial"/>
        </w:rPr>
        <w:t>Medizin:</w:t>
      </w:r>
      <w:r>
        <w:rPr>
          <w:rFonts w:cs="Arial"/>
        </w:rPr>
        <w:t xml:space="preserve"> z.</w:t>
      </w:r>
      <w:r w:rsidR="0016460D">
        <w:rPr>
          <w:rFonts w:cs="Arial"/>
        </w:rPr>
        <w:t> </w:t>
      </w:r>
      <w:r>
        <w:rPr>
          <w:rFonts w:cs="Arial"/>
        </w:rPr>
        <w:t>B. zur Diagnostik von Stoffwechselkrankheiten anhand von sogenannten Tracern</w:t>
      </w:r>
    </w:p>
    <w:p w14:paraId="7A7B7967" w14:textId="7E554CA2" w:rsidR="00AE6A01" w:rsidRPr="00AE6A01" w:rsidRDefault="00AE6A01" w:rsidP="00AE6A01">
      <w:pPr>
        <w:pStyle w:val="Liste1Aufzhlung"/>
      </w:pPr>
      <w:r>
        <w:rPr>
          <w:rStyle w:val="Fett"/>
          <w:rFonts w:cs="Arial"/>
        </w:rPr>
        <w:t>Biologie:</w:t>
      </w:r>
      <w:r>
        <w:rPr>
          <w:rFonts w:cs="Arial"/>
        </w:rPr>
        <w:t xml:space="preserve"> z.</w:t>
      </w:r>
      <w:r w:rsidR="0016460D">
        <w:rPr>
          <w:rFonts w:cs="Arial"/>
        </w:rPr>
        <w:t> </w:t>
      </w:r>
      <w:r>
        <w:rPr>
          <w:rFonts w:cs="Arial"/>
        </w:rPr>
        <w:t>B. die Messung der Chlorophyll-Fluoreszenz zur Bestimmung der Fotosyntheseintensität oder die Markierung bestimmter Strukturen in Lebewesen anhand des grün-fluoreszierenden Proteins (GFP)</w:t>
      </w:r>
    </w:p>
    <w:p w14:paraId="46C5DF9F" w14:textId="0401EE6D" w:rsidR="00AE6A01" w:rsidRDefault="00AE6A01" w:rsidP="00AE6A01">
      <w:pPr>
        <w:pStyle w:val="Bilder"/>
      </w:pPr>
      <w:r>
        <w:rPr>
          <w:lang w:eastAsia="de-DE"/>
        </w:rPr>
        <w:drawing>
          <wp:inline distT="0" distB="0" distL="0" distR="0" wp14:anchorId="0D95E809" wp14:editId="0720DE42">
            <wp:extent cx="2854325" cy="1794510"/>
            <wp:effectExtent l="0" t="0" r="3175" b="0"/>
            <wp:docPr id="10" name="Grafik 10" descr="g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4325" cy="1794510"/>
                    </a:xfrm>
                    <a:prstGeom prst="rect">
                      <a:avLst/>
                    </a:prstGeom>
                    <a:noFill/>
                    <a:ln>
                      <a:noFill/>
                    </a:ln>
                  </pic:spPr>
                </pic:pic>
              </a:graphicData>
            </a:graphic>
          </wp:inline>
        </w:drawing>
      </w:r>
    </w:p>
    <w:p w14:paraId="59248B5C" w14:textId="2B9C9BAE" w:rsidR="00AE6A01" w:rsidRDefault="00AE6A01" w:rsidP="00AE6A01">
      <w:pPr>
        <w:pStyle w:val="Beschriftung"/>
      </w:pPr>
      <w:r>
        <w:t xml:space="preserve">Abb. </w:t>
      </w:r>
      <w:fldSimple w:instr=" SEQ Abb. \* ARABIC ">
        <w:r w:rsidR="00C46857">
          <w:rPr>
            <w:noProof/>
          </w:rPr>
          <w:t>9</w:t>
        </w:r>
      </w:fldSimple>
      <w:r>
        <w:t xml:space="preserve">: </w:t>
      </w:r>
      <w:r>
        <w:rPr>
          <w:rFonts w:cs="Arial"/>
        </w:rPr>
        <w:t xml:space="preserve">Markierung der Neurone und Interneurone einer </w:t>
      </w:r>
      <w:r>
        <w:rPr>
          <w:rStyle w:val="Hervorhebung"/>
          <w:rFonts w:cs="Arial"/>
        </w:rPr>
        <w:t>Drosophila</w:t>
      </w:r>
      <w:r>
        <w:rPr>
          <w:rFonts w:cs="Arial"/>
        </w:rPr>
        <w:t>-Larve mit Hilfe des GFP unter UV-Licht [</w:t>
      </w:r>
      <w:r>
        <w:rPr>
          <w:rFonts w:cs="Arial"/>
        </w:rPr>
        <w:fldChar w:fldCharType="begin"/>
      </w:r>
      <w:r>
        <w:rPr>
          <w:rFonts w:cs="Arial"/>
        </w:rPr>
        <w:instrText xml:space="preserve"> REF _Ref53039317 \r \h </w:instrText>
      </w:r>
      <w:r>
        <w:rPr>
          <w:rFonts w:cs="Arial"/>
        </w:rPr>
      </w:r>
      <w:r>
        <w:rPr>
          <w:rFonts w:cs="Arial"/>
        </w:rPr>
        <w:fldChar w:fldCharType="separate"/>
      </w:r>
      <w:r w:rsidR="00C46857">
        <w:rPr>
          <w:rFonts w:cs="Arial"/>
        </w:rPr>
        <w:t>10</w:t>
      </w:r>
      <w:r>
        <w:rPr>
          <w:rFonts w:cs="Arial"/>
        </w:rPr>
        <w:fldChar w:fldCharType="end"/>
      </w:r>
      <w:r>
        <w:rPr>
          <w:rFonts w:cs="Arial"/>
        </w:rPr>
        <w:t>]</w:t>
      </w:r>
    </w:p>
    <w:p w14:paraId="1775FE04" w14:textId="77777777" w:rsidR="0016460D" w:rsidRDefault="0016460D">
      <w:pPr>
        <w:spacing w:before="0"/>
        <w:jc w:val="left"/>
        <w:rPr>
          <w:rFonts w:asciiTheme="majorHAnsi" w:eastAsiaTheme="majorEastAsia" w:hAnsiTheme="majorHAnsi" w:cstheme="majorBidi"/>
          <w:b/>
          <w:color w:val="000000" w:themeColor="text1"/>
          <w:sz w:val="28"/>
          <w:szCs w:val="26"/>
        </w:rPr>
      </w:pPr>
      <w:r>
        <w:br w:type="page"/>
      </w:r>
    </w:p>
    <w:p w14:paraId="1E138E73" w14:textId="0936D42A" w:rsidR="00AE6A01" w:rsidRDefault="00AE6A01" w:rsidP="00AE6A01">
      <w:pPr>
        <w:pStyle w:val="berschrift2"/>
      </w:pPr>
      <w:bookmarkStart w:id="16" w:name="_Toc53039816"/>
      <w:r>
        <w:lastRenderedPageBreak/>
        <w:t>Organische Fluoreszenz-Farbstoffklassen</w:t>
      </w:r>
      <w:bookmarkEnd w:id="16"/>
    </w:p>
    <w:p w14:paraId="0DD5A663" w14:textId="23727D21" w:rsidR="00AE6A01" w:rsidRDefault="00AE6A01" w:rsidP="00AE6A01">
      <w:pPr>
        <w:rPr>
          <w:rFonts w:cs="Arial"/>
        </w:rPr>
      </w:pPr>
      <w:r>
        <w:rPr>
          <w:rFonts w:cs="Arial"/>
        </w:rPr>
        <w:t xml:space="preserve">Organische Fluoreszenzfarbstoffe sind wie </w:t>
      </w:r>
      <w:proofErr w:type="spellStart"/>
      <w:r>
        <w:rPr>
          <w:rFonts w:cs="Arial"/>
        </w:rPr>
        <w:t>Chromophore</w:t>
      </w:r>
      <w:proofErr w:type="spellEnd"/>
      <w:r>
        <w:rPr>
          <w:rFonts w:cs="Arial"/>
        </w:rPr>
        <w:t xml:space="preserve"> aufgebaut. Sie absorbieren elektromagnetische Strahlung mit Hilfe ihres ausgedehnten π-Elektronensystems.</w:t>
      </w:r>
    </w:p>
    <w:p w14:paraId="7A373007" w14:textId="77777777" w:rsidR="00AE6A01" w:rsidRDefault="00AE6A01" w:rsidP="00AE6A01">
      <w:pPr>
        <w:rPr>
          <w:rFonts w:cs="Arial"/>
        </w:rPr>
      </w:pPr>
    </w:p>
    <w:tbl>
      <w:tblPr>
        <w:tblStyle w:val="Tabellenraster"/>
        <w:tblW w:w="0" w:type="auto"/>
        <w:jc w:val="center"/>
        <w:tblLook w:val="04A0" w:firstRow="1" w:lastRow="0" w:firstColumn="1" w:lastColumn="0" w:noHBand="0" w:noVBand="1"/>
      </w:tblPr>
      <w:tblGrid>
        <w:gridCol w:w="1701"/>
        <w:gridCol w:w="2616"/>
        <w:gridCol w:w="4866"/>
      </w:tblGrid>
      <w:tr w:rsidR="00AE6A01" w:rsidRPr="00AE6A01" w14:paraId="0720D956" w14:textId="77777777" w:rsidTr="0016460D">
        <w:trPr>
          <w:jc w:val="center"/>
        </w:trPr>
        <w:tc>
          <w:tcPr>
            <w:tcW w:w="1701" w:type="dxa"/>
            <w:shd w:val="clear" w:color="auto" w:fill="C7C7C7" w:themeFill="background2" w:themeFillShade="E6"/>
          </w:tcPr>
          <w:p w14:paraId="5CACC840" w14:textId="65571519" w:rsidR="00AE6A01" w:rsidRPr="00AE6A01" w:rsidRDefault="00AE6A01" w:rsidP="00AE6A01">
            <w:pPr>
              <w:jc w:val="center"/>
              <w:rPr>
                <w:rStyle w:val="Fett"/>
              </w:rPr>
            </w:pPr>
            <w:r w:rsidRPr="00AE6A01">
              <w:rPr>
                <w:rStyle w:val="Fett"/>
              </w:rPr>
              <w:t>Klasse</w:t>
            </w:r>
          </w:p>
        </w:tc>
        <w:tc>
          <w:tcPr>
            <w:tcW w:w="0" w:type="auto"/>
            <w:shd w:val="clear" w:color="auto" w:fill="C7C7C7" w:themeFill="background2" w:themeFillShade="E6"/>
          </w:tcPr>
          <w:p w14:paraId="6B8B1A49" w14:textId="3E3C13D7" w:rsidR="00AE6A01" w:rsidRPr="00AE6A01" w:rsidRDefault="00AE6A01" w:rsidP="00AE6A01">
            <w:pPr>
              <w:jc w:val="center"/>
              <w:rPr>
                <w:rStyle w:val="Fett"/>
              </w:rPr>
            </w:pPr>
            <w:r w:rsidRPr="00AE6A01">
              <w:rPr>
                <w:rStyle w:val="Fett"/>
              </w:rPr>
              <w:t>Grundgerüst</w:t>
            </w:r>
          </w:p>
        </w:tc>
        <w:tc>
          <w:tcPr>
            <w:tcW w:w="0" w:type="auto"/>
            <w:shd w:val="clear" w:color="auto" w:fill="C7C7C7" w:themeFill="background2" w:themeFillShade="E6"/>
          </w:tcPr>
          <w:p w14:paraId="527C56F5" w14:textId="57E28392" w:rsidR="00AE6A01" w:rsidRPr="00AE6A01" w:rsidRDefault="00AE6A01" w:rsidP="00AE6A01">
            <w:pPr>
              <w:jc w:val="center"/>
              <w:rPr>
                <w:rStyle w:val="Fett"/>
              </w:rPr>
            </w:pPr>
            <w:r w:rsidRPr="00AE6A01">
              <w:rPr>
                <w:rStyle w:val="Fett"/>
              </w:rPr>
              <w:t>Beispiel</w:t>
            </w:r>
          </w:p>
        </w:tc>
      </w:tr>
      <w:tr w:rsidR="00AE6A01" w14:paraId="4C4BDCB4" w14:textId="77777777" w:rsidTr="0016460D">
        <w:trPr>
          <w:jc w:val="center"/>
        </w:trPr>
        <w:tc>
          <w:tcPr>
            <w:tcW w:w="1701" w:type="dxa"/>
            <w:vAlign w:val="center"/>
          </w:tcPr>
          <w:p w14:paraId="123E740A" w14:textId="2E0F2B7E" w:rsidR="00AE6A01" w:rsidRDefault="00AE6A01" w:rsidP="0016460D">
            <w:pPr>
              <w:jc w:val="center"/>
            </w:pPr>
            <w:r>
              <w:t>Xanthen-</w:t>
            </w:r>
            <w:r w:rsidR="0016460D">
              <w:br/>
            </w:r>
            <w:r>
              <w:t>Derivate</w:t>
            </w:r>
          </w:p>
        </w:tc>
        <w:tc>
          <w:tcPr>
            <w:tcW w:w="0" w:type="auto"/>
            <w:vAlign w:val="center"/>
          </w:tcPr>
          <w:p w14:paraId="00F6552A" w14:textId="4E060D5D" w:rsidR="00AE6A01" w:rsidRDefault="00AE6A01" w:rsidP="0016460D">
            <w:pPr>
              <w:pStyle w:val="Bilder"/>
              <w:spacing w:after="240"/>
            </w:pPr>
            <w:r>
              <w:rPr>
                <w:lang w:eastAsia="de-DE"/>
              </w:rPr>
              <w:drawing>
                <wp:inline distT="0" distB="0" distL="0" distR="0" wp14:anchorId="47E706A8" wp14:editId="60F2647E">
                  <wp:extent cx="1521460" cy="675005"/>
                  <wp:effectExtent l="0" t="0" r="2540" b="0"/>
                  <wp:docPr id="11" name="Grafik 11" descr="xan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xanth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1460" cy="675005"/>
                          </a:xfrm>
                          <a:prstGeom prst="rect">
                            <a:avLst/>
                          </a:prstGeom>
                          <a:noFill/>
                          <a:ln>
                            <a:noFill/>
                          </a:ln>
                        </pic:spPr>
                      </pic:pic>
                    </a:graphicData>
                  </a:graphic>
                </wp:inline>
              </w:drawing>
            </w:r>
          </w:p>
        </w:tc>
        <w:tc>
          <w:tcPr>
            <w:tcW w:w="0" w:type="auto"/>
            <w:vAlign w:val="center"/>
          </w:tcPr>
          <w:p w14:paraId="052DE236" w14:textId="6F7C88C6" w:rsidR="00AE6A01" w:rsidRDefault="00AE6A01" w:rsidP="0016460D">
            <w:pPr>
              <w:pStyle w:val="Bilder"/>
              <w:spacing w:after="240"/>
            </w:pPr>
            <w:r>
              <w:rPr>
                <w:lang w:eastAsia="de-DE"/>
              </w:rPr>
              <w:drawing>
                <wp:inline distT="0" distB="0" distL="0" distR="0" wp14:anchorId="244BDA53" wp14:editId="7AECF4E9">
                  <wp:extent cx="1999615" cy="1418590"/>
                  <wp:effectExtent l="0" t="0" r="635" b="0"/>
                  <wp:docPr id="12" name="Grafik 12" descr="fluoresc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uoresce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9615" cy="1418590"/>
                          </a:xfrm>
                          <a:prstGeom prst="rect">
                            <a:avLst/>
                          </a:prstGeom>
                          <a:noFill/>
                          <a:ln>
                            <a:noFill/>
                          </a:ln>
                        </pic:spPr>
                      </pic:pic>
                    </a:graphicData>
                  </a:graphic>
                </wp:inline>
              </w:drawing>
            </w:r>
          </w:p>
        </w:tc>
      </w:tr>
      <w:tr w:rsidR="00AE6A01" w14:paraId="1B56E8A7" w14:textId="77777777" w:rsidTr="0016460D">
        <w:trPr>
          <w:jc w:val="center"/>
        </w:trPr>
        <w:tc>
          <w:tcPr>
            <w:tcW w:w="1701" w:type="dxa"/>
            <w:vAlign w:val="center"/>
          </w:tcPr>
          <w:p w14:paraId="3E192244" w14:textId="170454FF" w:rsidR="00AE6A01" w:rsidRDefault="00AE6A01" w:rsidP="0016460D">
            <w:pPr>
              <w:jc w:val="center"/>
            </w:pPr>
            <w:proofErr w:type="spellStart"/>
            <w:r>
              <w:t>Pyren</w:t>
            </w:r>
            <w:proofErr w:type="spellEnd"/>
            <w:r>
              <w:t>-</w:t>
            </w:r>
            <w:r w:rsidR="0016460D">
              <w:br/>
            </w:r>
            <w:r>
              <w:t>Derivate</w:t>
            </w:r>
          </w:p>
        </w:tc>
        <w:tc>
          <w:tcPr>
            <w:tcW w:w="0" w:type="auto"/>
            <w:vAlign w:val="center"/>
          </w:tcPr>
          <w:p w14:paraId="6544636B" w14:textId="2F840F3C" w:rsidR="00AE6A01" w:rsidRDefault="00AE6A01" w:rsidP="0016460D">
            <w:pPr>
              <w:pStyle w:val="Bilder"/>
              <w:spacing w:after="240"/>
            </w:pPr>
            <w:r>
              <w:rPr>
                <w:lang w:eastAsia="de-DE"/>
              </w:rPr>
              <w:drawing>
                <wp:inline distT="0" distB="0" distL="0" distR="0" wp14:anchorId="1984A59F" wp14:editId="7275E2A0">
                  <wp:extent cx="1332865" cy="1102360"/>
                  <wp:effectExtent l="0" t="0" r="635" b="2540"/>
                  <wp:docPr id="13" name="Grafik 13" descr="py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yr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2865" cy="1102360"/>
                          </a:xfrm>
                          <a:prstGeom prst="rect">
                            <a:avLst/>
                          </a:prstGeom>
                          <a:noFill/>
                          <a:ln>
                            <a:noFill/>
                          </a:ln>
                        </pic:spPr>
                      </pic:pic>
                    </a:graphicData>
                  </a:graphic>
                </wp:inline>
              </w:drawing>
            </w:r>
          </w:p>
        </w:tc>
        <w:tc>
          <w:tcPr>
            <w:tcW w:w="0" w:type="auto"/>
            <w:vAlign w:val="center"/>
          </w:tcPr>
          <w:p w14:paraId="0BA6DC1D" w14:textId="7F5AD762" w:rsidR="00AE6A01" w:rsidRDefault="00AE6A01" w:rsidP="0016460D">
            <w:pPr>
              <w:pStyle w:val="Bilder"/>
              <w:spacing w:after="240"/>
            </w:pPr>
            <w:r>
              <w:rPr>
                <w:lang w:eastAsia="de-DE"/>
              </w:rPr>
              <w:drawing>
                <wp:inline distT="0" distB="0" distL="0" distR="0" wp14:anchorId="34721523" wp14:editId="08F6CE73">
                  <wp:extent cx="2281555" cy="1991360"/>
                  <wp:effectExtent l="0" t="0" r="4445" b="8890"/>
                  <wp:docPr id="14" name="Grafik 14" descr="pyra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yran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1555" cy="1991360"/>
                          </a:xfrm>
                          <a:prstGeom prst="rect">
                            <a:avLst/>
                          </a:prstGeom>
                          <a:noFill/>
                          <a:ln>
                            <a:noFill/>
                          </a:ln>
                        </pic:spPr>
                      </pic:pic>
                    </a:graphicData>
                  </a:graphic>
                </wp:inline>
              </w:drawing>
            </w:r>
          </w:p>
        </w:tc>
      </w:tr>
      <w:tr w:rsidR="00AE6A01" w14:paraId="3BD94C05" w14:textId="77777777" w:rsidTr="0016460D">
        <w:trPr>
          <w:jc w:val="center"/>
        </w:trPr>
        <w:tc>
          <w:tcPr>
            <w:tcW w:w="1701" w:type="dxa"/>
            <w:vAlign w:val="center"/>
          </w:tcPr>
          <w:p w14:paraId="43781710" w14:textId="1C3D7469" w:rsidR="00AE6A01" w:rsidRDefault="00AE6A01" w:rsidP="0016460D">
            <w:pPr>
              <w:jc w:val="center"/>
            </w:pPr>
            <w:proofErr w:type="spellStart"/>
            <w:r>
              <w:t>Cumarin</w:t>
            </w:r>
            <w:proofErr w:type="spellEnd"/>
            <w:r>
              <w:t>-</w:t>
            </w:r>
            <w:r w:rsidR="0016460D">
              <w:br/>
            </w:r>
            <w:r>
              <w:t>Derivate</w:t>
            </w:r>
          </w:p>
        </w:tc>
        <w:tc>
          <w:tcPr>
            <w:tcW w:w="0" w:type="auto"/>
            <w:vAlign w:val="center"/>
          </w:tcPr>
          <w:p w14:paraId="71198D9D" w14:textId="243AC2FE" w:rsidR="00AE6A01" w:rsidRDefault="00AE6A01" w:rsidP="0016460D">
            <w:pPr>
              <w:pStyle w:val="Bilder"/>
              <w:spacing w:after="240"/>
            </w:pPr>
            <w:r>
              <w:rPr>
                <w:lang w:eastAsia="de-DE"/>
              </w:rPr>
              <w:drawing>
                <wp:inline distT="0" distB="0" distL="0" distR="0" wp14:anchorId="65573388" wp14:editId="2A3A9389">
                  <wp:extent cx="1332865" cy="701040"/>
                  <wp:effectExtent l="0" t="0" r="635" b="3810"/>
                  <wp:docPr id="15" name="Grafik 15" descr="cu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mar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2865" cy="701040"/>
                          </a:xfrm>
                          <a:prstGeom prst="rect">
                            <a:avLst/>
                          </a:prstGeom>
                          <a:noFill/>
                          <a:ln>
                            <a:noFill/>
                          </a:ln>
                        </pic:spPr>
                      </pic:pic>
                    </a:graphicData>
                  </a:graphic>
                </wp:inline>
              </w:drawing>
            </w:r>
          </w:p>
        </w:tc>
        <w:tc>
          <w:tcPr>
            <w:tcW w:w="0" w:type="auto"/>
            <w:vAlign w:val="center"/>
          </w:tcPr>
          <w:p w14:paraId="7C5AA0D7" w14:textId="4DE29EAD" w:rsidR="00AE6A01" w:rsidRDefault="00AE6A01" w:rsidP="0016460D">
            <w:pPr>
              <w:pStyle w:val="Bilder"/>
              <w:spacing w:after="240"/>
            </w:pPr>
            <w:r>
              <w:rPr>
                <w:lang w:eastAsia="de-DE"/>
              </w:rPr>
              <w:drawing>
                <wp:inline distT="0" distB="0" distL="0" distR="0" wp14:anchorId="1F939211" wp14:editId="177A6789">
                  <wp:extent cx="2948305" cy="1264920"/>
                  <wp:effectExtent l="0" t="0" r="4445" b="0"/>
                  <wp:docPr id="16" name="Grafik 16" descr="aesc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escul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8305" cy="1264920"/>
                          </a:xfrm>
                          <a:prstGeom prst="rect">
                            <a:avLst/>
                          </a:prstGeom>
                          <a:noFill/>
                          <a:ln>
                            <a:noFill/>
                          </a:ln>
                        </pic:spPr>
                      </pic:pic>
                    </a:graphicData>
                  </a:graphic>
                </wp:inline>
              </w:drawing>
            </w:r>
          </w:p>
        </w:tc>
      </w:tr>
    </w:tbl>
    <w:p w14:paraId="32F8BAD1" w14:textId="453A8331" w:rsidR="00C46857" w:rsidRDefault="0016460D" w:rsidP="0016460D">
      <w:pPr>
        <w:pStyle w:val="Zusammenfassung"/>
        <w:rPr>
          <w:rFonts w:cs="Arial"/>
        </w:rPr>
      </w:pPr>
      <w:r w:rsidRPr="0016460D">
        <w:rPr>
          <w:rStyle w:val="Fett"/>
        </w:rPr>
        <w:t>Zusammenfassung</w:t>
      </w:r>
      <w:r>
        <w:t xml:space="preserve">: </w:t>
      </w:r>
      <w:r>
        <w:rPr>
          <w:rFonts w:cs="Arial"/>
        </w:rPr>
        <w:t xml:space="preserve">Bei Fluoreszenz handelt es sich um eine Art der Lumineszenz. Fluoreszierende Verbindungen werden durch elektromagnetische Strahlung angeregt, woraufhin es zu einer spontanen Emission von Licht kommt. Die absorbierte Wellenlänge entspricht hier nicht der emittierten Wellenlänge, da diese aufgrund der </w:t>
      </w:r>
      <w:proofErr w:type="spellStart"/>
      <w:r>
        <w:rPr>
          <w:rFonts w:cs="Arial"/>
        </w:rPr>
        <w:t>Stokes`schen</w:t>
      </w:r>
      <w:proofErr w:type="spellEnd"/>
      <w:r>
        <w:rPr>
          <w:rFonts w:cs="Arial"/>
        </w:rPr>
        <w:t xml:space="preserve"> Verschiebung nun im sichtbaren Bereich emittiert. Natürliche und synthetische fluoreszierende Stoffe kommen in vielen Gebieten - wie zum Beispiel der Biologie, der Chemie und der Geologie - vor. Außerdem sind sie ständige Begleiter im Alltag eines jeden Menschen und aufgrund dieser ständigen Präsenz von größter Bedeutung.</w:t>
      </w:r>
    </w:p>
    <w:p w14:paraId="70C7CBA2" w14:textId="77777777" w:rsidR="00C46857" w:rsidRDefault="00C46857">
      <w:pPr>
        <w:spacing w:before="0"/>
        <w:jc w:val="left"/>
        <w:rPr>
          <w:rFonts w:cs="Arial"/>
        </w:rPr>
      </w:pPr>
      <w:r>
        <w:rPr>
          <w:rFonts w:cs="Arial"/>
        </w:rPr>
        <w:br w:type="page"/>
      </w:r>
    </w:p>
    <w:p w14:paraId="6E6BC43E" w14:textId="4E702CC9" w:rsidR="0016460D" w:rsidRPr="0016460D" w:rsidRDefault="0016460D" w:rsidP="0016460D">
      <w:pPr>
        <w:pStyle w:val="EinstiegAbschluss"/>
      </w:pPr>
      <w:r w:rsidRPr="0016460D">
        <w:rPr>
          <w:rStyle w:val="Fett"/>
        </w:rPr>
        <w:lastRenderedPageBreak/>
        <w:t>Abschluss</w:t>
      </w:r>
      <w:r>
        <w:t xml:space="preserve">: </w:t>
      </w:r>
      <w:r w:rsidRPr="0016460D">
        <w:t xml:space="preserve">Auf Schwarzlichtpartys kommen Lampen zum Einsatz, die elektromagnetische Strahlung im Bereich von ca. 366 </w:t>
      </w:r>
      <w:proofErr w:type="spellStart"/>
      <w:r w:rsidRPr="0016460D">
        <w:t>nm</w:t>
      </w:r>
      <w:proofErr w:type="spellEnd"/>
      <w:r w:rsidRPr="0016460D">
        <w:t xml:space="preserve"> aussenden. Diese regen die organischen Fluoreszenzfarbstoffe </w:t>
      </w:r>
      <w:r w:rsidR="00C46857">
        <w:t>(</w:t>
      </w:r>
      <w:r w:rsidRPr="0016460D">
        <w:t>optische Aufheller</w:t>
      </w:r>
      <w:r w:rsidR="00C46857">
        <w:t>)</w:t>
      </w:r>
      <w:r w:rsidRPr="0016460D">
        <w:t xml:space="preserve"> des Waschmittels in der Kleidung an, woraufhin diese blaues Licht als Fluoreszenz emittieren. Die </w:t>
      </w:r>
      <w:proofErr w:type="spellStart"/>
      <w:r w:rsidRPr="0016460D">
        <w:t>Stokes`sche</w:t>
      </w:r>
      <w:proofErr w:type="spellEnd"/>
      <w:r w:rsidRPr="0016460D">
        <w:t xml:space="preserve"> Verschiebung erfolgt hier vom UV-Bereich in den sichtbaren blauen Bereich des Spektrums. Die weiße Kleidung leuchtet besonders gut, da in Vollwaschmitteln besonders viele optische Aufheller enthalten sind, damit ein Gelbstich der Kleidung weitestgehend vermieden</w:t>
      </w:r>
      <w:r w:rsidR="00C46857">
        <w:t>, besser „überdeckt“,</w:t>
      </w:r>
      <w:r w:rsidRPr="0016460D">
        <w:t xml:space="preserve"> wird. Bei der durchscheinenden Unterwäsche handelt es sich um dasselbe Prinzip. Je weitmaschiger das Obermaterial - zum Beispiel eine Jeans - desto leichter können die optischen Aufheller in der weißen Unterwäsche angeregt werden und die blaue Fluoreszenz durch die Jeans hindurchleuchten. </w:t>
      </w:r>
    </w:p>
    <w:p w14:paraId="2A8C06EE" w14:textId="331BCCB5" w:rsidR="00931B30" w:rsidRDefault="00931B30" w:rsidP="00931B30">
      <w:pPr>
        <w:rPr>
          <w:b/>
          <w:bCs/>
        </w:rPr>
      </w:pPr>
      <w:r w:rsidRPr="000E61E0">
        <w:rPr>
          <w:b/>
          <w:bCs/>
        </w:rPr>
        <w:t>Quellen:</w:t>
      </w:r>
    </w:p>
    <w:p w14:paraId="4C60588E" w14:textId="0DBB9EFA" w:rsidR="00F84A8A" w:rsidRDefault="00F84A8A" w:rsidP="00F84A8A">
      <w:pPr>
        <w:pStyle w:val="AufzhlungStandard"/>
      </w:pPr>
      <w:r>
        <w:t xml:space="preserve">Dorn-Bader (2000). </w:t>
      </w:r>
      <w:r>
        <w:rPr>
          <w:rStyle w:val="Hervorhebung"/>
          <w:rFonts w:cs="Arial"/>
        </w:rPr>
        <w:t>Physik in einem Band</w:t>
      </w:r>
      <w:r>
        <w:t>. Hannover: Schroedel Schulbuchverlag GmbH</w:t>
      </w:r>
    </w:p>
    <w:p w14:paraId="273227AA" w14:textId="71CE8355" w:rsidR="00F84A8A" w:rsidRDefault="00F84A8A" w:rsidP="00F84A8A">
      <w:pPr>
        <w:pStyle w:val="AufzhlungStandard"/>
      </w:pPr>
      <w:proofErr w:type="spellStart"/>
      <w:r>
        <w:t>Grehn</w:t>
      </w:r>
      <w:proofErr w:type="spellEnd"/>
      <w:r>
        <w:t>, J. (1998).</w:t>
      </w:r>
      <w:r>
        <w:rPr>
          <w:rStyle w:val="Hervorhebung"/>
          <w:rFonts w:cs="Arial"/>
        </w:rPr>
        <w:t xml:space="preserve"> Metzler Physik</w:t>
      </w:r>
      <w:r>
        <w:t>. Hannover: Schroedel Schulbuchverlag GmbH</w:t>
      </w:r>
    </w:p>
    <w:p w14:paraId="4A2863B3" w14:textId="1A913BA8" w:rsidR="00F84A8A" w:rsidRDefault="00F84A8A" w:rsidP="00F84A8A">
      <w:pPr>
        <w:pStyle w:val="AufzhlungStandard"/>
      </w:pPr>
      <w:r>
        <w:rPr>
          <w:rFonts w:cs="Arial"/>
        </w:rPr>
        <w:t xml:space="preserve">Atkins, P. W., &amp; de Paula, J. (2013). </w:t>
      </w:r>
      <w:r>
        <w:rPr>
          <w:rStyle w:val="Hervorhebung"/>
          <w:rFonts w:cs="Arial"/>
        </w:rPr>
        <w:t>Physikalische Chemie</w:t>
      </w:r>
      <w:r>
        <w:rPr>
          <w:rFonts w:cs="Arial"/>
          <w:i/>
          <w:iCs/>
        </w:rPr>
        <w:t>.</w:t>
      </w:r>
      <w:r>
        <w:rPr>
          <w:rFonts w:cs="Arial"/>
        </w:rPr>
        <w:t xml:space="preserve"> Weinheim: WILEY-VCH Verlag</w:t>
      </w:r>
    </w:p>
    <w:p w14:paraId="0A8593AF" w14:textId="50AA6589" w:rsidR="00F84A8A" w:rsidRDefault="00F84A8A" w:rsidP="00F84A8A">
      <w:pPr>
        <w:pStyle w:val="AufzhlungStandard"/>
      </w:pPr>
      <w:proofErr w:type="spellStart"/>
      <w:r>
        <w:t>Cammann</w:t>
      </w:r>
      <w:proofErr w:type="spellEnd"/>
      <w:r>
        <w:t xml:space="preserve">, K. (Hrsg.) (2000). </w:t>
      </w:r>
      <w:r>
        <w:rPr>
          <w:rStyle w:val="Hervorhebung"/>
          <w:rFonts w:cs="Arial"/>
        </w:rPr>
        <w:t>Instrumentelle Analytische Chemie - Verfahren, Anwendungen, Qualitätssicherung</w:t>
      </w:r>
      <w:r>
        <w:t>. Heidelberg: Springer Spektrum</w:t>
      </w:r>
    </w:p>
    <w:p w14:paraId="417F6941" w14:textId="340619E1" w:rsidR="00F84A8A" w:rsidRDefault="00F84A8A" w:rsidP="00F84A8A">
      <w:pPr>
        <w:pStyle w:val="AufzhlungStandard"/>
      </w:pPr>
      <w:r>
        <w:t xml:space="preserve">Weiß, D., &amp; Brandl, H. (2013). </w:t>
      </w:r>
      <w:proofErr w:type="spellStart"/>
      <w:r>
        <w:t>Cumarine</w:t>
      </w:r>
      <w:proofErr w:type="spellEnd"/>
      <w:r>
        <w:t xml:space="preserve"> - Fluoreszenzfarbstoffe in der Natur. </w:t>
      </w:r>
      <w:r>
        <w:rPr>
          <w:i/>
          <w:iCs/>
        </w:rPr>
        <w:t>Chemie unserer Zeit, 47</w:t>
      </w:r>
      <w:r>
        <w:t>, S. 50-54</w:t>
      </w:r>
    </w:p>
    <w:p w14:paraId="4FF5C3CB" w14:textId="5F2766F1" w:rsidR="00F84A8A" w:rsidRDefault="00C46857" w:rsidP="00F84A8A">
      <w:pPr>
        <w:pStyle w:val="AufzhlungStandard"/>
      </w:pPr>
      <w:hyperlink r:id="rId25" w:history="1">
        <w:r w:rsidR="00F84A8A">
          <w:rPr>
            <w:rStyle w:val="Hyperlink"/>
            <w:rFonts w:cs="Arial"/>
          </w:rPr>
          <w:t>http://blog.mineralium.com/uv-lampen-in-der-praxis/</w:t>
        </w:r>
      </w:hyperlink>
      <w:r w:rsidR="00F84A8A">
        <w:t>, 17.07.2018</w:t>
      </w:r>
    </w:p>
    <w:p w14:paraId="22653324" w14:textId="05A5174D" w:rsidR="00F84A8A" w:rsidRDefault="00C46857" w:rsidP="00F84A8A">
      <w:pPr>
        <w:pStyle w:val="AufzhlungStandard"/>
      </w:pPr>
      <w:hyperlink r:id="rId26" w:history="1">
        <w:r w:rsidR="00F84A8A">
          <w:rPr>
            <w:rStyle w:val="Hyperlink"/>
            <w:rFonts w:cs="Arial"/>
          </w:rPr>
          <w:t>http://de.wikipedia.org/wiki/Fluoreszenz</w:t>
        </w:r>
      </w:hyperlink>
      <w:r w:rsidR="00F84A8A">
        <w:t>, 17.07.2018</w:t>
      </w:r>
    </w:p>
    <w:p w14:paraId="1F67B13D" w14:textId="297BA018" w:rsidR="00F84A8A" w:rsidRDefault="00C46857" w:rsidP="00F84A8A">
      <w:pPr>
        <w:pStyle w:val="AufzhlungStandard"/>
      </w:pPr>
      <w:hyperlink r:id="rId27" w:history="1">
        <w:r w:rsidR="00F84A8A">
          <w:rPr>
            <w:rStyle w:val="Hyperlink"/>
            <w:rFonts w:cs="Arial"/>
          </w:rPr>
          <w:t>http://de.wikipedia.org/wiki/Leuchtstofflampe</w:t>
        </w:r>
      </w:hyperlink>
      <w:r w:rsidR="00F84A8A">
        <w:t>, 17.07.2018</w:t>
      </w:r>
    </w:p>
    <w:bookmarkStart w:id="17" w:name="_Ref53039007"/>
    <w:p w14:paraId="68073DBC" w14:textId="37B0CECB" w:rsidR="00F84A8A" w:rsidRDefault="00F84A8A" w:rsidP="00F84A8A">
      <w:pPr>
        <w:pStyle w:val="AufzhlungStandard"/>
      </w:pPr>
      <w:r>
        <w:fldChar w:fldCharType="begin"/>
      </w:r>
      <w:r>
        <w:instrText xml:space="preserve"> HYPERLINK "https://www.itp.uni-hannover.de/fileadmin/arbeitsgruppen/zawischa/static_html/lumineszenz.html" </w:instrText>
      </w:r>
      <w:r>
        <w:fldChar w:fldCharType="separate"/>
      </w:r>
      <w:r>
        <w:rPr>
          <w:rStyle w:val="Hyperlink"/>
          <w:rFonts w:cs="Arial"/>
        </w:rPr>
        <w:t>https://www.itp.uni-hannover.de/fileadmin/arbeitsgruppen/zawischa/static_html/lumineszenz.html</w:t>
      </w:r>
      <w:r>
        <w:fldChar w:fldCharType="end"/>
      </w:r>
      <w:r>
        <w:t>, 17.07.2018, Genehmigung erteilt</w:t>
      </w:r>
      <w:bookmarkEnd w:id="17"/>
    </w:p>
    <w:bookmarkStart w:id="18" w:name="_Ref53039317"/>
    <w:p w14:paraId="78D8478F" w14:textId="0ACB2A4D" w:rsidR="00F84A8A" w:rsidRDefault="00F84A8A" w:rsidP="00F84A8A">
      <w:pPr>
        <w:pStyle w:val="AufzhlungStandard"/>
      </w:pPr>
      <w:r>
        <w:fldChar w:fldCharType="begin"/>
      </w:r>
      <w:r>
        <w:instrText xml:space="preserve"> HYPERLINK "https://www.flickr.com/photos/29945479@N07/2927949067" </w:instrText>
      </w:r>
      <w:r>
        <w:fldChar w:fldCharType="separate"/>
      </w:r>
      <w:r>
        <w:rPr>
          <w:rStyle w:val="Hyperlink"/>
          <w:rFonts w:cs="Arial"/>
        </w:rPr>
        <w:t>https://www.flickr.com/photos/29945479@N07/2927949067</w:t>
      </w:r>
      <w:r>
        <w:fldChar w:fldCharType="end"/>
      </w:r>
      <w:r>
        <w:t>, 17.07.2018</w:t>
      </w:r>
      <w:bookmarkEnd w:id="18"/>
    </w:p>
    <w:p w14:paraId="79B8D49A" w14:textId="37FA0E45" w:rsidR="004A4B07" w:rsidRPr="00286533" w:rsidRDefault="00C46857" w:rsidP="00F84A8A">
      <w:pPr>
        <w:pStyle w:val="AufzhlungStandard"/>
      </w:pPr>
      <w:hyperlink r:id="rId28" w:history="1">
        <w:r w:rsidR="00F84A8A">
          <w:rPr>
            <w:rStyle w:val="Hyperlink"/>
            <w:rFonts w:cs="Arial"/>
          </w:rPr>
          <w:t>http://www.univie.ac.at/mikroskopie/3_fluoreszenz/definition/1_einleitung.htm</w:t>
        </w:r>
      </w:hyperlink>
      <w:r w:rsidR="00F84A8A">
        <w:t>, 17.07.2018</w:t>
      </w:r>
      <w:bookmarkStart w:id="19" w:name="_GoBack"/>
      <w:bookmarkEnd w:id="19"/>
    </w:p>
    <w:sectPr w:rsidR="004A4B07" w:rsidRPr="00286533" w:rsidSect="00C17957">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AE6A01" w:rsidRDefault="00AE6A01" w:rsidP="005A7DCE">
      <w:pPr>
        <w:spacing w:before="0"/>
      </w:pPr>
      <w:r>
        <w:separator/>
      </w:r>
    </w:p>
  </w:endnote>
  <w:endnote w:type="continuationSeparator" w:id="0">
    <w:p w14:paraId="3214F425" w14:textId="77777777" w:rsidR="00AE6A01" w:rsidRDefault="00AE6A01"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AE6A01" w:rsidRDefault="00AE6A0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731B3486" w:rsidR="00AE6A01" w:rsidRDefault="00AE6A01">
        <w:pPr>
          <w:pStyle w:val="Fuzeile"/>
          <w:jc w:val="center"/>
        </w:pPr>
        <w:r>
          <w:fldChar w:fldCharType="begin"/>
        </w:r>
        <w:r>
          <w:instrText>PAGE    \* MERGEFORMAT</w:instrText>
        </w:r>
        <w:r>
          <w:fldChar w:fldCharType="separate"/>
        </w:r>
        <w:r w:rsidR="00C46857">
          <w:rPr>
            <w:noProof/>
          </w:rPr>
          <w:t>8</w:t>
        </w:r>
        <w:r>
          <w:fldChar w:fldCharType="end"/>
        </w:r>
      </w:p>
    </w:sdtContent>
  </w:sdt>
  <w:p w14:paraId="69DF8B39" w14:textId="77777777" w:rsidR="00AE6A01" w:rsidRDefault="00AE6A0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AE6A01" w:rsidRDefault="00AE6A01" w:rsidP="005A7DCE">
      <w:pPr>
        <w:spacing w:before="0"/>
      </w:pPr>
      <w:r>
        <w:separator/>
      </w:r>
    </w:p>
  </w:footnote>
  <w:footnote w:type="continuationSeparator" w:id="0">
    <w:p w14:paraId="026CC8B6" w14:textId="77777777" w:rsidR="00AE6A01" w:rsidRDefault="00AE6A01"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2E802A43"/>
    <w:multiLevelType w:val="multilevel"/>
    <w:tmpl w:val="E954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6460D"/>
    <w:rsid w:val="001B0E73"/>
    <w:rsid w:val="001D6942"/>
    <w:rsid w:val="00286533"/>
    <w:rsid w:val="0033663A"/>
    <w:rsid w:val="0036111E"/>
    <w:rsid w:val="004A4B07"/>
    <w:rsid w:val="005633FE"/>
    <w:rsid w:val="005A7DCE"/>
    <w:rsid w:val="00623ACA"/>
    <w:rsid w:val="007161D1"/>
    <w:rsid w:val="007514D3"/>
    <w:rsid w:val="00783295"/>
    <w:rsid w:val="007B2C80"/>
    <w:rsid w:val="007F18E1"/>
    <w:rsid w:val="008117E4"/>
    <w:rsid w:val="00825BFE"/>
    <w:rsid w:val="00850560"/>
    <w:rsid w:val="00883728"/>
    <w:rsid w:val="008A524D"/>
    <w:rsid w:val="00931B30"/>
    <w:rsid w:val="009710A6"/>
    <w:rsid w:val="009B4835"/>
    <w:rsid w:val="00A21130"/>
    <w:rsid w:val="00A228C5"/>
    <w:rsid w:val="00A5383F"/>
    <w:rsid w:val="00AA5D66"/>
    <w:rsid w:val="00AB7E4B"/>
    <w:rsid w:val="00AE53F0"/>
    <w:rsid w:val="00AE6A01"/>
    <w:rsid w:val="00AF7672"/>
    <w:rsid w:val="00B85024"/>
    <w:rsid w:val="00C17957"/>
    <w:rsid w:val="00C46857"/>
    <w:rsid w:val="00C511E6"/>
    <w:rsid w:val="00CA413D"/>
    <w:rsid w:val="00D97908"/>
    <w:rsid w:val="00E14DE1"/>
    <w:rsid w:val="00E20AF3"/>
    <w:rsid w:val="00E50811"/>
    <w:rsid w:val="00E54A99"/>
    <w:rsid w:val="00E8473B"/>
    <w:rsid w:val="00F76D18"/>
    <w:rsid w:val="00F84A8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basedOn w:val="Absatz-Standardschriftart"/>
    <w:uiPriority w:val="99"/>
    <w:semiHidden/>
    <w:unhideWhenUsed/>
    <w:rsid w:val="00F84A8A"/>
    <w:rPr>
      <w:color w:val="0000FF" w:themeColor="followedHyperlink"/>
      <w:u w:val="singl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A228C5"/>
    <w:pPr>
      <w:numPr>
        <w:numId w:val="8"/>
      </w:numPr>
      <w:contextualSpacing w:val="0"/>
    </w:pPr>
    <w:rPr>
      <w:color w:val="00BF00" w:themeColor="accent3" w:themeShade="BF"/>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A228C5"/>
    <w:rPr>
      <w:color w:val="00BF00" w:themeColor="accent3" w:themeShade="BF"/>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1B0E73"/>
    <w:pPr>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F84A8A"/>
    <w:rPr>
      <w:i/>
      <w:iCs/>
    </w:rPr>
  </w:style>
  <w:style w:type="character" w:styleId="Fett">
    <w:name w:val="Strong"/>
    <w:basedOn w:val="Absatz-Standardschriftart"/>
    <w:uiPriority w:val="22"/>
    <w:qFormat/>
    <w:rsid w:val="00F84A8A"/>
    <w:rPr>
      <w:b/>
      <w:bCs/>
    </w:rPr>
  </w:style>
  <w:style w:type="paragraph" w:styleId="StandardWeb">
    <w:name w:val="Normal (Web)"/>
    <w:basedOn w:val="Standard"/>
    <w:uiPriority w:val="99"/>
    <w:semiHidden/>
    <w:unhideWhenUsed/>
    <w:rsid w:val="00F84A8A"/>
    <w:pPr>
      <w:spacing w:before="100" w:beforeAutospacing="1" w:after="100" w:afterAutospacing="1"/>
      <w:jc w:val="left"/>
    </w:pPr>
    <w:rPr>
      <w:rFonts w:ascii="Times New Roman" w:eastAsia="Times New Roman" w:hAnsi="Times New Roman" w:cs="Times New Roman"/>
      <w:szCs w:val="24"/>
      <w:lang w:eastAsia="de-DE"/>
    </w:rPr>
  </w:style>
  <w:style w:type="table" w:styleId="Tabellenraster">
    <w:name w:val="Table Grid"/>
    <w:basedOn w:val="NormaleTabelle"/>
    <w:uiPriority w:val="39"/>
    <w:rsid w:val="00A2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597174">
      <w:bodyDiv w:val="1"/>
      <w:marLeft w:val="0"/>
      <w:marRight w:val="0"/>
      <w:marTop w:val="0"/>
      <w:marBottom w:val="0"/>
      <w:divBdr>
        <w:top w:val="none" w:sz="0" w:space="0" w:color="auto"/>
        <w:left w:val="none" w:sz="0" w:space="0" w:color="auto"/>
        <w:bottom w:val="none" w:sz="0" w:space="0" w:color="auto"/>
        <w:right w:val="none" w:sz="0" w:space="0" w:color="auto"/>
      </w:divBdr>
    </w:div>
    <w:div w:id="1405494200">
      <w:bodyDiv w:val="1"/>
      <w:marLeft w:val="0"/>
      <w:marRight w:val="0"/>
      <w:marTop w:val="0"/>
      <w:marBottom w:val="0"/>
      <w:divBdr>
        <w:top w:val="none" w:sz="0" w:space="0" w:color="auto"/>
        <w:left w:val="none" w:sz="0" w:space="0" w:color="auto"/>
        <w:bottom w:val="none" w:sz="0" w:space="0" w:color="auto"/>
        <w:right w:val="none" w:sz="0" w:space="0" w:color="auto"/>
      </w:divBdr>
    </w:div>
    <w:div w:id="1501703174">
      <w:bodyDiv w:val="1"/>
      <w:marLeft w:val="0"/>
      <w:marRight w:val="0"/>
      <w:marTop w:val="0"/>
      <w:marBottom w:val="0"/>
      <w:divBdr>
        <w:top w:val="none" w:sz="0" w:space="0" w:color="auto"/>
        <w:left w:val="none" w:sz="0" w:space="0" w:color="auto"/>
        <w:bottom w:val="none" w:sz="0" w:space="0" w:color="auto"/>
        <w:right w:val="none" w:sz="0" w:space="0" w:color="auto"/>
      </w:divBdr>
    </w:div>
    <w:div w:id="173566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http://de.wikipedia.org/wiki/Fluoreszenz" TargetMode="Externa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hyperlink" Target="http://blog.mineralium.com/uv-lampen-in-der-praxis/"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gif"/><Relationship Id="rId28" Type="http://schemas.openxmlformats.org/officeDocument/2006/relationships/hyperlink" Target="http://www.univie.ac.at/mikroskopie/3_fluoreszenz/definition/1_einleitung.htm" TargetMode="External"/><Relationship Id="rId10" Type="http://schemas.openxmlformats.org/officeDocument/2006/relationships/image" Target="media/image3.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 Id="rId22" Type="http://schemas.openxmlformats.org/officeDocument/2006/relationships/image" Target="media/image14.gif"/><Relationship Id="rId27" Type="http://schemas.openxmlformats.org/officeDocument/2006/relationships/hyperlink" Target="http://de.wikipedia.org/wiki/Leuchtstofflampe"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82A06-331C-41FD-8C8D-BB273622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1940</Words>
  <Characters>12227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2020-12-04T08:04:00Z</cp:lastPrinted>
  <dcterms:created xsi:type="dcterms:W3CDTF">2020-10-08T06:09:00Z</dcterms:created>
  <dcterms:modified xsi:type="dcterms:W3CDTF">2020-12-04T08:04:00Z</dcterms:modified>
</cp:coreProperties>
</file>