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84850" w:rsidRDefault="00884850"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84850" w:rsidRDefault="00884850"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1E340F6" w:rsidR="00AE53F0" w:rsidRPr="0025211D" w:rsidRDefault="00E8473B" w:rsidP="0025211D">
      <w:pPr>
        <w:pStyle w:val="Seminar"/>
      </w:pPr>
      <w:r w:rsidRPr="0025211D">
        <w:t>Seminar</w:t>
      </w:r>
      <w:r w:rsidR="00FD7888" w:rsidRPr="0025211D">
        <w:t xml:space="preserve"> „Übungen im Vortragen –</w:t>
      </w:r>
      <w:r w:rsidR="0025211D" w:rsidRPr="0025211D">
        <w:t xml:space="preserve"> </w:t>
      </w:r>
      <w:r w:rsidR="00FD7888" w:rsidRPr="0025211D">
        <w:t>PC“</w:t>
      </w:r>
    </w:p>
    <w:p w14:paraId="61C6F5BC" w14:textId="2B8E049D" w:rsidR="00E8473B" w:rsidRDefault="0025211D" w:rsidP="005633FE">
      <w:pPr>
        <w:pStyle w:val="Titel"/>
      </w:pPr>
      <w:r>
        <w:t>Freie Enthalpie</w:t>
      </w:r>
    </w:p>
    <w:p w14:paraId="28CE20D7" w14:textId="2BA23316" w:rsidR="00E8473B" w:rsidRDefault="0025211D" w:rsidP="00E8473B">
      <w:pPr>
        <w:pStyle w:val="Autor"/>
      </w:pPr>
      <w:r>
        <w:t>Julia Wank, WS 11/12</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31032982" w14:textId="791BBFC7" w:rsidR="00E12BE7"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16725" w:history="1">
            <w:r w:rsidR="00E12BE7" w:rsidRPr="0000277B">
              <w:rPr>
                <w:rStyle w:val="Hyperlink"/>
                <w:noProof/>
              </w:rPr>
              <w:t>1</w:t>
            </w:r>
            <w:r w:rsidR="00E12BE7">
              <w:rPr>
                <w:rFonts w:asciiTheme="minorHAnsi" w:eastAsiaTheme="minorEastAsia" w:hAnsiTheme="minorHAnsi"/>
                <w:noProof/>
                <w:sz w:val="22"/>
                <w:lang w:eastAsia="de-DE"/>
              </w:rPr>
              <w:tab/>
            </w:r>
            <w:r w:rsidR="00E12BE7" w:rsidRPr="0000277B">
              <w:rPr>
                <w:rStyle w:val="Hyperlink"/>
                <w:noProof/>
              </w:rPr>
              <w:t>Die freie Enthalpie als thermodynamische Größe</w:t>
            </w:r>
            <w:r w:rsidR="00E12BE7">
              <w:rPr>
                <w:noProof/>
                <w:webHidden/>
              </w:rPr>
              <w:tab/>
            </w:r>
            <w:r w:rsidR="00E12BE7">
              <w:rPr>
                <w:noProof/>
                <w:webHidden/>
              </w:rPr>
              <w:fldChar w:fldCharType="begin"/>
            </w:r>
            <w:r w:rsidR="00E12BE7">
              <w:rPr>
                <w:noProof/>
                <w:webHidden/>
              </w:rPr>
              <w:instrText xml:space="preserve"> PAGEREF _Toc51916725 \h </w:instrText>
            </w:r>
            <w:r w:rsidR="00E12BE7">
              <w:rPr>
                <w:noProof/>
                <w:webHidden/>
              </w:rPr>
            </w:r>
            <w:r w:rsidR="00E12BE7">
              <w:rPr>
                <w:noProof/>
                <w:webHidden/>
              </w:rPr>
              <w:fldChar w:fldCharType="separate"/>
            </w:r>
            <w:r w:rsidR="00B55670">
              <w:rPr>
                <w:noProof/>
                <w:webHidden/>
              </w:rPr>
              <w:t>1</w:t>
            </w:r>
            <w:r w:rsidR="00E12BE7">
              <w:rPr>
                <w:noProof/>
                <w:webHidden/>
              </w:rPr>
              <w:fldChar w:fldCharType="end"/>
            </w:r>
          </w:hyperlink>
        </w:p>
        <w:p w14:paraId="615C271B" w14:textId="52607A6C" w:rsidR="00E12BE7" w:rsidRDefault="00B55670">
          <w:pPr>
            <w:pStyle w:val="Verzeichnis1"/>
            <w:tabs>
              <w:tab w:val="left" w:pos="480"/>
              <w:tab w:val="right" w:leader="dot" w:pos="9344"/>
            </w:tabs>
            <w:rPr>
              <w:rFonts w:asciiTheme="minorHAnsi" w:eastAsiaTheme="minorEastAsia" w:hAnsiTheme="minorHAnsi"/>
              <w:noProof/>
              <w:sz w:val="22"/>
              <w:lang w:eastAsia="de-DE"/>
            </w:rPr>
          </w:pPr>
          <w:hyperlink w:anchor="_Toc51916726" w:history="1">
            <w:r w:rsidR="00E12BE7" w:rsidRPr="0000277B">
              <w:rPr>
                <w:rStyle w:val="Hyperlink"/>
                <w:noProof/>
              </w:rPr>
              <w:t>2</w:t>
            </w:r>
            <w:r w:rsidR="00E12BE7">
              <w:rPr>
                <w:rFonts w:asciiTheme="minorHAnsi" w:eastAsiaTheme="minorEastAsia" w:hAnsiTheme="minorHAnsi"/>
                <w:noProof/>
                <w:sz w:val="22"/>
                <w:lang w:eastAsia="de-DE"/>
              </w:rPr>
              <w:tab/>
            </w:r>
            <w:r w:rsidR="00E12BE7" w:rsidRPr="0000277B">
              <w:rPr>
                <w:rStyle w:val="Hyperlink"/>
                <w:noProof/>
              </w:rPr>
              <w:t>Die freie Standard-Reaktionsenthalpie</w:t>
            </w:r>
            <w:r w:rsidR="00E12BE7">
              <w:rPr>
                <w:noProof/>
                <w:webHidden/>
              </w:rPr>
              <w:tab/>
            </w:r>
            <w:r w:rsidR="00E12BE7">
              <w:rPr>
                <w:noProof/>
                <w:webHidden/>
              </w:rPr>
              <w:fldChar w:fldCharType="begin"/>
            </w:r>
            <w:r w:rsidR="00E12BE7">
              <w:rPr>
                <w:noProof/>
                <w:webHidden/>
              </w:rPr>
              <w:instrText xml:space="preserve"> PAGEREF _Toc51916726 \h </w:instrText>
            </w:r>
            <w:r w:rsidR="00E12BE7">
              <w:rPr>
                <w:noProof/>
                <w:webHidden/>
              </w:rPr>
            </w:r>
            <w:r w:rsidR="00E12BE7">
              <w:rPr>
                <w:noProof/>
                <w:webHidden/>
              </w:rPr>
              <w:fldChar w:fldCharType="separate"/>
            </w:r>
            <w:r>
              <w:rPr>
                <w:noProof/>
                <w:webHidden/>
              </w:rPr>
              <w:t>2</w:t>
            </w:r>
            <w:r w:rsidR="00E12BE7">
              <w:rPr>
                <w:noProof/>
                <w:webHidden/>
              </w:rPr>
              <w:fldChar w:fldCharType="end"/>
            </w:r>
          </w:hyperlink>
        </w:p>
        <w:p w14:paraId="27553092" w14:textId="34811A05" w:rsidR="00E12BE7" w:rsidRDefault="00B55670">
          <w:pPr>
            <w:pStyle w:val="Verzeichnis1"/>
            <w:tabs>
              <w:tab w:val="left" w:pos="480"/>
              <w:tab w:val="right" w:leader="dot" w:pos="9344"/>
            </w:tabs>
            <w:rPr>
              <w:rFonts w:asciiTheme="minorHAnsi" w:eastAsiaTheme="minorEastAsia" w:hAnsiTheme="minorHAnsi"/>
              <w:noProof/>
              <w:sz w:val="22"/>
              <w:lang w:eastAsia="de-DE"/>
            </w:rPr>
          </w:pPr>
          <w:hyperlink w:anchor="_Toc51916727" w:history="1">
            <w:r w:rsidR="00E12BE7" w:rsidRPr="0000277B">
              <w:rPr>
                <w:rStyle w:val="Hyperlink"/>
                <w:rFonts w:cstheme="minorHAnsi"/>
                <w:noProof/>
              </w:rPr>
              <w:t>3</w:t>
            </w:r>
            <w:r w:rsidR="00E12BE7">
              <w:rPr>
                <w:rFonts w:asciiTheme="minorHAnsi" w:eastAsiaTheme="minorEastAsia" w:hAnsiTheme="minorHAnsi"/>
                <w:noProof/>
                <w:sz w:val="22"/>
                <w:lang w:eastAsia="de-DE"/>
              </w:rPr>
              <w:tab/>
            </w:r>
            <w:r w:rsidR="00E12BE7" w:rsidRPr="0000277B">
              <w:rPr>
                <w:rStyle w:val="Hyperlink"/>
                <w:rFonts w:cstheme="minorHAnsi"/>
                <w:noProof/>
              </w:rPr>
              <w:t>Experiment</w:t>
            </w:r>
            <w:r w:rsidR="00E12BE7">
              <w:rPr>
                <w:noProof/>
                <w:webHidden/>
              </w:rPr>
              <w:tab/>
            </w:r>
            <w:r w:rsidR="00E12BE7">
              <w:rPr>
                <w:noProof/>
                <w:webHidden/>
              </w:rPr>
              <w:fldChar w:fldCharType="begin"/>
            </w:r>
            <w:r w:rsidR="00E12BE7">
              <w:rPr>
                <w:noProof/>
                <w:webHidden/>
              </w:rPr>
              <w:instrText xml:space="preserve"> PAGEREF _Toc51916727 \h </w:instrText>
            </w:r>
            <w:r w:rsidR="00E12BE7">
              <w:rPr>
                <w:noProof/>
                <w:webHidden/>
              </w:rPr>
            </w:r>
            <w:r w:rsidR="00E12BE7">
              <w:rPr>
                <w:noProof/>
                <w:webHidden/>
              </w:rPr>
              <w:fldChar w:fldCharType="separate"/>
            </w:r>
            <w:r>
              <w:rPr>
                <w:noProof/>
                <w:webHidden/>
              </w:rPr>
              <w:t>3</w:t>
            </w:r>
            <w:r w:rsidR="00E12BE7">
              <w:rPr>
                <w:noProof/>
                <w:webHidden/>
              </w:rPr>
              <w:fldChar w:fldCharType="end"/>
            </w:r>
          </w:hyperlink>
        </w:p>
        <w:p w14:paraId="0A350AE3" w14:textId="62144C72" w:rsidR="00E12BE7" w:rsidRDefault="00B55670">
          <w:pPr>
            <w:pStyle w:val="Verzeichnis1"/>
            <w:tabs>
              <w:tab w:val="left" w:pos="480"/>
              <w:tab w:val="right" w:leader="dot" w:pos="9344"/>
            </w:tabs>
            <w:rPr>
              <w:rFonts w:asciiTheme="minorHAnsi" w:eastAsiaTheme="minorEastAsia" w:hAnsiTheme="minorHAnsi"/>
              <w:noProof/>
              <w:sz w:val="22"/>
              <w:lang w:eastAsia="de-DE"/>
            </w:rPr>
          </w:pPr>
          <w:hyperlink w:anchor="_Toc51916728" w:history="1">
            <w:r w:rsidR="00E12BE7" w:rsidRPr="0000277B">
              <w:rPr>
                <w:rStyle w:val="Hyperlink"/>
                <w:noProof/>
              </w:rPr>
              <w:t>4</w:t>
            </w:r>
            <w:r w:rsidR="00E12BE7">
              <w:rPr>
                <w:rFonts w:asciiTheme="minorHAnsi" w:eastAsiaTheme="minorEastAsia" w:hAnsiTheme="minorHAnsi"/>
                <w:noProof/>
                <w:sz w:val="22"/>
                <w:lang w:eastAsia="de-DE"/>
              </w:rPr>
              <w:tab/>
            </w:r>
            <w:r w:rsidR="00E12BE7" w:rsidRPr="0000277B">
              <w:rPr>
                <w:rStyle w:val="Hyperlink"/>
                <w:noProof/>
              </w:rPr>
              <w:t>Exergonische Prozesse im aeroben Stoff-Abbau</w:t>
            </w:r>
            <w:r w:rsidR="00E12BE7">
              <w:rPr>
                <w:noProof/>
                <w:webHidden/>
              </w:rPr>
              <w:tab/>
            </w:r>
            <w:r w:rsidR="00E12BE7">
              <w:rPr>
                <w:noProof/>
                <w:webHidden/>
              </w:rPr>
              <w:fldChar w:fldCharType="begin"/>
            </w:r>
            <w:r w:rsidR="00E12BE7">
              <w:rPr>
                <w:noProof/>
                <w:webHidden/>
              </w:rPr>
              <w:instrText xml:space="preserve"> PAGEREF _Toc51916728 \h </w:instrText>
            </w:r>
            <w:r w:rsidR="00E12BE7">
              <w:rPr>
                <w:noProof/>
                <w:webHidden/>
              </w:rPr>
            </w:r>
            <w:r w:rsidR="00E12BE7">
              <w:rPr>
                <w:noProof/>
                <w:webHidden/>
              </w:rPr>
              <w:fldChar w:fldCharType="separate"/>
            </w:r>
            <w:r>
              <w:rPr>
                <w:noProof/>
                <w:webHidden/>
              </w:rPr>
              <w:t>4</w:t>
            </w:r>
            <w:r w:rsidR="00E12BE7">
              <w:rPr>
                <w:noProof/>
                <w:webHidden/>
              </w:rPr>
              <w:fldChar w:fldCharType="end"/>
            </w:r>
          </w:hyperlink>
        </w:p>
        <w:p w14:paraId="5AC765BB" w14:textId="2FEF62A2" w:rsidR="009B4835" w:rsidRDefault="009B4835">
          <w:r>
            <w:rPr>
              <w:b/>
              <w:bCs/>
            </w:rPr>
            <w:fldChar w:fldCharType="end"/>
          </w:r>
        </w:p>
      </w:sdtContent>
    </w:sdt>
    <w:p w14:paraId="06CE8F08" w14:textId="11F30699" w:rsidR="00FD7888" w:rsidRDefault="00FD7888" w:rsidP="00FD7888">
      <w:pPr>
        <w:pStyle w:val="EinstiegAbschluss"/>
      </w:pPr>
      <w:bookmarkStart w:id="0" w:name="_Überschrift_1"/>
      <w:bookmarkEnd w:id="0"/>
      <w:r w:rsidRPr="0025211D">
        <w:rPr>
          <w:rStyle w:val="Fett"/>
        </w:rPr>
        <w:t>Einstieg</w:t>
      </w:r>
      <w:r>
        <w:t>:</w:t>
      </w:r>
      <w:r w:rsidR="0025211D">
        <w:t xml:space="preserve"> </w:t>
      </w:r>
      <w:r w:rsidR="0025211D">
        <w:rPr>
          <w:rFonts w:cs="Arial"/>
        </w:rPr>
        <w:t>Übergewicht stellt auch in der Bundesrepublik Deutschland ein immer größeres Problem dar. Doch gerade der Stress im Alltag, Prüfungsdruck oder seelischer Kummer lassen sich durch den Konsum von Süßigkeiten oft mindern. Mit Hilfe der freien Enthalpie ist es aber möglich zu berechnen, welche Menge an Schokolade man täglich zu sich nehmen kann, ohne dabei der Figur zu schaden.</w:t>
      </w:r>
    </w:p>
    <w:p w14:paraId="0126BAB4" w14:textId="42E460FF" w:rsidR="0025211D" w:rsidRDefault="0025211D" w:rsidP="0025211D">
      <w:pPr>
        <w:pStyle w:val="berschrift1"/>
      </w:pPr>
      <w:bookmarkStart w:id="1" w:name="_Toc51916725"/>
      <w:r>
        <w:t>Die freie Enthalpie als thermodynamische Größe</w:t>
      </w:r>
      <w:bookmarkEnd w:id="1"/>
    </w:p>
    <w:p w14:paraId="4E69E948" w14:textId="10598487" w:rsidR="0025211D" w:rsidRDefault="0025211D" w:rsidP="0025211D">
      <w:pPr>
        <w:rPr>
          <w:rFonts w:cs="Arial"/>
        </w:rPr>
      </w:pPr>
      <w:r>
        <w:rPr>
          <w:rFonts w:cs="Arial"/>
        </w:rPr>
        <w:t>Die freie Enthalpie ΔG ist die Verknüpfung von Enthalpie, Entropie und der absoluten Temperatur. Mit ihr können, Aussagen über Reversibilität und Irreversibilität von Prozessen gegeben werden, bei denen ein Austausch von Energie zwischen dem System und der Umgebung erfolgt.</w:t>
      </w:r>
    </w:p>
    <w:p w14:paraId="553DF8FF" w14:textId="73E0D41F" w:rsidR="0025211D" w:rsidRDefault="0025211D" w:rsidP="0025211D">
      <w:pPr>
        <w:rPr>
          <w:rFonts w:cs="Arial"/>
        </w:rPr>
      </w:pPr>
      <w:r>
        <w:rPr>
          <w:rFonts w:cs="Arial"/>
        </w:rPr>
        <w:t>Mit der Gibbs-Helmholtz-Gleichung kann die freie Enthalpie berechnet werden:</w:t>
      </w:r>
    </w:p>
    <w:p w14:paraId="133697C9" w14:textId="6F71899D" w:rsidR="0025211D" w:rsidRPr="0025211D" w:rsidRDefault="0025211D" w:rsidP="0025211D">
      <w:pPr>
        <w:pStyle w:val="Formeln"/>
        <w:rPr>
          <w:rFonts w:eastAsiaTheme="minorEastAsia"/>
        </w:rPr>
      </w:pPr>
      <m:oMathPara>
        <m:oMath>
          <m:r>
            <m:rPr>
              <m:nor/>
            </m:rPr>
            <m:t>ΔG = ΔH - TΔS</m:t>
          </m:r>
        </m:oMath>
      </m:oMathPara>
    </w:p>
    <w:p w14:paraId="71D342F5" w14:textId="77777777" w:rsidR="0025211D" w:rsidRDefault="0025211D" w:rsidP="0025211D">
      <w:pPr>
        <w:rPr>
          <w:rFonts w:cs="Arial"/>
        </w:rPr>
        <w:sectPr w:rsidR="0025211D" w:rsidSect="009B4835">
          <w:footerReference w:type="default" r:id="rId9"/>
          <w:pgSz w:w="11906" w:h="16838"/>
          <w:pgMar w:top="851" w:right="1134" w:bottom="851" w:left="1418" w:header="0" w:footer="0" w:gutter="0"/>
          <w:cols w:space="708"/>
          <w:titlePg/>
          <w:docGrid w:linePitch="360"/>
        </w:sectPr>
      </w:pPr>
    </w:p>
    <w:p w14:paraId="71B94BB6" w14:textId="75F9237C" w:rsidR="0025211D" w:rsidRDefault="0025211D" w:rsidP="0025211D">
      <w:r>
        <w:rPr>
          <w:rFonts w:cs="Arial"/>
        </w:rPr>
        <w:t>Δ</w:t>
      </w:r>
      <w:r>
        <w:t>G= freie Reaktionsenthalpie</w:t>
      </w:r>
    </w:p>
    <w:p w14:paraId="467F4F03" w14:textId="0EA87BB9" w:rsidR="0025211D" w:rsidRDefault="0025211D" w:rsidP="0025211D">
      <w:r>
        <w:rPr>
          <w:rFonts w:cs="Arial"/>
        </w:rPr>
        <w:t>Δ</w:t>
      </w:r>
      <w:r>
        <w:t>H= Reaktionsenthalpie</w:t>
      </w:r>
    </w:p>
    <w:p w14:paraId="709F2772" w14:textId="0FDD0E64" w:rsidR="0025211D" w:rsidRDefault="0025211D" w:rsidP="0025211D">
      <w:r>
        <w:t>T= absolute Temperatur</w:t>
      </w:r>
    </w:p>
    <w:p w14:paraId="2E7DD23E" w14:textId="19A41780" w:rsidR="0025211D" w:rsidRDefault="0025211D" w:rsidP="0025211D">
      <w:r>
        <w:rPr>
          <w:rFonts w:cs="Arial"/>
        </w:rPr>
        <w:t>Δ</w:t>
      </w:r>
      <w:r>
        <w:t>S= Reaktionsentropie</w:t>
      </w:r>
    </w:p>
    <w:p w14:paraId="6DAE40A0" w14:textId="77777777" w:rsidR="0025211D" w:rsidRDefault="0025211D" w:rsidP="0025211D">
      <w:pPr>
        <w:rPr>
          <w:rFonts w:cs="Arial"/>
        </w:rPr>
        <w:sectPr w:rsidR="0025211D" w:rsidSect="0025211D">
          <w:type w:val="continuous"/>
          <w:pgSz w:w="11906" w:h="16838"/>
          <w:pgMar w:top="851" w:right="1134" w:bottom="851" w:left="1418" w:header="0" w:footer="0" w:gutter="0"/>
          <w:cols w:num="2" w:space="708"/>
          <w:titlePg/>
          <w:docGrid w:linePitch="360"/>
        </w:sectPr>
      </w:pPr>
    </w:p>
    <w:p w14:paraId="472653FB" w14:textId="50BC9508" w:rsidR="0025211D" w:rsidRDefault="0025211D" w:rsidP="0025211D">
      <w:pPr>
        <w:rPr>
          <w:rFonts w:cs="Arial"/>
        </w:rPr>
      </w:pPr>
      <w:r>
        <w:rPr>
          <w:rFonts w:cs="Arial"/>
        </w:rPr>
        <w:t>Die freie Enthalpie „G“ zeigt durch ihr Vorzeichen an, ob eine Reaktion in einem geschlossenem System bei konstantem Druck und konstanter Temperatur spontan ablaufen kann oder nicht. Ihr Zahlenwert gibt an, in wie weit der anfängliche Zustand vom Gleichgewicht entfernt ist.</w:t>
      </w:r>
    </w:p>
    <w:p w14:paraId="1AAE2E9F" w14:textId="7A411631" w:rsidR="0025211D" w:rsidRDefault="0025211D" w:rsidP="0025211D">
      <w:r>
        <w:t>Bei gleichbleibendem Druck und gleichbleibender Temperatur kann eine Reaktion nur dann spontan ablaufen, wenn ΔG &lt; 0.</w:t>
      </w:r>
    </w:p>
    <w:p w14:paraId="2DFD4346" w14:textId="03FDB561" w:rsidR="0025211D" w:rsidRDefault="0025211D" w:rsidP="0025211D">
      <w:r>
        <w:t>Man unterscheidet drei Fälle:</w:t>
      </w:r>
    </w:p>
    <w:p w14:paraId="37240D86" w14:textId="1C10BC07" w:rsidR="0025211D" w:rsidRDefault="0025211D" w:rsidP="0025211D">
      <w:r w:rsidRPr="0025211D">
        <w:rPr>
          <w:rStyle w:val="Fett"/>
        </w:rPr>
        <w:t>Fall 1: ΔG &lt; 0, exergonischer Vorgang</w:t>
      </w:r>
      <w:r>
        <w:t>. Eine exergonische Reaktion läuft spontan ab.</w:t>
      </w:r>
    </w:p>
    <w:p w14:paraId="490A2139" w14:textId="47418314" w:rsidR="0025211D" w:rsidRDefault="0025211D" w:rsidP="0025211D">
      <w:r>
        <w:t>Beispiel: Bildung von Wasser aus Sauerstoff und Wasserstoff</w:t>
      </w:r>
    </w:p>
    <w:p w14:paraId="7C19CFC5" w14:textId="4FFD79F0" w:rsidR="0025211D" w:rsidRDefault="0025211D" w:rsidP="0025211D">
      <w:r w:rsidRPr="0025211D">
        <w:t>Die Reaktion ist stark exotherm, d. h. ΔH hat einen hohen negativen Wert. ΔG ist auch dann negativ, wenn die Entropie wächst. Trotz Entropie-Abnahme verläuft die Reaktion aufgrund des stark exothermen Verlaufs exergonisch</w:t>
      </w:r>
      <w:r>
        <w:t>.</w:t>
      </w:r>
    </w:p>
    <w:p w14:paraId="4A3BDB3B" w14:textId="60EA4FDF" w:rsidR="0025211D" w:rsidRDefault="0025211D" w:rsidP="0025211D">
      <w:pPr>
        <w:pStyle w:val="Bilder"/>
      </w:pPr>
      <w:r>
        <w:rPr>
          <w:lang w:eastAsia="de-DE"/>
        </w:rPr>
        <w:lastRenderedPageBreak/>
        <w:drawing>
          <wp:inline distT="0" distB="0" distL="0" distR="0" wp14:anchorId="7FC7BE37" wp14:editId="2A39007D">
            <wp:extent cx="4770120" cy="20643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120" cy="2064385"/>
                    </a:xfrm>
                    <a:prstGeom prst="rect">
                      <a:avLst/>
                    </a:prstGeom>
                    <a:noFill/>
                    <a:ln>
                      <a:noFill/>
                    </a:ln>
                  </pic:spPr>
                </pic:pic>
              </a:graphicData>
            </a:graphic>
          </wp:inline>
        </w:drawing>
      </w:r>
    </w:p>
    <w:p w14:paraId="1806F528" w14:textId="48BD948F" w:rsidR="0025211D" w:rsidRDefault="0025211D" w:rsidP="0025211D">
      <w:pPr>
        <w:pStyle w:val="Beschriftung"/>
      </w:pPr>
      <w:r>
        <w:t xml:space="preserve">Abb. </w:t>
      </w:r>
      <w:r w:rsidR="00B55670">
        <w:fldChar w:fldCharType="begin"/>
      </w:r>
      <w:r w:rsidR="00B55670">
        <w:instrText xml:space="preserve"> SEQ Abb. \* ARABIC </w:instrText>
      </w:r>
      <w:r w:rsidR="00B55670">
        <w:fldChar w:fldCharType="separate"/>
      </w:r>
      <w:r w:rsidR="00B55670">
        <w:rPr>
          <w:noProof/>
        </w:rPr>
        <w:t>1</w:t>
      </w:r>
      <w:r w:rsidR="00B55670">
        <w:rPr>
          <w:noProof/>
        </w:rPr>
        <w:fldChar w:fldCharType="end"/>
      </w:r>
      <w:r>
        <w:t xml:space="preserve">: Die Bildung von Wasser-Dampf aus Sauerstoff und Wasserstoff [nach </w:t>
      </w:r>
      <w:r>
        <w:fldChar w:fldCharType="begin"/>
      </w:r>
      <w:r>
        <w:instrText xml:space="preserve"> REF _Ref51914528 \r \h </w:instrText>
      </w:r>
      <w:r>
        <w:fldChar w:fldCharType="separate"/>
      </w:r>
      <w:r w:rsidR="00B55670">
        <w:t>6</w:t>
      </w:r>
      <w:r>
        <w:fldChar w:fldCharType="end"/>
      </w:r>
      <w:r>
        <w:t>]</w:t>
      </w:r>
    </w:p>
    <w:p w14:paraId="34076BF6" w14:textId="35E2817A" w:rsidR="0025211D" w:rsidRDefault="0025211D" w:rsidP="0025211D">
      <w:r w:rsidRPr="0025211D">
        <w:rPr>
          <w:rStyle w:val="Fett"/>
        </w:rPr>
        <w:t xml:space="preserve">Fall </w:t>
      </w:r>
      <w:r>
        <w:rPr>
          <w:rStyle w:val="Fett"/>
        </w:rPr>
        <w:t>2</w:t>
      </w:r>
      <w:r w:rsidRPr="0025211D">
        <w:rPr>
          <w:rStyle w:val="Fett"/>
        </w:rPr>
        <w:t>: ΔG </w:t>
      </w:r>
      <w:r>
        <w:rPr>
          <w:rStyle w:val="Fett"/>
        </w:rPr>
        <w:t>=</w:t>
      </w:r>
      <w:r w:rsidRPr="0025211D">
        <w:rPr>
          <w:rStyle w:val="Fett"/>
        </w:rPr>
        <w:t> 0</w:t>
      </w:r>
      <w:r>
        <w:t xml:space="preserve"> Die Reaktion befindet sich im Gleichgewicht.</w:t>
      </w:r>
    </w:p>
    <w:p w14:paraId="578067BC" w14:textId="159B6D6A" w:rsidR="0025211D" w:rsidRDefault="0025211D" w:rsidP="0025211D">
      <w:r w:rsidRPr="0025211D">
        <w:rPr>
          <w:rStyle w:val="Fett"/>
        </w:rPr>
        <w:t xml:space="preserve">Fall </w:t>
      </w:r>
      <w:r>
        <w:rPr>
          <w:rStyle w:val="Fett"/>
        </w:rPr>
        <w:t>3</w:t>
      </w:r>
      <w:r w:rsidRPr="0025211D">
        <w:rPr>
          <w:rStyle w:val="Fett"/>
        </w:rPr>
        <w:t>: ΔG </w:t>
      </w:r>
      <w:r>
        <w:rPr>
          <w:rStyle w:val="Fett"/>
        </w:rPr>
        <w:t>&gt;</w:t>
      </w:r>
      <w:r w:rsidRPr="0025211D">
        <w:rPr>
          <w:rStyle w:val="Fett"/>
        </w:rPr>
        <w:t xml:space="preserve"> 0, </w:t>
      </w:r>
      <w:r>
        <w:rPr>
          <w:rStyle w:val="Fett"/>
        </w:rPr>
        <w:t>endergonischer</w:t>
      </w:r>
      <w:r w:rsidRPr="0025211D">
        <w:rPr>
          <w:rStyle w:val="Fett"/>
        </w:rPr>
        <w:t xml:space="preserve"> Vorgang</w:t>
      </w:r>
      <w:r>
        <w:t>. Eine endergonische Reaktion kann nur erzwungen werden, z. B. durch Zufuhr von Energie.</w:t>
      </w:r>
    </w:p>
    <w:p w14:paraId="06C1356E" w14:textId="699A35A0" w:rsidR="0025211D" w:rsidRDefault="0025211D" w:rsidP="0025211D">
      <w:r>
        <w:t>Beispiel: Zerfall von Kohlenstoffdioxid zu Kohlenstoffmonoxid und Sauerstoff</w:t>
      </w:r>
    </w:p>
    <w:p w14:paraId="5C0825BF" w14:textId="0FD61AC4" w:rsidR="0025211D" w:rsidRDefault="00982420" w:rsidP="00982420">
      <w:r>
        <w:t>Der Reaktionsverlauf ist endotherm und die Reaktion läuft schon bei mäßig hohen Temperaturen ab. Den Antrieb hierfür liefert die Entropie-Zunahme.</w:t>
      </w:r>
    </w:p>
    <w:p w14:paraId="4D8DE469" w14:textId="0B2D1F85" w:rsidR="0025211D" w:rsidRDefault="00982420" w:rsidP="00982420">
      <w:pPr>
        <w:pStyle w:val="Bilder"/>
      </w:pPr>
      <w:r>
        <w:rPr>
          <w:lang w:eastAsia="de-DE"/>
        </w:rPr>
        <w:drawing>
          <wp:inline distT="0" distB="0" distL="0" distR="0" wp14:anchorId="7E63122B" wp14:editId="3A504DD1">
            <wp:extent cx="4817110" cy="213995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7110" cy="2139950"/>
                    </a:xfrm>
                    <a:prstGeom prst="rect">
                      <a:avLst/>
                    </a:prstGeom>
                    <a:noFill/>
                    <a:ln>
                      <a:noFill/>
                    </a:ln>
                  </pic:spPr>
                </pic:pic>
              </a:graphicData>
            </a:graphic>
          </wp:inline>
        </w:drawing>
      </w:r>
    </w:p>
    <w:p w14:paraId="5D1EE949" w14:textId="7DAFB6B1" w:rsidR="00982420" w:rsidRDefault="00982420" w:rsidP="00982420">
      <w:pPr>
        <w:pStyle w:val="Beschriftung"/>
      </w:pPr>
      <w:r>
        <w:t xml:space="preserve">Abb. </w:t>
      </w:r>
      <w:r w:rsidR="00B55670">
        <w:fldChar w:fldCharType="begin"/>
      </w:r>
      <w:r w:rsidR="00B55670">
        <w:instrText xml:space="preserve"> SEQ Abb. \* ARABIC </w:instrText>
      </w:r>
      <w:r w:rsidR="00B55670">
        <w:fldChar w:fldCharType="separate"/>
      </w:r>
      <w:r w:rsidR="00B55670">
        <w:rPr>
          <w:noProof/>
        </w:rPr>
        <w:t>2</w:t>
      </w:r>
      <w:r w:rsidR="00B55670">
        <w:rPr>
          <w:noProof/>
        </w:rPr>
        <w:fldChar w:fldCharType="end"/>
      </w:r>
      <w:r>
        <w:t xml:space="preserve">: Der Zerfall von Kohlenstoffdioxid zu Kohlenstoffmonoxid und Sauerstoff [nach </w:t>
      </w:r>
      <w:r>
        <w:fldChar w:fldCharType="begin"/>
      </w:r>
      <w:r>
        <w:instrText xml:space="preserve"> REF _Ref51914528 \r \h </w:instrText>
      </w:r>
      <w:r>
        <w:fldChar w:fldCharType="separate"/>
      </w:r>
      <w:r w:rsidR="00B55670">
        <w:t>6</w:t>
      </w:r>
      <w:r>
        <w:fldChar w:fldCharType="end"/>
      </w:r>
      <w:r>
        <w:t>]</w:t>
      </w:r>
    </w:p>
    <w:p w14:paraId="13F42C4B" w14:textId="0DFBAA42" w:rsidR="00982420" w:rsidRDefault="00982420" w:rsidP="00982420">
      <w:pPr>
        <w:pStyle w:val="berschrift1"/>
      </w:pPr>
      <w:bookmarkStart w:id="2" w:name="_Toc51916726"/>
      <w:r>
        <w:t>Die freie Standard-Reaktionsenthalpie</w:t>
      </w:r>
      <w:bookmarkEnd w:id="2"/>
    </w:p>
    <w:p w14:paraId="0ABF508A" w14:textId="0C0F0CB8" w:rsidR="00982420" w:rsidRDefault="00982420" w:rsidP="00982420">
      <w:pPr>
        <w:rPr>
          <w:rFonts w:cs="Arial"/>
        </w:rPr>
      </w:pPr>
      <w:r>
        <w:rPr>
          <w:rFonts w:cs="Arial"/>
        </w:rPr>
        <w:t>Durch Kombination von Standard-Reaktionsentropie und –</w:t>
      </w:r>
      <w:proofErr w:type="spellStart"/>
      <w:r>
        <w:rPr>
          <w:rFonts w:cs="Arial"/>
        </w:rPr>
        <w:t>enthalpie</w:t>
      </w:r>
      <w:proofErr w:type="spellEnd"/>
      <w:r>
        <w:rPr>
          <w:rFonts w:cs="Arial"/>
        </w:rPr>
        <w:t xml:space="preserve"> gelangt man zur freien Standard-</w:t>
      </w:r>
      <w:proofErr w:type="spellStart"/>
      <w:r>
        <w:rPr>
          <w:rFonts w:cs="Arial"/>
        </w:rPr>
        <w:t>Rreaktionsenthalpie</w:t>
      </w:r>
      <w:proofErr w:type="spellEnd"/>
      <w:r>
        <w:rPr>
          <w:rFonts w:cs="Arial"/>
        </w:rPr>
        <w:t xml:space="preserve"> Δ</w:t>
      </w:r>
      <w:r>
        <w:rPr>
          <w:rFonts w:cs="Arial"/>
          <w:vertAlign w:val="subscript"/>
        </w:rPr>
        <w:t>R</w:t>
      </w:r>
      <w:r>
        <w:rPr>
          <w:rFonts w:cs="Arial"/>
        </w:rPr>
        <w:t>G</w:t>
      </w:r>
      <w:r>
        <w:rPr>
          <w:rFonts w:cs="Arial"/>
          <w:vertAlign w:val="superscript"/>
        </w:rPr>
        <w:t>0</w:t>
      </w:r>
      <w:r>
        <w:rPr>
          <w:rFonts w:cs="Arial"/>
        </w:rPr>
        <w:t>. Es gilt dementsprechend auch hierfür:</w:t>
      </w:r>
    </w:p>
    <w:p w14:paraId="3867B3B4" w14:textId="2C4A6899" w:rsidR="00982420" w:rsidRPr="00982420" w:rsidRDefault="00B55670" w:rsidP="00982420">
      <w:pPr>
        <w:pStyle w:val="Formeln"/>
      </w:pPr>
      <m:oMathPara>
        <m:oMath>
          <m:sSub>
            <m:sSubPr>
              <m:ctrlPr>
                <w:rPr>
                  <w:rFonts w:ascii="Cambria Math" w:hAnsi="Cambria Math"/>
                </w:rPr>
              </m:ctrlPr>
            </m:sSubPr>
            <m:e>
              <m:r>
                <m:rPr>
                  <m:nor/>
                </m:rPr>
                <m:t>Δ</m:t>
              </m:r>
            </m:e>
            <m:sub>
              <m:r>
                <m:rPr>
                  <m:nor/>
                </m:rPr>
                <m:t>R</m:t>
              </m:r>
            </m:sub>
          </m:sSub>
          <m:sSup>
            <m:sSupPr>
              <m:ctrlPr>
                <w:rPr>
                  <w:rFonts w:ascii="Cambria Math" w:hAnsi="Cambria Math"/>
                </w:rPr>
              </m:ctrlPr>
            </m:sSupPr>
            <m:e>
              <m:r>
                <m:rPr>
                  <m:nor/>
                </m:rPr>
                <m:t>G</m:t>
              </m:r>
            </m:e>
            <m:sup>
              <m:r>
                <m:rPr>
                  <m:nor/>
                </m:rPr>
                <m:t>0</m:t>
              </m:r>
            </m:sup>
          </m:sSup>
          <m:r>
            <m:rPr>
              <m:nor/>
            </m:rPr>
            <m:t xml:space="preserve"> =</m:t>
          </m:r>
          <m:r>
            <m:rPr>
              <m:sty m:val="p"/>
            </m:rPr>
            <w:rPr>
              <w:rFonts w:ascii="Cambria Math" w:hAnsi="Cambria Math"/>
            </w:rPr>
            <m:t xml:space="preserve"> </m:t>
          </m:r>
          <m:d>
            <m:dPr>
              <m:begChr m:val="{"/>
              <m:endChr m:val="}"/>
              <m:ctrlPr>
                <w:rPr>
                  <w:rFonts w:ascii="Cambria Math" w:hAnsi="Cambria Math"/>
                </w:rPr>
              </m:ctrlPr>
            </m:dPr>
            <m:e>
              <m:r>
                <m:rPr>
                  <m:nor/>
                </m:rPr>
                <m:t>2*</m:t>
              </m:r>
              <m:sSub>
                <m:sSubPr>
                  <m:ctrlPr>
                    <w:rPr>
                      <w:rFonts w:ascii="Cambria Math" w:hAnsi="Cambria Math"/>
                    </w:rPr>
                  </m:ctrlPr>
                </m:sSubPr>
                <m:e>
                  <m:r>
                    <m:rPr>
                      <m:nor/>
                    </m:rPr>
                    <m:t>Δ</m:t>
                  </m:r>
                </m:e>
                <m:sub>
                  <m:r>
                    <m:rPr>
                      <m:nor/>
                    </m:rPr>
                    <m:t>B</m:t>
                  </m:r>
                </m:sub>
              </m:sSub>
              <m:sSup>
                <m:sSupPr>
                  <m:ctrlPr>
                    <w:rPr>
                      <w:rFonts w:ascii="Cambria Math" w:hAnsi="Cambria Math"/>
                    </w:rPr>
                  </m:ctrlPr>
                </m:sSupPr>
                <m:e>
                  <m:r>
                    <m:rPr>
                      <m:nor/>
                    </m:rPr>
                    <m:t>G</m:t>
                  </m:r>
                </m:e>
                <m:sup>
                  <m:r>
                    <m:rPr>
                      <m:nor/>
                    </m:rPr>
                    <m:t>0</m:t>
                  </m:r>
                </m:sup>
              </m:sSup>
              <m:d>
                <m:dPr>
                  <m:ctrlPr>
                    <w:rPr>
                      <w:rFonts w:ascii="Cambria Math" w:hAnsi="Cambria Math"/>
                    </w:rPr>
                  </m:ctrlPr>
                </m:dPr>
                <m:e>
                  <m:r>
                    <m:rPr>
                      <m:nor/>
                    </m:rPr>
                    <m:t>CO,g</m:t>
                  </m:r>
                </m:e>
              </m:d>
              <m:r>
                <m:rPr>
                  <m:nor/>
                </m:rPr>
                <m:t>+</m:t>
              </m:r>
              <m:sSub>
                <m:sSubPr>
                  <m:ctrlPr>
                    <w:rPr>
                      <w:rFonts w:ascii="Cambria Math" w:hAnsi="Cambria Math"/>
                    </w:rPr>
                  </m:ctrlPr>
                </m:sSubPr>
                <m:e>
                  <m:r>
                    <m:rPr>
                      <m:nor/>
                    </m:rPr>
                    <m:t>Δ</m:t>
                  </m:r>
                </m:e>
                <m:sub>
                  <m:r>
                    <m:rPr>
                      <m:nor/>
                    </m:rPr>
                    <m:t>B</m:t>
                  </m:r>
                </m:sub>
              </m:sSub>
              <m:sSup>
                <m:sSupPr>
                  <m:ctrlPr>
                    <w:rPr>
                      <w:rFonts w:ascii="Cambria Math" w:hAnsi="Cambria Math"/>
                    </w:rPr>
                  </m:ctrlPr>
                </m:sSupPr>
                <m:e>
                  <m:r>
                    <m:rPr>
                      <m:nor/>
                    </m:rPr>
                    <m:t>G</m:t>
                  </m:r>
                </m:e>
                <m:sup>
                  <m:r>
                    <m:rPr>
                      <m:nor/>
                    </m:rPr>
                    <m:t>0</m:t>
                  </m:r>
                </m:sup>
              </m:sSup>
              <m:d>
                <m:dPr>
                  <m:ctrlPr>
                    <w:rPr>
                      <w:rFonts w:ascii="Cambria Math" w:hAnsi="Cambria Math"/>
                    </w:rPr>
                  </m:ctrlPr>
                </m:dPr>
                <m:e>
                  <m:sSub>
                    <m:sSubPr>
                      <m:ctrlPr>
                        <w:rPr>
                          <w:rFonts w:ascii="Cambria Math" w:hAnsi="Cambria Math"/>
                        </w:rPr>
                      </m:ctrlPr>
                    </m:sSubPr>
                    <m:e>
                      <m:r>
                        <m:rPr>
                          <m:nor/>
                        </m:rPr>
                        <m:t>O</m:t>
                      </m:r>
                    </m:e>
                    <m:sub>
                      <m:r>
                        <m:rPr>
                          <m:nor/>
                        </m:rPr>
                        <m:t>2</m:t>
                      </m:r>
                    </m:sub>
                  </m:sSub>
                  <m:r>
                    <m:rPr>
                      <m:nor/>
                    </m:rPr>
                    <m:t>,g</m:t>
                  </m:r>
                </m:e>
              </m:d>
            </m:e>
          </m:d>
          <m:r>
            <m:rPr>
              <m:nor/>
            </m:rPr>
            <m:t xml:space="preserve"> - 2*</m:t>
          </m:r>
          <m:sSub>
            <m:sSubPr>
              <m:ctrlPr>
                <w:rPr>
                  <w:rFonts w:ascii="Cambria Math" w:hAnsi="Cambria Math"/>
                </w:rPr>
              </m:ctrlPr>
            </m:sSubPr>
            <m:e>
              <m:r>
                <m:rPr>
                  <m:nor/>
                </m:rPr>
                <m:t>Δ</m:t>
              </m:r>
            </m:e>
            <m:sub>
              <m:r>
                <m:rPr>
                  <m:nor/>
                </m:rPr>
                <m:t>B</m:t>
              </m:r>
            </m:sub>
          </m:sSub>
          <m:sSup>
            <m:sSupPr>
              <m:ctrlPr>
                <w:rPr>
                  <w:rFonts w:ascii="Cambria Math" w:hAnsi="Cambria Math"/>
                </w:rPr>
              </m:ctrlPr>
            </m:sSupPr>
            <m:e>
              <m:r>
                <m:rPr>
                  <m:nor/>
                </m:rPr>
                <m:t>G</m:t>
              </m:r>
            </m:e>
            <m:sup>
              <m:r>
                <m:rPr>
                  <m:nor/>
                </m:rPr>
                <m:t>0</m:t>
              </m:r>
            </m:sup>
          </m:sSup>
          <m:d>
            <m:dPr>
              <m:ctrlPr>
                <w:rPr>
                  <w:rFonts w:ascii="Cambria Math" w:hAnsi="Cambria Math"/>
                </w:rPr>
              </m:ctrlPr>
            </m:dPr>
            <m:e>
              <m:sSub>
                <m:sSubPr>
                  <m:ctrlPr>
                    <w:rPr>
                      <w:rFonts w:ascii="Cambria Math" w:hAnsi="Cambria Math"/>
                    </w:rPr>
                  </m:ctrlPr>
                </m:sSubPr>
                <m:e>
                  <m:r>
                    <m:rPr>
                      <m:nor/>
                    </m:rPr>
                    <m:t>CO</m:t>
                  </m:r>
                </m:e>
                <m:sub>
                  <m:r>
                    <m:rPr>
                      <m:nor/>
                    </m:rPr>
                    <m:t>2</m:t>
                  </m:r>
                </m:sub>
              </m:sSub>
              <m:r>
                <m:rPr>
                  <m:nor/>
                </m:rPr>
                <m:t>,g</m:t>
              </m:r>
            </m:e>
          </m:d>
          <m:r>
            <m:rPr>
              <m:nor/>
            </m:rPr>
            <m:t xml:space="preserve"> =</m:t>
          </m:r>
        </m:oMath>
      </m:oMathPara>
    </w:p>
    <w:p w14:paraId="3D5E9581" w14:textId="419B4C24" w:rsidR="00982420" w:rsidRPr="00982420" w:rsidRDefault="00B55670" w:rsidP="00982420">
      <w:pPr>
        <w:pStyle w:val="Formeln"/>
        <w:rPr>
          <w:oMath/>
        </w:rPr>
      </w:pPr>
      <m:oMathPara>
        <m:oMath>
          <m:d>
            <m:dPr>
              <m:begChr m:val="{"/>
              <m:endChr m:val="}"/>
              <m:ctrlPr>
                <w:rPr>
                  <w:rFonts w:ascii="Cambria Math" w:hAnsi="Cambria Math"/>
                </w:rPr>
              </m:ctrlPr>
            </m:dPr>
            <m:e>
              <m:r>
                <m:rPr>
                  <m:nor/>
                </m:rPr>
                <m:t>2*</m:t>
              </m:r>
              <m:r>
                <m:rPr>
                  <m:sty m:val="p"/>
                </m:rPr>
                <w:rPr>
                  <w:rFonts w:ascii="Cambria Math" w:hAnsi="Cambria Math"/>
                </w:rPr>
                <m:t xml:space="preserve"> </m:t>
              </m:r>
              <m:d>
                <m:dPr>
                  <m:ctrlPr>
                    <w:rPr>
                      <w:rFonts w:ascii="Cambria Math" w:hAnsi="Cambria Math"/>
                    </w:rPr>
                  </m:ctrlPr>
                </m:dPr>
                <m:e>
                  <m:r>
                    <m:rPr>
                      <m:nor/>
                    </m:rPr>
                    <m:t>-137,2</m:t>
                  </m:r>
                </m:e>
              </m:d>
              <m:r>
                <m:rPr>
                  <m:nor/>
                </m:rPr>
                <m:t>+ 0</m:t>
              </m:r>
            </m:e>
          </m:d>
          <m:r>
            <m:rPr>
              <m:nor/>
            </m:rPr>
            <m:t>kJ</m:t>
          </m:r>
          <m:r>
            <m:rPr>
              <m:lit/>
              <m:nor/>
            </m:rPr>
            <m:t>/</m:t>
          </m:r>
          <m:r>
            <m:rPr>
              <m:nor/>
            </m:rPr>
            <m:t>mol - 2 *</m:t>
          </m:r>
          <m:r>
            <m:rPr>
              <m:sty m:val="p"/>
            </m:rPr>
            <w:rPr>
              <w:rFonts w:ascii="Cambria Math" w:hAnsi="Cambria Math"/>
            </w:rPr>
            <m:t xml:space="preserve"> </m:t>
          </m:r>
          <m:d>
            <m:dPr>
              <m:ctrlPr>
                <w:rPr>
                  <w:rFonts w:ascii="Cambria Math" w:hAnsi="Cambria Math"/>
                </w:rPr>
              </m:ctrlPr>
            </m:dPr>
            <m:e>
              <m:r>
                <m:rPr>
                  <m:nor/>
                </m:rPr>
                <m:t>-394,4</m:t>
              </m:r>
            </m:e>
          </m:d>
          <m:r>
            <m:rPr>
              <m:nor/>
            </m:rPr>
            <m:t>kJ</m:t>
          </m:r>
          <m:r>
            <m:rPr>
              <m:lit/>
              <m:nor/>
            </m:rPr>
            <m:t>/</m:t>
          </m:r>
          <m:r>
            <m:rPr>
              <m:nor/>
            </m:rPr>
            <m:t>mol =</m:t>
          </m:r>
        </m:oMath>
      </m:oMathPara>
    </w:p>
    <w:p w14:paraId="537BE81E" w14:textId="256F0A67" w:rsidR="00982420" w:rsidRPr="00982420" w:rsidRDefault="00982420" w:rsidP="00982420">
      <w:pPr>
        <w:pStyle w:val="Formeln"/>
        <w:rPr>
          <w:rFonts w:eastAsiaTheme="minorEastAsia"/>
        </w:rPr>
      </w:pPr>
      <m:oMathPara>
        <m:oMath>
          <m:r>
            <m:rPr>
              <m:nor/>
            </m:rPr>
            <m:t>+514,4 kJ/mol</m:t>
          </m:r>
        </m:oMath>
      </m:oMathPara>
    </w:p>
    <w:p w14:paraId="2BD545C6" w14:textId="77777777" w:rsidR="00E12BE7" w:rsidRDefault="00E12BE7">
      <w:pPr>
        <w:spacing w:before="0"/>
        <w:jc w:val="left"/>
        <w:rPr>
          <w:rFonts w:asciiTheme="minorHAnsi" w:eastAsiaTheme="minorEastAsia" w:hAnsiTheme="minorHAnsi" w:cstheme="minorHAnsi"/>
          <w:b/>
          <w:sz w:val="32"/>
          <w:szCs w:val="32"/>
        </w:rPr>
      </w:pPr>
      <w:r>
        <w:rPr>
          <w:rFonts w:asciiTheme="minorHAnsi" w:eastAsiaTheme="minorEastAsia" w:hAnsiTheme="minorHAnsi" w:cstheme="minorHAnsi"/>
        </w:rPr>
        <w:br w:type="page"/>
      </w:r>
    </w:p>
    <w:p w14:paraId="2FEEE62A" w14:textId="6519DA36" w:rsidR="00982420" w:rsidRDefault="00982420" w:rsidP="00982420">
      <w:pPr>
        <w:pStyle w:val="berschrift1"/>
        <w:rPr>
          <w:rFonts w:asciiTheme="minorHAnsi" w:eastAsiaTheme="minorEastAsia" w:hAnsiTheme="minorHAnsi" w:cstheme="minorHAnsi"/>
        </w:rPr>
      </w:pPr>
      <w:bookmarkStart w:id="3" w:name="_Toc51916727"/>
      <w:r>
        <w:rPr>
          <w:rFonts w:asciiTheme="minorHAnsi" w:eastAsiaTheme="minorEastAsia" w:hAnsiTheme="minorHAnsi" w:cstheme="minorHAnsi"/>
        </w:rPr>
        <w:lastRenderedPageBreak/>
        <w:t>Experiment</w:t>
      </w:r>
      <w:bookmarkEnd w:id="3"/>
    </w:p>
    <w:p w14:paraId="68CB47AE" w14:textId="77777777" w:rsidR="00982420" w:rsidRPr="00982420" w:rsidRDefault="00982420" w:rsidP="00982420">
      <w:r w:rsidRPr="00982420">
        <w:t>An einem Versuch soll demonstriert werden, dass die in einem System frei werdende freie Enthalpie in Form von Arbeit genutzt werden kann.</w:t>
      </w:r>
    </w:p>
    <w:p w14:paraId="5989D426" w14:textId="77777777" w:rsidR="00982420" w:rsidRPr="00982420" w:rsidRDefault="00982420" w:rsidP="00982420">
      <w:r w:rsidRPr="00982420">
        <w:t>Allgemein gilt: ΔG ist die maximal nutzbare Arbeit eines Prozesses bei konstantem Druck und konstanter Temperatur.</w:t>
      </w:r>
    </w:p>
    <w:p w14:paraId="56DBF4D1" w14:textId="4FF1AFDC" w:rsidR="00982420" w:rsidRDefault="00982420" w:rsidP="00982420">
      <w:pPr>
        <w:rPr>
          <w:rFonts w:eastAsiaTheme="minorEastAsia"/>
        </w:rPr>
      </w:pPr>
      <w:r w:rsidRPr="00982420">
        <w:rPr>
          <w:rStyle w:val="Fett"/>
        </w:rPr>
        <w:t>Experiment</w:t>
      </w:r>
      <w:r>
        <w:rPr>
          <w:rFonts w:eastAsiaTheme="minorEastAsia"/>
        </w:rPr>
        <w:t xml:space="preserve">: Bestimmung der freien Enthalpie der Reaktion von Silber-Ionen mit Blei - Die freigesetzte elektrische Arbeit </w:t>
      </w:r>
      <w:r>
        <w:rPr>
          <w:rFonts w:ascii="Cambria Math" w:eastAsiaTheme="minorEastAsia" w:hAnsi="Cambria Math"/>
        </w:rPr>
        <w:t>Δ</w:t>
      </w:r>
      <w:r>
        <w:rPr>
          <w:rFonts w:eastAsiaTheme="minorEastAsia"/>
        </w:rPr>
        <w:t>G</w:t>
      </w:r>
      <w:r>
        <w:rPr>
          <w:rFonts w:eastAsiaTheme="minorEastAsia"/>
          <w:vertAlign w:val="superscript"/>
        </w:rPr>
        <w:t>0</w:t>
      </w:r>
    </w:p>
    <w:p w14:paraId="03D1FDE5" w14:textId="708C190F" w:rsidR="00982420" w:rsidRDefault="00982420" w:rsidP="00982420">
      <w:pPr>
        <w:rPr>
          <w:rFonts w:eastAsiaTheme="minorEastAsia"/>
        </w:rPr>
      </w:pPr>
      <w:r w:rsidRPr="00E12BE7">
        <w:rPr>
          <w:rStyle w:val="Fett"/>
        </w:rPr>
        <w:t>Material</w:t>
      </w:r>
      <w:r>
        <w:rPr>
          <w:rFonts w:eastAsiaTheme="minorEastAsia"/>
        </w:rPr>
        <w:t>:</w:t>
      </w:r>
    </w:p>
    <w:p w14:paraId="4081A1A8" w14:textId="77777777" w:rsidR="00E12BE7" w:rsidRDefault="00E12BE7" w:rsidP="00982420">
      <w:pPr>
        <w:pStyle w:val="Liste1Aufzhlung"/>
        <w:rPr>
          <w:rFonts w:eastAsiaTheme="minorEastAsia"/>
        </w:rPr>
        <w:sectPr w:rsidR="00E12BE7" w:rsidSect="0025211D">
          <w:type w:val="continuous"/>
          <w:pgSz w:w="11906" w:h="16838"/>
          <w:pgMar w:top="851" w:right="1134" w:bottom="851" w:left="1418" w:header="0" w:footer="0" w:gutter="0"/>
          <w:cols w:space="708"/>
          <w:titlePg/>
          <w:docGrid w:linePitch="360"/>
        </w:sectPr>
      </w:pPr>
    </w:p>
    <w:p w14:paraId="49AA570D" w14:textId="47847B79" w:rsidR="00982420" w:rsidRPr="00982420" w:rsidRDefault="00982420" w:rsidP="00982420">
      <w:pPr>
        <w:pStyle w:val="Liste1Aufzhlung"/>
        <w:rPr>
          <w:oMath/>
        </w:rPr>
      </w:pPr>
      <w:r>
        <w:rPr>
          <w:rFonts w:eastAsiaTheme="minorEastAsia"/>
        </w:rPr>
        <w:t>2 Bechergläser</w:t>
      </w:r>
    </w:p>
    <w:p w14:paraId="25D721E6" w14:textId="72B991C2" w:rsidR="00982420" w:rsidRPr="00982420" w:rsidRDefault="00982420" w:rsidP="00982420">
      <w:pPr>
        <w:pStyle w:val="Liste1Aufzhlung"/>
        <w:rPr>
          <w:oMath/>
        </w:rPr>
      </w:pPr>
      <w:r>
        <w:rPr>
          <w:rFonts w:eastAsiaTheme="minorEastAsia"/>
        </w:rPr>
        <w:t>Filterpapier</w:t>
      </w:r>
    </w:p>
    <w:p w14:paraId="5419B7BC" w14:textId="660E051A" w:rsidR="00982420" w:rsidRPr="00982420" w:rsidRDefault="00982420" w:rsidP="00982420">
      <w:pPr>
        <w:pStyle w:val="Liste1Aufzhlung"/>
        <w:rPr>
          <w:oMath/>
        </w:rPr>
      </w:pPr>
      <w:r>
        <w:rPr>
          <w:rFonts w:eastAsiaTheme="minorEastAsia"/>
        </w:rPr>
        <w:t>Voltmeter</w:t>
      </w:r>
    </w:p>
    <w:p w14:paraId="42E69EBF" w14:textId="4ADAE2A6" w:rsidR="00982420" w:rsidRPr="00982420" w:rsidRDefault="00982420" w:rsidP="00982420">
      <w:pPr>
        <w:pStyle w:val="Liste1Aufzhlung"/>
        <w:rPr>
          <w:oMath/>
        </w:rPr>
      </w:pPr>
      <w:r>
        <w:rPr>
          <w:rFonts w:eastAsiaTheme="minorEastAsia"/>
        </w:rPr>
        <w:t>Verbindungskabel</w:t>
      </w:r>
    </w:p>
    <w:p w14:paraId="1361CC63" w14:textId="77777777" w:rsidR="00E12BE7" w:rsidRDefault="00E12BE7" w:rsidP="00982420">
      <w:pPr>
        <w:rPr>
          <w:rFonts w:eastAsiaTheme="minorEastAsia"/>
        </w:rPr>
        <w:sectPr w:rsidR="00E12BE7" w:rsidSect="00E12BE7">
          <w:type w:val="continuous"/>
          <w:pgSz w:w="11906" w:h="16838"/>
          <w:pgMar w:top="851" w:right="1134" w:bottom="851" w:left="1418" w:header="0" w:footer="0" w:gutter="0"/>
          <w:cols w:num="2" w:space="708"/>
          <w:titlePg/>
          <w:docGrid w:linePitch="360"/>
        </w:sectPr>
      </w:pPr>
    </w:p>
    <w:p w14:paraId="4A35CEC0" w14:textId="4823758F" w:rsidR="00982420" w:rsidRDefault="00982420" w:rsidP="00982420">
      <w:pPr>
        <w:rPr>
          <w:rFonts w:eastAsiaTheme="minorEastAsia"/>
        </w:rPr>
      </w:pPr>
      <w:r w:rsidRPr="00E12BE7">
        <w:rPr>
          <w:rStyle w:val="Fett"/>
        </w:rPr>
        <w:t>Chemikalien</w:t>
      </w:r>
      <w:r>
        <w:rPr>
          <w:rFonts w:eastAsiaTheme="minorEastAsia"/>
        </w:rPr>
        <w:t>:</w:t>
      </w:r>
    </w:p>
    <w:p w14:paraId="24F61760" w14:textId="77777777" w:rsidR="00E12BE7" w:rsidRDefault="00E12BE7" w:rsidP="00982420">
      <w:pPr>
        <w:pStyle w:val="Liste1Aufzhlung"/>
        <w:rPr>
          <w:rStyle w:val="RotZchn"/>
        </w:rPr>
        <w:sectPr w:rsidR="00E12BE7" w:rsidSect="0025211D">
          <w:type w:val="continuous"/>
          <w:pgSz w:w="11906" w:h="16838"/>
          <w:pgMar w:top="851" w:right="1134" w:bottom="851" w:left="1418" w:header="0" w:footer="0" w:gutter="0"/>
          <w:cols w:space="708"/>
          <w:titlePg/>
          <w:docGrid w:linePitch="360"/>
        </w:sectPr>
      </w:pPr>
    </w:p>
    <w:p w14:paraId="28D7A512" w14:textId="6C2D67DA" w:rsidR="00982420" w:rsidRPr="00E40533" w:rsidRDefault="00E40533" w:rsidP="00982420">
      <w:pPr>
        <w:pStyle w:val="Liste1Aufzhlung"/>
        <w:rPr>
          <w:oMath/>
        </w:rPr>
      </w:pPr>
      <w:r w:rsidRPr="00E12BE7">
        <w:rPr>
          <w:rStyle w:val="RotZchn"/>
        </w:rPr>
        <w:t>Silbernitrat</w:t>
      </w:r>
      <w:r>
        <w:rPr>
          <w:rFonts w:eastAsiaTheme="minorEastAsia"/>
        </w:rPr>
        <w:t>-Lösung</w:t>
      </w:r>
      <w:r>
        <w:rPr>
          <w:rFonts w:eastAsiaTheme="minorEastAsia"/>
        </w:rPr>
        <w:br/>
        <w:t>c= 1 mol/L</w:t>
      </w:r>
      <w:r w:rsidR="00E12BE7">
        <w:rPr>
          <w:rFonts w:eastAsiaTheme="minorEastAsia"/>
        </w:rPr>
        <w:tab/>
      </w:r>
      <w:r>
        <w:rPr>
          <w:rFonts w:eastAsiaTheme="minorEastAsia"/>
        </w:rPr>
        <w:br/>
      </w:r>
      <w:r w:rsidRPr="00E12BE7">
        <w:rPr>
          <w:rFonts w:eastAsiaTheme="minorEastAsia"/>
          <w:sz w:val="20"/>
          <w:szCs w:val="18"/>
        </w:rPr>
        <w:t>CAS-Nr.: 7761-88-8</w:t>
      </w:r>
      <w:r w:rsidR="00E12BE7">
        <w:rPr>
          <w:rFonts w:eastAsiaTheme="minorEastAsia"/>
        </w:rPr>
        <w:tab/>
      </w:r>
      <w:r>
        <w:rPr>
          <w:rFonts w:eastAsiaTheme="minorEastAsia"/>
        </w:rPr>
        <w:br/>
      </w:r>
      <w:r w:rsidRPr="000740FB">
        <w:rPr>
          <w:noProof/>
          <w:lang w:eastAsia="de-DE"/>
        </w:rPr>
        <w:drawing>
          <wp:inline distT="0" distB="0" distL="0" distR="0" wp14:anchorId="13A3B76E" wp14:editId="0AC0A0C6">
            <wp:extent cx="358140" cy="365760"/>
            <wp:effectExtent l="0" t="0" r="3810" b="0"/>
            <wp:docPr id="4967" name="Grafik 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1AE48D0C" wp14:editId="4D03B2EA">
            <wp:extent cx="358140" cy="358140"/>
            <wp:effectExtent l="0" t="0" r="3810" b="3810"/>
            <wp:docPr id="4970" name="Grafik 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t>Gefahr</w:t>
      </w:r>
      <w:r w:rsidR="00E12BE7">
        <w:tab/>
      </w:r>
      <w:r>
        <w:br/>
      </w:r>
      <w:r w:rsidRPr="00E12BE7">
        <w:rPr>
          <w:sz w:val="20"/>
          <w:szCs w:val="18"/>
        </w:rPr>
        <w:t>H290, H314, H410</w:t>
      </w:r>
      <w:r w:rsidR="00E12BE7" w:rsidRPr="00E12BE7">
        <w:rPr>
          <w:sz w:val="20"/>
          <w:szCs w:val="18"/>
        </w:rPr>
        <w:tab/>
      </w:r>
      <w:r w:rsidRPr="00E12BE7">
        <w:rPr>
          <w:sz w:val="20"/>
          <w:szCs w:val="18"/>
        </w:rPr>
        <w:br/>
        <w:t>P280, P310, P303+P361+P353, P305+P351+P338</w:t>
      </w:r>
    </w:p>
    <w:p w14:paraId="14771E77" w14:textId="52294569" w:rsidR="00E40533" w:rsidRPr="00E12BE7" w:rsidRDefault="00E40533" w:rsidP="00E40533">
      <w:pPr>
        <w:pStyle w:val="Liste1Aufzhlung"/>
        <w:rPr>
          <w:sz w:val="20"/>
          <w:szCs w:val="18"/>
          <w:oMath/>
        </w:rPr>
      </w:pPr>
      <w:r w:rsidRPr="00E12BE7">
        <w:rPr>
          <w:rStyle w:val="RotZchn"/>
        </w:rPr>
        <w:t>Blei(II)-nitrat</w:t>
      </w:r>
      <w:r>
        <w:t>-Lösung</w:t>
      </w:r>
      <w:r>
        <w:br/>
        <w:t>c= 1 mol/L</w:t>
      </w:r>
      <w:r w:rsidR="00E12BE7">
        <w:tab/>
      </w:r>
      <w:r>
        <w:br/>
      </w:r>
      <w:r w:rsidRPr="00E12BE7">
        <w:rPr>
          <w:sz w:val="20"/>
          <w:szCs w:val="18"/>
        </w:rPr>
        <w:t>CAS-Nr.: 10099-74-8</w:t>
      </w:r>
      <w:r w:rsidR="00E12BE7">
        <w:tab/>
      </w:r>
      <w:r>
        <w:br/>
      </w:r>
      <w:r w:rsidRPr="00E40533">
        <w:rPr>
          <w:rFonts w:eastAsiaTheme="minorEastAsia"/>
          <w:noProof/>
          <w:lang w:eastAsia="de-DE"/>
        </w:rPr>
        <w:drawing>
          <wp:inline distT="0" distB="0" distL="0" distR="0" wp14:anchorId="4B0C608C" wp14:editId="34E0B5E6">
            <wp:extent cx="358140" cy="365760"/>
            <wp:effectExtent l="0" t="0" r="3810" b="0"/>
            <wp:docPr id="1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14"/>
                    <a:stretch>
                      <a:fillRect/>
                    </a:stretch>
                  </pic:blipFill>
                  <pic:spPr>
                    <a:xfrm>
                      <a:off x="0" y="0"/>
                      <a:ext cx="358140" cy="365760"/>
                    </a:xfrm>
                    <a:prstGeom prst="rect">
                      <a:avLst/>
                    </a:prstGeom>
                  </pic:spPr>
                </pic:pic>
              </a:graphicData>
            </a:graphic>
          </wp:inline>
        </w:drawing>
      </w:r>
      <w:r>
        <w:t xml:space="preserve"> </w:t>
      </w:r>
      <w:r w:rsidRPr="00E40533">
        <w:rPr>
          <w:noProof/>
          <w:lang w:eastAsia="de-DE"/>
        </w:rPr>
        <w:drawing>
          <wp:inline distT="0" distB="0" distL="0" distR="0" wp14:anchorId="01A49576" wp14:editId="22067AE1">
            <wp:extent cx="358140" cy="365760"/>
            <wp:effectExtent l="0" t="0" r="3810" b="0"/>
            <wp:docPr id="1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5"/>
                    <a:stretch>
                      <a:fillRect/>
                    </a:stretch>
                  </pic:blipFill>
                  <pic:spPr>
                    <a:xfrm>
                      <a:off x="0" y="0"/>
                      <a:ext cx="358140" cy="365760"/>
                    </a:xfrm>
                    <a:prstGeom prst="rect">
                      <a:avLst/>
                    </a:prstGeom>
                  </pic:spPr>
                </pic:pic>
              </a:graphicData>
            </a:graphic>
          </wp:inline>
        </w:drawing>
      </w:r>
      <w:r>
        <w:t xml:space="preserve"> </w:t>
      </w:r>
      <w:r w:rsidRPr="00E40533">
        <w:rPr>
          <w:noProof/>
          <w:lang w:eastAsia="de-DE"/>
        </w:rPr>
        <w:drawing>
          <wp:inline distT="0" distB="0" distL="0" distR="0" wp14:anchorId="648D1E71" wp14:editId="14D5B9C2">
            <wp:extent cx="365760" cy="365760"/>
            <wp:effectExtent l="0" t="0" r="0" b="0"/>
            <wp:docPr id="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16"/>
                    <a:stretch>
                      <a:fillRect/>
                    </a:stretch>
                  </pic:blipFill>
                  <pic:spPr>
                    <a:xfrm>
                      <a:off x="0" y="0"/>
                      <a:ext cx="365760" cy="365760"/>
                    </a:xfrm>
                    <a:prstGeom prst="rect">
                      <a:avLst/>
                    </a:prstGeom>
                  </pic:spPr>
                </pic:pic>
              </a:graphicData>
            </a:graphic>
          </wp:inline>
        </w:drawing>
      </w:r>
      <w:r>
        <w:t xml:space="preserve"> </w:t>
      </w:r>
      <w:r w:rsidRPr="00E40533">
        <w:rPr>
          <w:noProof/>
          <w:lang w:eastAsia="de-DE"/>
        </w:rPr>
        <w:drawing>
          <wp:inline distT="0" distB="0" distL="0" distR="0" wp14:anchorId="6E115919" wp14:editId="2A9413E9">
            <wp:extent cx="358140" cy="358140"/>
            <wp:effectExtent l="0" t="0" r="3810" b="3810"/>
            <wp:docPr id="1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17"/>
                    <a:stretch>
                      <a:fillRect/>
                    </a:stretch>
                  </pic:blipFill>
                  <pic:spPr>
                    <a:xfrm>
                      <a:off x="0" y="0"/>
                      <a:ext cx="358140" cy="358140"/>
                    </a:xfrm>
                    <a:prstGeom prst="rect">
                      <a:avLst/>
                    </a:prstGeom>
                  </pic:spPr>
                </pic:pic>
              </a:graphicData>
            </a:graphic>
          </wp:inline>
        </w:drawing>
      </w:r>
      <w:r>
        <w:t xml:space="preserve"> Gefahr</w:t>
      </w:r>
      <w:r w:rsidR="00E12BE7">
        <w:tab/>
      </w:r>
      <w:r>
        <w:br/>
      </w:r>
      <w:r w:rsidRPr="00E12BE7">
        <w:rPr>
          <w:sz w:val="20"/>
          <w:szCs w:val="18"/>
        </w:rPr>
        <w:t>H318, H372, H410, H360Df, H302+H332</w:t>
      </w:r>
      <w:r w:rsidR="00E12BE7" w:rsidRPr="00E12BE7">
        <w:rPr>
          <w:sz w:val="20"/>
          <w:szCs w:val="18"/>
        </w:rPr>
        <w:tab/>
      </w:r>
      <w:r w:rsidRPr="00E12BE7">
        <w:rPr>
          <w:sz w:val="20"/>
          <w:szCs w:val="18"/>
        </w:rPr>
        <w:br/>
        <w:t>P201, P273, P280, P314, P305+P351+P338</w:t>
      </w:r>
    </w:p>
    <w:p w14:paraId="7E0EE5D2" w14:textId="396D6E3B" w:rsidR="00E40533" w:rsidRPr="00E40533" w:rsidRDefault="00E12BE7" w:rsidP="00E40533">
      <w:pPr>
        <w:pStyle w:val="Liste1Aufzhlung"/>
        <w:rPr>
          <w:oMath/>
        </w:rPr>
      </w:pPr>
      <w:bookmarkStart w:id="4" w:name="OLE_LINK87"/>
      <w:r>
        <w:rPr>
          <w:rStyle w:val="RotZchn"/>
        </w:rPr>
        <w:br w:type="column"/>
      </w:r>
      <w:r w:rsidR="00E40533" w:rsidRPr="00E12BE7">
        <w:rPr>
          <w:rStyle w:val="RotZchn"/>
        </w:rPr>
        <w:t>Kaliumnitrat</w:t>
      </w:r>
      <w:r w:rsidR="00E40533" w:rsidRPr="000740FB">
        <w:t>-Lösung</w:t>
      </w:r>
      <w:r w:rsidR="00E40533" w:rsidRPr="000740FB">
        <w:br/>
        <w:t>c= 1mol/L</w:t>
      </w:r>
      <w:r>
        <w:tab/>
      </w:r>
      <w:r w:rsidR="00E40533" w:rsidRPr="000740FB">
        <w:br/>
      </w:r>
      <w:r w:rsidR="00E40533" w:rsidRPr="00E12BE7">
        <w:rPr>
          <w:sz w:val="20"/>
          <w:szCs w:val="18"/>
        </w:rPr>
        <w:t>CAS-Nr.: 7757-79-1</w:t>
      </w:r>
      <w:bookmarkEnd w:id="4"/>
    </w:p>
    <w:p w14:paraId="111FE773" w14:textId="1639787B" w:rsidR="00E40533" w:rsidRPr="00E40533" w:rsidRDefault="00E40533" w:rsidP="00E40533">
      <w:pPr>
        <w:pStyle w:val="Liste1Aufzhlung"/>
        <w:rPr>
          <w:oMath/>
        </w:rPr>
      </w:pPr>
      <w:r w:rsidRPr="00E12BE7">
        <w:rPr>
          <w:rStyle w:val="RotZchn"/>
        </w:rPr>
        <w:t>Blei</w:t>
      </w:r>
      <w:r>
        <w:t>, Blech</w:t>
      </w:r>
      <w:r w:rsidR="00E12BE7">
        <w:tab/>
      </w:r>
      <w:r>
        <w:br/>
      </w:r>
      <w:r w:rsidRPr="00E12BE7">
        <w:rPr>
          <w:sz w:val="20"/>
          <w:szCs w:val="18"/>
        </w:rPr>
        <w:t>CAS-Nr.: 7439-92-1</w:t>
      </w:r>
      <w:r w:rsidR="00E12BE7">
        <w:tab/>
      </w:r>
      <w:r>
        <w:br/>
      </w:r>
      <w:r w:rsidRPr="00E40533">
        <w:rPr>
          <w:noProof/>
          <w:lang w:eastAsia="de-DE"/>
        </w:rPr>
        <w:drawing>
          <wp:inline distT="0" distB="0" distL="0" distR="0" wp14:anchorId="5CFD5A30" wp14:editId="7E79CD02">
            <wp:extent cx="365760" cy="365760"/>
            <wp:effectExtent l="0" t="0" r="0" b="0"/>
            <wp:docPr id="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16"/>
                    <a:stretch>
                      <a:fillRect/>
                    </a:stretch>
                  </pic:blipFill>
                  <pic:spPr>
                    <a:xfrm>
                      <a:off x="0" y="0"/>
                      <a:ext cx="365760" cy="365760"/>
                    </a:xfrm>
                    <a:prstGeom prst="rect">
                      <a:avLst/>
                    </a:prstGeom>
                  </pic:spPr>
                </pic:pic>
              </a:graphicData>
            </a:graphic>
          </wp:inline>
        </w:drawing>
      </w:r>
      <w:r>
        <w:t xml:space="preserve"> Gefahr</w:t>
      </w:r>
      <w:r w:rsidR="00E12BE7">
        <w:tab/>
      </w:r>
      <w:r>
        <w:br/>
        <w:t>H360, H362</w:t>
      </w:r>
    </w:p>
    <w:p w14:paraId="1CBAD348" w14:textId="35CFB5AA" w:rsidR="00E40533" w:rsidRPr="00E40533" w:rsidRDefault="00E40533" w:rsidP="00E40533">
      <w:pPr>
        <w:pStyle w:val="Liste1Aufzhlung"/>
        <w:rPr>
          <w:oMath/>
        </w:rPr>
      </w:pPr>
      <w:r w:rsidRPr="00E12BE7">
        <w:rPr>
          <w:rStyle w:val="RotZchn"/>
        </w:rPr>
        <w:t>Silber</w:t>
      </w:r>
      <w:r>
        <w:rPr>
          <w:rFonts w:eastAsiaTheme="minorEastAsia"/>
        </w:rPr>
        <w:t>, Blech</w:t>
      </w:r>
      <w:r w:rsidR="00E12BE7">
        <w:rPr>
          <w:rFonts w:eastAsiaTheme="minorEastAsia"/>
        </w:rPr>
        <w:tab/>
      </w:r>
      <w:r>
        <w:rPr>
          <w:rFonts w:eastAsiaTheme="minorEastAsia"/>
        </w:rPr>
        <w:br/>
      </w:r>
      <w:r w:rsidRPr="00E12BE7">
        <w:rPr>
          <w:rFonts w:eastAsiaTheme="minorEastAsia"/>
          <w:sz w:val="20"/>
          <w:szCs w:val="18"/>
        </w:rPr>
        <w:t>CAS-Nr.: 7440-22-4</w:t>
      </w:r>
    </w:p>
    <w:p w14:paraId="5742D18A" w14:textId="77777777" w:rsidR="00E12BE7" w:rsidRDefault="00E12BE7" w:rsidP="00E40533">
      <w:pPr>
        <w:rPr>
          <w:rFonts w:eastAsiaTheme="minorEastAsia"/>
        </w:rPr>
        <w:sectPr w:rsidR="00E12BE7" w:rsidSect="00E12BE7">
          <w:type w:val="continuous"/>
          <w:pgSz w:w="11906" w:h="16838"/>
          <w:pgMar w:top="851" w:right="1134" w:bottom="851" w:left="1418" w:header="0" w:footer="0" w:gutter="0"/>
          <w:cols w:num="2" w:space="708"/>
          <w:titlePg/>
          <w:docGrid w:linePitch="360"/>
        </w:sectPr>
      </w:pPr>
    </w:p>
    <w:p w14:paraId="17864A52" w14:textId="0FEB770C" w:rsidR="00E40533" w:rsidRDefault="00E40533" w:rsidP="00E40533">
      <w:pPr>
        <w:rPr>
          <w:rFonts w:cs="Arial"/>
        </w:rPr>
      </w:pPr>
      <w:r w:rsidRPr="00E12BE7">
        <w:rPr>
          <w:rStyle w:val="Fett"/>
        </w:rPr>
        <w:t>Durchführung</w:t>
      </w:r>
      <w:r>
        <w:rPr>
          <w:rFonts w:eastAsiaTheme="minorEastAsia"/>
        </w:rPr>
        <w:t xml:space="preserve">: </w:t>
      </w:r>
      <w:r>
        <w:rPr>
          <w:rFonts w:cs="Arial"/>
        </w:rPr>
        <w:t>Aufbau einer galvanischen Zelle: In ein Becherglas wird Bleinitrat-Lösung gegeben, in das andere Silbernitrat-Lösung. Ein Streifen des entsprechenden Metall</w:t>
      </w:r>
      <w:r w:rsidR="00884850">
        <w:rPr>
          <w:rFonts w:cs="Arial"/>
        </w:rPr>
        <w:t>-B</w:t>
      </w:r>
      <w:r>
        <w:rPr>
          <w:rFonts w:cs="Arial"/>
        </w:rPr>
        <w:t>lechs wird eingetaucht. Mit einem mit Kaliumnitrat befeuchteten Filterpapier wird eine Elektrolyt</w:t>
      </w:r>
      <w:r w:rsidR="00884850">
        <w:rPr>
          <w:rFonts w:cs="Arial"/>
        </w:rPr>
        <w:t>-B</w:t>
      </w:r>
      <w:r>
        <w:rPr>
          <w:rFonts w:cs="Arial"/>
        </w:rPr>
        <w:t>rücke hergestellt. Dann werden die Elektroden über ein Voltmeter verbunden und die Ruheklemmen</w:t>
      </w:r>
      <w:r w:rsidR="00884850">
        <w:rPr>
          <w:rFonts w:cs="Arial"/>
        </w:rPr>
        <w:t>-S</w:t>
      </w:r>
      <w:r>
        <w:rPr>
          <w:rFonts w:cs="Arial"/>
        </w:rPr>
        <w:t>pannung bestimmt.</w:t>
      </w:r>
    </w:p>
    <w:p w14:paraId="7687B39A" w14:textId="0AA39933" w:rsidR="00884850" w:rsidRDefault="00884850" w:rsidP="00E40533">
      <w:pPr>
        <w:rPr>
          <w:rFonts w:cs="Arial"/>
        </w:rPr>
      </w:pPr>
      <w:r w:rsidRPr="00E12BE7">
        <w:rPr>
          <w:rStyle w:val="Fett"/>
        </w:rPr>
        <w:t>Beobachtung</w:t>
      </w:r>
      <w:r>
        <w:rPr>
          <w:rFonts w:cs="Arial"/>
        </w:rPr>
        <w:t>: Es lässt sich ein Ruhe-Klemmenspannung „U“ ablesen. Diese sollte um die 0,93 V betragen.</w:t>
      </w:r>
    </w:p>
    <w:p w14:paraId="3AC69141" w14:textId="37538E9C" w:rsidR="00884850" w:rsidRDefault="00884850" w:rsidP="00E40533">
      <w:pPr>
        <w:rPr>
          <w:rFonts w:cs="Arial"/>
        </w:rPr>
      </w:pPr>
      <w:r w:rsidRPr="00E12BE7">
        <w:rPr>
          <w:rStyle w:val="Fett"/>
        </w:rPr>
        <w:t>Interpretation</w:t>
      </w:r>
      <w:r>
        <w:rPr>
          <w:rFonts w:cs="Arial"/>
        </w:rPr>
        <w:t>:</w:t>
      </w:r>
    </w:p>
    <w:p w14:paraId="1B92D8E8" w14:textId="6F673027" w:rsidR="00884850" w:rsidRDefault="00884850" w:rsidP="00E40533">
      <w:pPr>
        <w:rPr>
          <w:rFonts w:cs="Arial"/>
        </w:rPr>
      </w:pPr>
      <w:r>
        <w:rPr>
          <w:rFonts w:cs="Arial"/>
        </w:rPr>
        <w:t>Reaktionsgleichung</w:t>
      </w:r>
    </w:p>
    <w:p w14:paraId="64AF351D" w14:textId="4BBFB42E" w:rsidR="00884850" w:rsidRPr="00884850" w:rsidRDefault="00884850" w:rsidP="00884850">
      <w:pPr>
        <w:pStyle w:val="Formeln"/>
        <w:rPr>
          <w:rFonts w:eastAsiaTheme="minorEastAsia"/>
        </w:rPr>
      </w:pPr>
      <w:proofErr w:type="spellStart"/>
      <m:oMathPara>
        <m:oMath>
          <m:r>
            <m:rPr>
              <m:nor/>
            </m:rPr>
            <m:t>Pb</m:t>
          </m:r>
          <w:proofErr w:type="spellEnd"/>
          <m:r>
            <m:rPr>
              <m:nor/>
            </m:rPr>
            <m:t>(s) + 2</m:t>
          </m:r>
          <m:sSup>
            <m:sSupPr>
              <m:ctrlPr>
                <w:rPr>
                  <w:rFonts w:ascii="Cambria Math" w:hAnsi="Cambria Math"/>
                </w:rPr>
              </m:ctrlPr>
            </m:sSupPr>
            <m:e>
              <w:proofErr w:type="spellStart"/>
              <m:r>
                <m:rPr>
                  <m:nor/>
                </m:rPr>
                <m:t>Ag</m:t>
              </m:r>
              <w:proofErr w:type="spellEnd"/>
            </m:e>
            <m:sup>
              <m:r>
                <m:rPr>
                  <m:nor/>
                </m:rPr>
                <m:t>+</m:t>
              </m:r>
            </m:sup>
          </m:sSup>
          <m:r>
            <m:rPr>
              <m:nor/>
            </m:rPr>
            <m:t>(</m:t>
          </m:r>
          <w:proofErr w:type="spellStart"/>
          <m:r>
            <m:rPr>
              <m:nor/>
            </m:rPr>
            <m:t>aq</m:t>
          </m:r>
          <w:proofErr w:type="spellEnd"/>
          <m:r>
            <m:rPr>
              <m:nor/>
            </m:rPr>
            <m:t>) →</m:t>
          </m:r>
          <m:r>
            <m:rPr>
              <m:sty m:val="p"/>
            </m:rPr>
            <w:rPr>
              <w:rFonts w:ascii="Cambria Math" w:hAnsi="Cambria Math"/>
            </w:rPr>
            <m:t xml:space="preserve"> </m:t>
          </m:r>
          <m:sSubSup>
            <m:sSubSupPr>
              <m:ctrlPr>
                <w:rPr>
                  <w:rFonts w:ascii="Cambria Math" w:hAnsi="Cambria Math"/>
                </w:rPr>
              </m:ctrlPr>
            </m:sSubSupPr>
            <m:e>
              <m:r>
                <m:rPr>
                  <m:nor/>
                </m:rPr>
                <m:t>Pb</m:t>
              </m:r>
            </m:e>
            <m:sub>
              <m:r>
                <m:rPr>
                  <m:nor/>
                </m:rPr>
                <m:t>2</m:t>
              </m:r>
            </m:sub>
            <m:sup>
              <m:r>
                <m:rPr>
                  <m:nor/>
                </m:rPr>
                <m:t>+</m:t>
              </m:r>
            </m:sup>
          </m:sSubSup>
          <m:r>
            <m:rPr>
              <m:nor/>
            </m:rPr>
            <m:t>(</m:t>
          </m:r>
          <w:proofErr w:type="spellStart"/>
          <m:r>
            <m:rPr>
              <m:nor/>
            </m:rPr>
            <m:t>aq</m:t>
          </m:r>
          <w:proofErr w:type="spellEnd"/>
          <m:r>
            <m:rPr>
              <m:nor/>
            </m:rPr>
            <m:t xml:space="preserve">) + 2 </m:t>
          </m:r>
          <w:proofErr w:type="spellStart"/>
          <m:r>
            <m:rPr>
              <m:nor/>
            </m:rPr>
            <m:t>Ag</m:t>
          </m:r>
          <w:proofErr w:type="spellEnd"/>
          <m:r>
            <m:rPr>
              <m:nor/>
            </m:rPr>
            <m:t>(s)</m:t>
          </m:r>
        </m:oMath>
      </m:oMathPara>
    </w:p>
    <w:p w14:paraId="147030A4" w14:textId="46351D9E" w:rsidR="00884850" w:rsidRDefault="00884850" w:rsidP="00884850">
      <w:r>
        <w:t>Mit der Ruhe-Klemmenspannung „U“ lässt sich die freigesetzte elektrische Arbeit „</w:t>
      </w:r>
      <w:r>
        <w:rPr>
          <w:rFonts w:cs="Arial"/>
        </w:rPr>
        <w:t>Δ</w:t>
      </w:r>
      <w:r>
        <w:t>G</w:t>
      </w:r>
      <w:r>
        <w:rPr>
          <w:vertAlign w:val="superscript"/>
        </w:rPr>
        <w:t>0</w:t>
      </w:r>
      <w:r>
        <w:t>“ mit folgender Formel berechnen:</w:t>
      </w:r>
    </w:p>
    <w:p w14:paraId="7EBE20B8" w14:textId="62140839" w:rsidR="00884850" w:rsidRPr="00884850" w:rsidRDefault="00884850" w:rsidP="00884850">
      <w:pPr>
        <w:pStyle w:val="Formeln"/>
        <w:rPr>
          <w:rFonts w:eastAsiaTheme="minorEastAsia"/>
        </w:rPr>
      </w:pPr>
      <m:oMathPara>
        <m:oMath>
          <m:r>
            <m:rPr>
              <m:nor/>
            </m:rPr>
            <m:t>Δ</m:t>
          </m:r>
          <m:sSup>
            <m:sSupPr>
              <m:ctrlPr>
                <w:rPr>
                  <w:rFonts w:ascii="Cambria Math" w:hAnsi="Cambria Math"/>
                </w:rPr>
              </m:ctrlPr>
            </m:sSupPr>
            <m:e>
              <m:r>
                <m:rPr>
                  <m:nor/>
                </m:rPr>
                <m:t>G</m:t>
              </m:r>
            </m:e>
            <m:sup>
              <m:r>
                <m:rPr>
                  <m:nor/>
                </m:rPr>
                <m:t>0</m:t>
              </m:r>
            </m:sup>
          </m:sSup>
          <m:r>
            <m:rPr>
              <m:nor/>
            </m:rPr>
            <m:t xml:space="preserve"> = -n * F * U</m:t>
          </m:r>
        </m:oMath>
      </m:oMathPara>
    </w:p>
    <w:p w14:paraId="358C6413" w14:textId="18E2412F" w:rsidR="00884850" w:rsidRDefault="00884850" w:rsidP="00884850">
      <w:r>
        <w:t>Mit F(Faraday-Konstante) = 96485 As</w:t>
      </w:r>
    </w:p>
    <w:p w14:paraId="3AEB6524" w14:textId="3331A5AA" w:rsidR="00884850" w:rsidRDefault="00884850" w:rsidP="00884850">
      <w:r>
        <w:t>Damit ergibt sich nach Einsetzen:</w:t>
      </w:r>
    </w:p>
    <w:p w14:paraId="12AD462C" w14:textId="66E3ABAA" w:rsidR="00884850" w:rsidRPr="00B55670" w:rsidRDefault="00884850" w:rsidP="00884850">
      <w:pPr>
        <w:pStyle w:val="Formeln"/>
        <w:rPr>
          <w:lang w:val="en-US"/>
        </w:rPr>
      </w:pPr>
      <m:oMathPara>
        <m:oMath>
          <m:r>
            <m:rPr>
              <m:nor/>
            </m:rPr>
            <m:t>Δ</m:t>
          </m:r>
          <m:sSup>
            <m:sSupPr>
              <m:ctrlPr>
                <w:rPr>
                  <w:rFonts w:ascii="Cambria Math" w:hAnsi="Cambria Math"/>
                </w:rPr>
              </m:ctrlPr>
            </m:sSupPr>
            <m:e>
              <m:r>
                <m:rPr>
                  <m:nor/>
                </m:rPr>
                <w:rPr>
                  <w:lang w:val="en-US"/>
                </w:rPr>
                <m:t>G</m:t>
              </m:r>
            </m:e>
            <m:sup>
              <m:r>
                <m:rPr>
                  <m:nor/>
                </m:rPr>
                <w:rPr>
                  <w:lang w:val="en-US"/>
                </w:rPr>
                <m:t>0</m:t>
              </m:r>
            </m:sup>
          </m:sSup>
          <m:r>
            <m:rPr>
              <m:nor/>
            </m:rPr>
            <w:rPr>
              <w:lang w:val="en-US"/>
            </w:rPr>
            <m:t xml:space="preserve"> = -2</m:t>
          </m:r>
          <m:sSup>
            <m:sSupPr>
              <m:ctrlPr>
                <w:rPr>
                  <w:rFonts w:ascii="Cambria Math" w:hAnsi="Cambria Math"/>
                </w:rPr>
              </m:ctrlPr>
            </m:sSupPr>
            <m:e>
              <m:r>
                <m:rPr>
                  <m:nor/>
                </m:rPr>
                <w:rPr>
                  <w:rFonts w:ascii="Cambria Math"/>
                  <w:lang w:val="en-US"/>
                </w:rPr>
                <m:t xml:space="preserve"> </m:t>
              </m:r>
              <w:proofErr w:type="spellStart"/>
              <m:r>
                <m:rPr>
                  <m:nor/>
                </m:rPr>
                <w:rPr>
                  <w:lang w:val="en-US"/>
                </w:rPr>
                <m:t>mol</m:t>
              </m:r>
              <w:proofErr w:type="spellEnd"/>
            </m:e>
            <m:sup>
              <m:r>
                <m:rPr>
                  <m:nor/>
                </m:rPr>
                <w:rPr>
                  <w:lang w:val="en-US"/>
                </w:rPr>
                <m:t>-1</m:t>
              </m:r>
            </m:sup>
          </m:sSup>
          <m:r>
            <m:rPr>
              <m:nor/>
            </m:rPr>
            <w:rPr>
              <w:lang w:val="en-US"/>
            </w:rPr>
            <m:t xml:space="preserve"> * 96485</m:t>
          </m:r>
          <m:r>
            <m:rPr>
              <m:nor/>
            </m:rPr>
            <w:rPr>
              <w:rFonts w:ascii="Cambria Math"/>
              <w:lang w:val="en-US"/>
            </w:rPr>
            <m:t xml:space="preserve"> </m:t>
          </m:r>
          <m:r>
            <m:rPr>
              <m:nor/>
            </m:rPr>
            <w:rPr>
              <w:lang w:val="en-US"/>
            </w:rPr>
            <m:t>As * 0,96</m:t>
          </m:r>
          <m:r>
            <m:rPr>
              <m:nor/>
            </m:rPr>
            <w:rPr>
              <w:rFonts w:ascii="Cambria Math"/>
              <w:lang w:val="en-US"/>
            </w:rPr>
            <m:t xml:space="preserve"> </m:t>
          </m:r>
          <m:r>
            <m:rPr>
              <m:nor/>
            </m:rPr>
            <w:rPr>
              <w:lang w:val="en-US"/>
            </w:rPr>
            <m:t>V = -179,5</m:t>
          </m:r>
          <m:r>
            <m:rPr>
              <m:nor/>
            </m:rPr>
            <w:rPr>
              <w:rFonts w:ascii="Cambria Math"/>
              <w:lang w:val="en-US"/>
            </w:rPr>
            <m:t xml:space="preserve"> </m:t>
          </m:r>
          <m:r>
            <m:rPr>
              <m:nor/>
            </m:rPr>
            <w:rPr>
              <w:lang w:val="en-US"/>
            </w:rPr>
            <m:t>kJ</m:t>
          </m:r>
          <m:r>
            <m:rPr>
              <m:lit/>
              <m:nor/>
            </m:rPr>
            <w:rPr>
              <w:lang w:val="en-US"/>
            </w:rPr>
            <m:t>/</m:t>
          </m:r>
          <w:proofErr w:type="spellStart"/>
          <m:r>
            <m:rPr>
              <m:nor/>
            </m:rPr>
            <w:rPr>
              <w:lang w:val="en-US"/>
            </w:rPr>
            <m:t>mol</m:t>
          </m:r>
        </m:oMath>
      </m:oMathPara>
      <w:proofErr w:type="spellEnd"/>
    </w:p>
    <w:p w14:paraId="0CE78FB6" w14:textId="473D8F12" w:rsidR="00884850" w:rsidRDefault="00884850" w:rsidP="00884850">
      <w:pPr>
        <w:rPr>
          <w:rFonts w:eastAsiaTheme="minorEastAsia"/>
        </w:rPr>
      </w:pPr>
      <w:r>
        <w:rPr>
          <w:rFonts w:eastAsiaTheme="minorEastAsia"/>
        </w:rPr>
        <w:t>(Literatur-Wert: -178,65 kJ/</w:t>
      </w:r>
      <w:proofErr w:type="spellStart"/>
      <w:r>
        <w:rPr>
          <w:rFonts w:eastAsiaTheme="minorEastAsia"/>
        </w:rPr>
        <w:t>mol</w:t>
      </w:r>
      <w:proofErr w:type="spellEnd"/>
      <w:r>
        <w:rPr>
          <w:rFonts w:eastAsiaTheme="minorEastAsia"/>
        </w:rPr>
        <w:t>)</w:t>
      </w:r>
    </w:p>
    <w:p w14:paraId="1FA6781D" w14:textId="362A91C5" w:rsidR="00884850" w:rsidRDefault="00884850" w:rsidP="00884850">
      <w:pPr>
        <w:pStyle w:val="berschrift1"/>
        <w:rPr>
          <w:rFonts w:eastAsiaTheme="minorEastAsia"/>
        </w:rPr>
      </w:pPr>
      <w:bookmarkStart w:id="5" w:name="_Toc51916728"/>
      <w:r>
        <w:rPr>
          <w:rFonts w:eastAsiaTheme="minorEastAsia"/>
        </w:rPr>
        <w:lastRenderedPageBreak/>
        <w:t>Exergonische Prozesse im aeroben Stoff-Abbau</w:t>
      </w:r>
      <w:bookmarkEnd w:id="5"/>
    </w:p>
    <w:p w14:paraId="3281106B" w14:textId="5C6E5994" w:rsidR="00884850" w:rsidRDefault="00884850" w:rsidP="00884850">
      <w:r>
        <w:t>Glucose stellt den Grund-Baustein der Energie-Gewinnung in unserem Körper dar.</w:t>
      </w:r>
    </w:p>
    <w:p w14:paraId="106F5EDB" w14:textId="0A19E1A9" w:rsidR="00884850" w:rsidRDefault="00884850" w:rsidP="00884850">
      <w:pPr>
        <w:pStyle w:val="Bilder"/>
      </w:pPr>
      <w:r>
        <w:rPr>
          <w:lang w:eastAsia="de-DE"/>
        </w:rPr>
        <w:drawing>
          <wp:inline distT="0" distB="0" distL="0" distR="0" wp14:anchorId="193E6695" wp14:editId="66F449B9">
            <wp:extent cx="3949700" cy="2799715"/>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9700" cy="2799715"/>
                    </a:xfrm>
                    <a:prstGeom prst="rect">
                      <a:avLst/>
                    </a:prstGeom>
                    <a:noFill/>
                    <a:ln>
                      <a:noFill/>
                    </a:ln>
                  </pic:spPr>
                </pic:pic>
              </a:graphicData>
            </a:graphic>
          </wp:inline>
        </w:drawing>
      </w:r>
    </w:p>
    <w:p w14:paraId="1DF2B988" w14:textId="6CDD8878" w:rsidR="00884850" w:rsidRDefault="00884850" w:rsidP="00884850">
      <w:pPr>
        <w:pStyle w:val="Beschriftung"/>
        <w:rPr>
          <w:rFonts w:cs="Arial"/>
        </w:rPr>
      </w:pPr>
      <w:r>
        <w:t xml:space="preserve">Abb. </w:t>
      </w:r>
      <w:r w:rsidR="00B55670">
        <w:fldChar w:fldCharType="begin"/>
      </w:r>
      <w:r w:rsidR="00B55670">
        <w:instrText xml:space="preserve"> SEQ Abb. \* ARABIC </w:instrText>
      </w:r>
      <w:r w:rsidR="00B55670">
        <w:fldChar w:fldCharType="separate"/>
      </w:r>
      <w:r w:rsidR="00B55670">
        <w:rPr>
          <w:noProof/>
        </w:rPr>
        <w:t>3</w:t>
      </w:r>
      <w:r w:rsidR="00B55670">
        <w:rPr>
          <w:noProof/>
        </w:rPr>
        <w:fldChar w:fldCharType="end"/>
      </w:r>
      <w:r>
        <w:t xml:space="preserve">: </w:t>
      </w:r>
      <w:r>
        <w:rPr>
          <w:rFonts w:cs="Arial"/>
        </w:rPr>
        <w:t>Zusammenhang zwischen Stoffwechsel-Prozessen beim aeroben Abbau von Kohlenhydraten im menschlichen Organismus und den dabei abgebauten Molekülen.</w:t>
      </w:r>
    </w:p>
    <w:p w14:paraId="72D16022" w14:textId="5E6B7206" w:rsidR="00884850" w:rsidRPr="00884850" w:rsidRDefault="00884850" w:rsidP="00884850">
      <w:r w:rsidRPr="00884850">
        <w:t>Damit Energie, die z.</w:t>
      </w:r>
      <w:r>
        <w:t> </w:t>
      </w:r>
      <w:r w:rsidRPr="00884850">
        <w:t>B. für die Aufrechterhaltung der Körper</w:t>
      </w:r>
      <w:r>
        <w:t>-T</w:t>
      </w:r>
      <w:r w:rsidRPr="00884850">
        <w:t>emperatur benötigt wird, überhaupt gewonnen werden kann, müssen die zahlreiche Stoffwechsel</w:t>
      </w:r>
      <w:r>
        <w:t>-P</w:t>
      </w:r>
      <w:r w:rsidRPr="00884850">
        <w:t>rozesse exergonisch ablaufen. Der Citratzyklus stellt dabei einen zentralen Ort der Energie</w:t>
      </w:r>
      <w:r>
        <w:t>-G</w:t>
      </w:r>
      <w:r w:rsidRPr="00884850">
        <w:t>ewinnung dar und ist dementsprechend ein exergonischer Prozess.</w:t>
      </w:r>
    </w:p>
    <w:p w14:paraId="6561E0BA" w14:textId="0F8893CC" w:rsidR="00884850" w:rsidRPr="00884850" w:rsidRDefault="00884850" w:rsidP="00884850">
      <w:r w:rsidRPr="00884850">
        <w:t>Für jedes Mol Glucose (180,16</w:t>
      </w:r>
      <w:r>
        <w:t> </w:t>
      </w:r>
      <w:r w:rsidRPr="00884850">
        <w:t>g), das abgebaut wird ergibt sich unter biochemischen Standardbedingungen (pH=</w:t>
      </w:r>
      <w:r>
        <w:t> </w:t>
      </w:r>
      <w:r w:rsidRPr="00884850">
        <w:t>7, T=</w:t>
      </w:r>
      <w:r>
        <w:t> </w:t>
      </w:r>
      <w:r w:rsidRPr="00884850">
        <w:t>298</w:t>
      </w:r>
      <w:r>
        <w:t> </w:t>
      </w:r>
      <w:r w:rsidRPr="00884850">
        <w:t>K, Konzentration aller Reaktionspartner=</w:t>
      </w:r>
      <w:r>
        <w:t xml:space="preserve"> </w:t>
      </w:r>
      <w:r w:rsidRPr="00884850">
        <w:t>1</w:t>
      </w:r>
      <w:r>
        <w:t> </w:t>
      </w:r>
      <w:r w:rsidRPr="00884850">
        <w:t>mol/L) eine verfügbare freie Enthalpie von 2870</w:t>
      </w:r>
      <w:r>
        <w:t> </w:t>
      </w:r>
      <w:r w:rsidRPr="00884850">
        <w:t>kJ.</w:t>
      </w:r>
    </w:p>
    <w:p w14:paraId="3E5BF903" w14:textId="79999161" w:rsidR="00884850" w:rsidRDefault="00884850" w:rsidP="00884850">
      <w:r>
        <w:t>Reaktionsgleichung:</w:t>
      </w:r>
    </w:p>
    <w:p w14:paraId="136B401C" w14:textId="3C3C61D8" w:rsidR="00884850" w:rsidRDefault="00B55670" w:rsidP="00884850">
      <w:pPr>
        <w:rPr>
          <w:rFonts w:eastAsiaTheme="minorEastAsia"/>
        </w:rPr>
      </w:pPr>
      <m:oMath>
        <m:sSub>
          <m:sSubPr>
            <m:ctrlPr>
              <w:rPr>
                <w:rStyle w:val="FormelnZchn"/>
                <w:rFonts w:ascii="Cambria Math" w:hAnsi="Cambria Math"/>
                <w:iCs/>
              </w:rPr>
            </m:ctrlPr>
          </m:sSubPr>
          <m:e>
            <m:r>
              <m:rPr>
                <m:nor/>
              </m:rPr>
              <w:rPr>
                <w:rStyle w:val="FormelnZchn"/>
                <w:iCs/>
              </w:rPr>
              <m:t>C</m:t>
            </m:r>
          </m:e>
          <m:sub>
            <m:r>
              <m:rPr>
                <m:nor/>
              </m:rPr>
              <w:rPr>
                <w:rStyle w:val="FormelnZchn"/>
                <w:iCs/>
              </w:rPr>
              <m:t>6</m:t>
            </m:r>
          </m:sub>
        </m:sSub>
        <m:sSub>
          <m:sSubPr>
            <m:ctrlPr>
              <w:rPr>
                <w:rStyle w:val="FormelnZchn"/>
                <w:rFonts w:ascii="Cambria Math" w:hAnsi="Cambria Math"/>
                <w:iCs/>
              </w:rPr>
            </m:ctrlPr>
          </m:sSubPr>
          <m:e>
            <m:r>
              <m:rPr>
                <m:nor/>
              </m:rPr>
              <w:rPr>
                <w:rStyle w:val="FormelnZchn"/>
                <w:iCs/>
              </w:rPr>
              <m:t>H</m:t>
            </m:r>
          </m:e>
          <m:sub>
            <m:r>
              <m:rPr>
                <m:nor/>
              </m:rPr>
              <w:rPr>
                <w:rStyle w:val="FormelnZchn"/>
                <w:iCs/>
              </w:rPr>
              <m:t>12</m:t>
            </m:r>
          </m:sub>
        </m:sSub>
        <m:sSub>
          <m:sSubPr>
            <m:ctrlPr>
              <w:rPr>
                <w:rStyle w:val="FormelnZchn"/>
                <w:rFonts w:ascii="Cambria Math" w:hAnsi="Cambria Math"/>
                <w:iCs/>
              </w:rPr>
            </m:ctrlPr>
          </m:sSubPr>
          <m:e>
            <m:r>
              <m:rPr>
                <m:nor/>
              </m:rPr>
              <w:rPr>
                <w:rStyle w:val="FormelnZchn"/>
                <w:iCs/>
              </w:rPr>
              <m:t>O</m:t>
            </m:r>
          </m:e>
          <m:sub>
            <m:r>
              <m:rPr>
                <m:nor/>
              </m:rPr>
              <w:rPr>
                <w:rStyle w:val="FormelnZchn"/>
                <w:iCs/>
              </w:rPr>
              <m:t>6</m:t>
            </m:r>
          </m:sub>
        </m:sSub>
        <m:r>
          <m:rPr>
            <m:nor/>
          </m:rPr>
          <w:rPr>
            <w:rStyle w:val="FormelnZchn"/>
            <w:iCs/>
          </w:rPr>
          <m:t xml:space="preserve">(s) + 6 </m:t>
        </m:r>
        <m:sSub>
          <m:sSubPr>
            <m:ctrlPr>
              <w:rPr>
                <w:rStyle w:val="FormelnZchn"/>
                <w:rFonts w:ascii="Cambria Math" w:hAnsi="Cambria Math"/>
                <w:iCs/>
              </w:rPr>
            </m:ctrlPr>
          </m:sSubPr>
          <m:e>
            <m:r>
              <m:rPr>
                <m:nor/>
              </m:rPr>
              <w:rPr>
                <w:rStyle w:val="FormelnZchn"/>
                <w:iCs/>
              </w:rPr>
              <m:t>O</m:t>
            </m:r>
          </m:e>
          <m:sub>
            <m:r>
              <m:rPr>
                <m:nor/>
              </m:rPr>
              <w:rPr>
                <w:rStyle w:val="FormelnZchn"/>
                <w:iCs/>
              </w:rPr>
              <m:t>2</m:t>
            </m:r>
          </m:sub>
        </m:sSub>
        <m:r>
          <m:rPr>
            <m:nor/>
          </m:rPr>
          <w:rPr>
            <w:rStyle w:val="FormelnZchn"/>
            <w:iCs/>
          </w:rPr>
          <m:t xml:space="preserve">(g) → 6 </m:t>
        </m:r>
        <m:sSub>
          <m:sSubPr>
            <m:ctrlPr>
              <w:rPr>
                <w:rStyle w:val="FormelnZchn"/>
                <w:rFonts w:ascii="Cambria Math" w:hAnsi="Cambria Math"/>
                <w:iCs/>
              </w:rPr>
            </m:ctrlPr>
          </m:sSubPr>
          <m:e>
            <m:r>
              <m:rPr>
                <m:nor/>
              </m:rPr>
              <w:rPr>
                <w:rStyle w:val="FormelnZchn"/>
                <w:iCs/>
              </w:rPr>
              <m:t>CO</m:t>
            </m:r>
          </m:e>
          <m:sub>
            <m:r>
              <m:rPr>
                <m:nor/>
              </m:rPr>
              <w:rPr>
                <w:rStyle w:val="FormelnZchn"/>
                <w:iCs/>
              </w:rPr>
              <m:t>2</m:t>
            </m:r>
          </m:sub>
        </m:sSub>
        <m:r>
          <m:rPr>
            <m:nor/>
          </m:rPr>
          <w:rPr>
            <w:rStyle w:val="FormelnZchn"/>
            <w:iCs/>
          </w:rPr>
          <m:t xml:space="preserve">(g) + 6 </m:t>
        </m:r>
        <m:sSub>
          <m:sSubPr>
            <m:ctrlPr>
              <w:rPr>
                <w:rStyle w:val="FormelnZchn"/>
                <w:rFonts w:ascii="Cambria Math" w:hAnsi="Cambria Math"/>
                <w:iCs/>
              </w:rPr>
            </m:ctrlPr>
          </m:sSubPr>
          <m:e>
            <m:r>
              <m:rPr>
                <m:nor/>
              </m:rPr>
              <w:rPr>
                <w:rStyle w:val="FormelnZchn"/>
                <w:iCs/>
              </w:rPr>
              <m:t>H</m:t>
            </m:r>
          </m:e>
          <m:sub>
            <m:r>
              <m:rPr>
                <m:nor/>
              </m:rPr>
              <w:rPr>
                <w:rStyle w:val="FormelnZchn"/>
                <w:iCs/>
              </w:rPr>
              <m:t>2</m:t>
            </m:r>
          </m:sub>
        </m:sSub>
        <m:r>
          <m:rPr>
            <m:nor/>
          </m:rPr>
          <w:rPr>
            <w:rStyle w:val="FormelnZchn"/>
            <w:iCs/>
          </w:rPr>
          <m:t>O (l)</m:t>
        </m:r>
      </m:oMath>
      <w:r w:rsidR="00884850">
        <w:rPr>
          <w:rFonts w:eastAsiaTheme="minorEastAsia"/>
        </w:rPr>
        <w:tab/>
      </w:r>
      <m:oMath>
        <m:r>
          <m:rPr>
            <m:nor/>
          </m:rPr>
          <w:rPr>
            <w:rFonts w:asciiTheme="minorHAnsi" w:eastAsiaTheme="minorEastAsia" w:hAnsiTheme="minorHAnsi" w:cstheme="minorHAnsi"/>
          </w:rPr>
          <m:t>∆</m:t>
        </m:r>
        <m:sSup>
          <m:sSupPr>
            <m:ctrlPr>
              <w:rPr>
                <w:rFonts w:ascii="Cambria Math" w:eastAsiaTheme="minorEastAsia" w:hAnsi="Cambria Math" w:cstheme="minorHAnsi"/>
                <w:i/>
              </w:rPr>
            </m:ctrlPr>
          </m:sSupPr>
          <m:e>
            <m:r>
              <m:rPr>
                <m:nor/>
              </m:rPr>
              <w:rPr>
                <w:rFonts w:asciiTheme="minorHAnsi" w:eastAsiaTheme="minorEastAsia" w:hAnsiTheme="minorHAnsi" w:cstheme="minorHAnsi"/>
              </w:rPr>
              <m:t>G</m:t>
            </m:r>
          </m:e>
          <m:sup>
            <m:r>
              <m:rPr>
                <m:nor/>
              </m:rPr>
              <w:rPr>
                <w:rFonts w:asciiTheme="minorHAnsi" w:eastAsiaTheme="minorEastAsia" w:hAnsiTheme="minorHAnsi" w:cstheme="minorHAnsi"/>
              </w:rPr>
              <m:t>0</m:t>
            </m:r>
          </m:sup>
        </m:sSup>
        <m:r>
          <m:rPr>
            <m:nor/>
          </m:rPr>
          <w:rPr>
            <w:rFonts w:asciiTheme="minorHAnsi" w:eastAsiaTheme="minorEastAsia" w:hAnsiTheme="minorHAnsi" w:cstheme="minorHAnsi"/>
          </w:rPr>
          <m:t xml:space="preserve"> = -2870 kJ/mol</m:t>
        </m:r>
      </m:oMath>
    </w:p>
    <w:p w14:paraId="7382692B" w14:textId="78DA23D5" w:rsidR="00884850" w:rsidRDefault="00884850" w:rsidP="00884850">
      <w:pPr>
        <w:pStyle w:val="Zusammenfassung"/>
      </w:pPr>
      <w:r w:rsidRPr="00E12BE7">
        <w:rPr>
          <w:rStyle w:val="Fett"/>
        </w:rPr>
        <w:t>Zusammenfassung</w:t>
      </w:r>
      <w:r>
        <w:t xml:space="preserve">: </w:t>
      </w:r>
    </w:p>
    <w:p w14:paraId="639D994A" w14:textId="60E2591B" w:rsidR="00884850" w:rsidRPr="0042380E" w:rsidRDefault="00884850" w:rsidP="00884850">
      <w:pPr>
        <w:pStyle w:val="Zusammenfassung"/>
        <w:numPr>
          <w:ilvl w:val="2"/>
          <w:numId w:val="15"/>
        </w:numPr>
      </w:pPr>
      <w:r>
        <w:rPr>
          <w:rFonts w:cs="Arial"/>
        </w:rPr>
        <w:t>Alle Systeme (chem. Reaktionen) streben ein Enthalpie-Minimum und gleichzeitig ein Entropie</w:t>
      </w:r>
      <w:r w:rsidR="0042380E">
        <w:rPr>
          <w:rFonts w:cs="Arial"/>
        </w:rPr>
        <w:t>-M</w:t>
      </w:r>
      <w:r>
        <w:rPr>
          <w:rFonts w:cs="Arial"/>
        </w:rPr>
        <w:t>aximum an. Diese beide Tendenzen können gleichsinnig oder entgegengesetzt wirken und lassen sich zusammenfassen mit der Aussage, dass alle Systeme versuchen ein Minimum an freier Enthalpie zu erreichen.</w:t>
      </w:r>
    </w:p>
    <w:p w14:paraId="66815E3D" w14:textId="09970D47" w:rsidR="0042380E" w:rsidRPr="0042380E" w:rsidRDefault="0042380E" w:rsidP="00884850">
      <w:pPr>
        <w:pStyle w:val="Zusammenfassung"/>
        <w:numPr>
          <w:ilvl w:val="2"/>
          <w:numId w:val="15"/>
        </w:numPr>
      </w:pPr>
      <w:r>
        <w:rPr>
          <w:rFonts w:cs="Arial"/>
        </w:rPr>
        <w:t>ΔG ist die maximal nutzbare Arbeit eines Prozesses bei konstantem Druck und konstanter Temperatur.</w:t>
      </w:r>
    </w:p>
    <w:p w14:paraId="02E50F60" w14:textId="2B0580D4" w:rsidR="0042380E" w:rsidRPr="0042380E" w:rsidRDefault="0042380E" w:rsidP="00884850">
      <w:pPr>
        <w:pStyle w:val="Zusammenfassung"/>
        <w:numPr>
          <w:ilvl w:val="2"/>
          <w:numId w:val="15"/>
        </w:numPr>
      </w:pPr>
      <w:r>
        <w:rPr>
          <w:rFonts w:cs="Arial"/>
        </w:rPr>
        <w:t>In einem geschlossenem System mit konstanter Temperatur und konstantem Druck, das sich nicht im Gleichgewicht befindet, können nur exergonische Reaktionen spontan ablaufen.</w:t>
      </w:r>
    </w:p>
    <w:p w14:paraId="0D2C035C" w14:textId="1F1B1C93" w:rsidR="0042380E" w:rsidRPr="00B55670" w:rsidRDefault="0042380E" w:rsidP="00884850">
      <w:pPr>
        <w:pStyle w:val="Zusammenfassung"/>
        <w:numPr>
          <w:ilvl w:val="2"/>
          <w:numId w:val="15"/>
        </w:numPr>
      </w:pPr>
      <w:r>
        <w:rPr>
          <w:rFonts w:cs="Arial"/>
        </w:rPr>
        <w:t>Ist eine Reaktion endergonisch, dann ist die umgekehrte Reaktion exergonisch und läuft alleine ab.</w:t>
      </w:r>
    </w:p>
    <w:p w14:paraId="6E240286" w14:textId="1EBDFE1E" w:rsidR="00B55670" w:rsidRPr="00884850" w:rsidRDefault="00B55670" w:rsidP="00B55670">
      <w:pPr>
        <w:pStyle w:val="EinstiegAbschluss"/>
      </w:pPr>
      <w:r w:rsidRPr="00B55670">
        <w:rPr>
          <w:b/>
        </w:rPr>
        <w:t>Abschluss</w:t>
      </w:r>
      <w:r>
        <w:t>: fehlt.</w:t>
      </w:r>
    </w:p>
    <w:p w14:paraId="61FFF678" w14:textId="77777777" w:rsidR="00B55670" w:rsidRDefault="00B55670">
      <w:pPr>
        <w:spacing w:before="0"/>
        <w:jc w:val="left"/>
        <w:rPr>
          <w:b/>
          <w:bCs/>
        </w:rPr>
      </w:pPr>
      <w:r>
        <w:rPr>
          <w:b/>
          <w:bCs/>
        </w:rPr>
        <w:br w:type="page"/>
      </w:r>
    </w:p>
    <w:p w14:paraId="2A8C06EE" w14:textId="6FE5E7F1" w:rsidR="00931B30" w:rsidRDefault="00931B30" w:rsidP="00931B30">
      <w:pPr>
        <w:rPr>
          <w:b/>
          <w:bCs/>
        </w:rPr>
      </w:pPr>
      <w:r w:rsidRPr="000E61E0">
        <w:rPr>
          <w:b/>
          <w:bCs/>
        </w:rPr>
        <w:t>Quellen:</w:t>
      </w:r>
    </w:p>
    <w:p w14:paraId="6B5100D5" w14:textId="7CB66107" w:rsidR="0025211D" w:rsidRDefault="0025211D" w:rsidP="00B55670">
      <w:pPr>
        <w:pStyle w:val="AufzhlungStandard"/>
        <w:jc w:val="left"/>
      </w:pPr>
      <w:r>
        <w:t xml:space="preserve">Atkins, P.W., der Paula., </w:t>
      </w:r>
      <w:r>
        <w:rPr>
          <w:i/>
          <w:iCs/>
        </w:rPr>
        <w:t>Physikalische Chemie</w:t>
      </w:r>
      <w:r>
        <w:t>, Wiley-VCH-Verlag, Weinheim 2006</w:t>
      </w:r>
    </w:p>
    <w:p w14:paraId="1D99ED88" w14:textId="7BB55056" w:rsidR="0025211D" w:rsidRDefault="0025211D" w:rsidP="00B55670">
      <w:pPr>
        <w:pStyle w:val="AufzhlungStandard"/>
        <w:jc w:val="left"/>
      </w:pPr>
      <w:r>
        <w:t xml:space="preserve">Barrow, G.M., </w:t>
      </w:r>
      <w:r>
        <w:rPr>
          <w:i/>
          <w:iCs/>
        </w:rPr>
        <w:t>Physikalische Chemie</w:t>
      </w:r>
      <w:r>
        <w:t>, Bohmann Verlag, Wien 1984</w:t>
      </w:r>
    </w:p>
    <w:p w14:paraId="353A4184" w14:textId="75D7EAC0" w:rsidR="0025211D" w:rsidRDefault="0025211D" w:rsidP="00B55670">
      <w:pPr>
        <w:pStyle w:val="AufzhlungStandard"/>
        <w:jc w:val="left"/>
      </w:pPr>
      <w:r>
        <w:t xml:space="preserve">Glöckner, W., Jansen, W., </w:t>
      </w:r>
      <w:proofErr w:type="spellStart"/>
      <w:r>
        <w:t>Weissenhorn</w:t>
      </w:r>
      <w:proofErr w:type="spellEnd"/>
      <w:r>
        <w:t xml:space="preserve">, R.G. (Hrsg.), </w:t>
      </w:r>
      <w:r>
        <w:rPr>
          <w:i/>
          <w:iCs/>
        </w:rPr>
        <w:t>Handbuch der experimentellen Chemie, Sekundarbereich II, Band 7: Chemische Energetik</w:t>
      </w:r>
      <w:r>
        <w:t xml:space="preserve">, </w:t>
      </w:r>
      <w:proofErr w:type="spellStart"/>
      <w:r>
        <w:t>Aulis</w:t>
      </w:r>
      <w:proofErr w:type="spellEnd"/>
      <w:r>
        <w:t xml:space="preserve"> Verlag </w:t>
      </w:r>
      <w:proofErr w:type="spellStart"/>
      <w:r>
        <w:t>Deubner</w:t>
      </w:r>
      <w:proofErr w:type="spellEnd"/>
      <w:r>
        <w:t>, Köln 2007</w:t>
      </w:r>
    </w:p>
    <w:p w14:paraId="16F026E5" w14:textId="7755BD29" w:rsidR="0025211D" w:rsidRDefault="0025211D" w:rsidP="00B55670">
      <w:pPr>
        <w:pStyle w:val="AufzhlungStandard"/>
        <w:jc w:val="left"/>
      </w:pPr>
      <w:r>
        <w:t xml:space="preserve">Campbell, N.A., </w:t>
      </w:r>
      <w:proofErr w:type="spellStart"/>
      <w:r>
        <w:t>Reece</w:t>
      </w:r>
      <w:proofErr w:type="spellEnd"/>
      <w:r>
        <w:t xml:space="preserve">, J. B., </w:t>
      </w:r>
      <w:r>
        <w:rPr>
          <w:i/>
          <w:iCs/>
        </w:rPr>
        <w:t>Campbell Biologie</w:t>
      </w:r>
      <w:r>
        <w:t>, Pearson Education Deutschland GmbH, München 2009</w:t>
      </w:r>
    </w:p>
    <w:p w14:paraId="1610CCAD" w14:textId="0678B9FA" w:rsidR="0025211D" w:rsidRDefault="00B55670" w:rsidP="00B55670">
      <w:pPr>
        <w:pStyle w:val="AufzhlungStandard"/>
        <w:jc w:val="left"/>
      </w:pPr>
      <w:hyperlink r:id="rId19" w:history="1">
        <w:r w:rsidR="0025211D">
          <w:rPr>
            <w:rStyle w:val="Hyperlink"/>
            <w:rFonts w:cs="Arial"/>
          </w:rPr>
          <w:t>http://www.uni-ulm.de/fileadmin/website_uni_ulm/nawi.inst.251/Didactics/</w:t>
        </w:r>
      </w:hyperlink>
      <w:hyperlink r:id="rId20" w:history="1">
        <w:r w:rsidR="0025211D">
          <w:rPr>
            <w:rStyle w:val="Hyperlink"/>
            <w:rFonts w:cs="Arial"/>
          </w:rPr>
          <w:t>thermodynamik/INHALT/HS2.HTM</w:t>
        </w:r>
      </w:hyperlink>
      <w:r w:rsidR="0025211D">
        <w:t>;  Zugriff am 20.03.12</w:t>
      </w:r>
    </w:p>
    <w:bookmarkStart w:id="6" w:name="_Ref51914528"/>
    <w:p w14:paraId="1D88C624" w14:textId="26A117D2" w:rsidR="0025211D" w:rsidRDefault="0025211D" w:rsidP="00B55670">
      <w:pPr>
        <w:pStyle w:val="AufzhlungStandard"/>
        <w:jc w:val="left"/>
      </w:pPr>
      <w:r>
        <w:fldChar w:fldCharType="begin"/>
      </w:r>
      <w:r>
        <w:instrText xml:space="preserve"> HYPERLINK "http://www.uniulm.de/fileadmin/website_uni_ulm/nawi.inst.251/Didactics/thermodynamik/INHALT/G.HTM" </w:instrText>
      </w:r>
      <w:r>
        <w:fldChar w:fldCharType="separate"/>
      </w:r>
      <w:r>
        <w:rPr>
          <w:rStyle w:val="Hyperlink"/>
          <w:rFonts w:cs="Arial"/>
        </w:rPr>
        <w:t>http://www.uniulm.de/fileadmin/website_uni_ulm/nawi.inst.251/Didactics/</w:t>
      </w:r>
      <w:r>
        <w:fldChar w:fldCharType="end"/>
      </w:r>
      <w:hyperlink r:id="rId21" w:history="1">
        <w:r>
          <w:rPr>
            <w:rStyle w:val="Hyperlink"/>
            <w:rFonts w:cs="Arial"/>
          </w:rPr>
          <w:t>thermodynamik/INHALT/G.HTM</w:t>
        </w:r>
      </w:hyperlink>
      <w:r>
        <w:t xml:space="preserve"> Zugriff am 20.03.12</w:t>
      </w:r>
      <w:bookmarkEnd w:id="6"/>
    </w:p>
    <w:p w14:paraId="23261CE2" w14:textId="43EBAFEB" w:rsidR="0025211D" w:rsidRDefault="00B55670" w:rsidP="00B55670">
      <w:pPr>
        <w:pStyle w:val="AufzhlungStandard"/>
        <w:jc w:val="left"/>
      </w:pPr>
      <w:hyperlink r:id="rId22" w:history="1">
        <w:r w:rsidR="0025211D">
          <w:rPr>
            <w:rStyle w:val="Hyperlink"/>
            <w:rFonts w:cs="Arial"/>
          </w:rPr>
          <w:t>http://lpmfs.lpm.uni-sb.de/chemie/begleitmaterial/Enthalpie_Entropie.pdf</w:t>
        </w:r>
      </w:hyperlink>
      <w:r w:rsidR="0025211D">
        <w:t>;</w:t>
      </w:r>
      <w:r w:rsidR="0025211D">
        <w:br/>
        <w:t>Quelle verschollen, 25.09.2020</w:t>
      </w:r>
    </w:p>
    <w:p w14:paraId="082EE0B9" w14:textId="43C8B30C" w:rsidR="0025211D" w:rsidRDefault="00B55670" w:rsidP="00B55670">
      <w:pPr>
        <w:pStyle w:val="AufzhlungStandard"/>
        <w:jc w:val="left"/>
      </w:pPr>
      <w:hyperlink r:id="rId23" w:history="1">
        <w:r w:rsidR="0025211D">
          <w:rPr>
            <w:rStyle w:val="Hyperlink"/>
            <w:rFonts w:cs="Arial"/>
          </w:rPr>
          <w:t>http://www.ernaehrung.de/tipps/allgemeine_infos/ernaehr10.php</w:t>
        </w:r>
      </w:hyperlink>
      <w:r w:rsidR="0025211D">
        <w:t>; Zugriff am 21.03.12</w:t>
      </w:r>
      <w:bookmarkStart w:id="7" w:name="_GoBack"/>
      <w:bookmarkEnd w:id="7"/>
    </w:p>
    <w:sectPr w:rsidR="0025211D" w:rsidSect="0025211D">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884850" w:rsidRDefault="00884850" w:rsidP="005A7DCE">
      <w:pPr>
        <w:spacing w:before="0"/>
      </w:pPr>
      <w:r>
        <w:separator/>
      </w:r>
    </w:p>
  </w:endnote>
  <w:endnote w:type="continuationSeparator" w:id="0">
    <w:p w14:paraId="3214F425" w14:textId="77777777" w:rsidR="00884850" w:rsidRDefault="00884850"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84850" w:rsidRDefault="00884850">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24687"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59CFC90" w:rsidR="00884850" w:rsidRDefault="00884850">
        <w:pPr>
          <w:pStyle w:val="Fuzeile"/>
          <w:jc w:val="center"/>
        </w:pPr>
        <w:r>
          <w:fldChar w:fldCharType="begin"/>
        </w:r>
        <w:r>
          <w:instrText>PAGE    \* MERGEFORMAT</w:instrText>
        </w:r>
        <w:r>
          <w:fldChar w:fldCharType="separate"/>
        </w:r>
        <w:r w:rsidR="00B55670">
          <w:rPr>
            <w:noProof/>
          </w:rPr>
          <w:t>3</w:t>
        </w:r>
        <w:r>
          <w:fldChar w:fldCharType="end"/>
        </w:r>
      </w:p>
    </w:sdtContent>
  </w:sdt>
  <w:p w14:paraId="69DF8B39" w14:textId="77777777" w:rsidR="00884850" w:rsidRDefault="008848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884850" w:rsidRDefault="00884850" w:rsidP="005A7DCE">
      <w:pPr>
        <w:spacing w:before="0"/>
      </w:pPr>
      <w:r>
        <w:separator/>
      </w:r>
    </w:p>
  </w:footnote>
  <w:footnote w:type="continuationSeparator" w:id="0">
    <w:p w14:paraId="026CC8B6" w14:textId="77777777" w:rsidR="00884850" w:rsidRDefault="00884850"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D6024E8"/>
    <w:multiLevelType w:val="multilevel"/>
    <w:tmpl w:val="0944C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D6942"/>
    <w:rsid w:val="0025211D"/>
    <w:rsid w:val="0033663A"/>
    <w:rsid w:val="0036111E"/>
    <w:rsid w:val="00371E61"/>
    <w:rsid w:val="0042380E"/>
    <w:rsid w:val="004A4B07"/>
    <w:rsid w:val="005633FE"/>
    <w:rsid w:val="005A7DCE"/>
    <w:rsid w:val="007161D1"/>
    <w:rsid w:val="00783295"/>
    <w:rsid w:val="007B2C80"/>
    <w:rsid w:val="007F18E1"/>
    <w:rsid w:val="008117E4"/>
    <w:rsid w:val="00825BFE"/>
    <w:rsid w:val="00850560"/>
    <w:rsid w:val="00883728"/>
    <w:rsid w:val="00884850"/>
    <w:rsid w:val="008A524D"/>
    <w:rsid w:val="00931B30"/>
    <w:rsid w:val="009710A6"/>
    <w:rsid w:val="00982420"/>
    <w:rsid w:val="009B4835"/>
    <w:rsid w:val="00A21130"/>
    <w:rsid w:val="00A5383F"/>
    <w:rsid w:val="00AA5D66"/>
    <w:rsid w:val="00AB7E4B"/>
    <w:rsid w:val="00AE53F0"/>
    <w:rsid w:val="00AF7672"/>
    <w:rsid w:val="00B55670"/>
    <w:rsid w:val="00B85024"/>
    <w:rsid w:val="00CA413D"/>
    <w:rsid w:val="00D97908"/>
    <w:rsid w:val="00E12BE7"/>
    <w:rsid w:val="00E14DE1"/>
    <w:rsid w:val="00E20AF3"/>
    <w:rsid w:val="00E40533"/>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character" w:styleId="BesuchterLink">
    <w:name w:val="FollowedHyperlink"/>
    <w:basedOn w:val="Absatz-Standardschriftart"/>
    <w:uiPriority w:val="99"/>
    <w:semiHidden/>
    <w:unhideWhenUsed/>
    <w:rsid w:val="0025211D"/>
    <w:rPr>
      <w:color w:val="0000FF" w:themeColor="followedHyperlink"/>
      <w:u w:val="single"/>
    </w:rPr>
  </w:style>
  <w:style w:type="character" w:styleId="Fett">
    <w:name w:val="Strong"/>
    <w:basedOn w:val="Absatz-Standardschriftart"/>
    <w:uiPriority w:val="22"/>
    <w:rsid w:val="0025211D"/>
    <w:rPr>
      <w:b/>
      <w:bCs/>
    </w:rPr>
  </w:style>
  <w:style w:type="character" w:styleId="Platzhaltertext">
    <w:name w:val="Placeholder Text"/>
    <w:basedOn w:val="Absatz-Standardschriftart"/>
    <w:uiPriority w:val="99"/>
    <w:semiHidden/>
    <w:rsid w:val="0025211D"/>
    <w:rPr>
      <w:color w:val="808080"/>
    </w:rPr>
  </w:style>
  <w:style w:type="paragraph" w:customStyle="1" w:styleId="Formeln">
    <w:name w:val="Formeln"/>
    <w:basedOn w:val="Standard"/>
    <w:link w:val="FormelnZchn"/>
    <w:qFormat/>
    <w:rsid w:val="0025211D"/>
    <w:pPr>
      <w:spacing w:after="120"/>
    </w:pPr>
    <w:rPr>
      <w:rFonts w:asciiTheme="minorHAnsi" w:hAnsiTheme="minorHAnsi" w:cstheme="minorHAnsi"/>
      <w:sz w:val="32"/>
      <w:szCs w:val="32"/>
    </w:rPr>
  </w:style>
  <w:style w:type="character" w:customStyle="1" w:styleId="FormelnZchn">
    <w:name w:val="Formeln Zchn"/>
    <w:basedOn w:val="Absatz-Standardschriftart"/>
    <w:link w:val="Formeln"/>
    <w:rsid w:val="0025211D"/>
    <w:rPr>
      <w:rFonts w:asciiTheme="minorHAnsi" w:hAnsiTheme="minorHAnsi" w:cs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1725">
      <w:bodyDiv w:val="1"/>
      <w:marLeft w:val="0"/>
      <w:marRight w:val="0"/>
      <w:marTop w:val="0"/>
      <w:marBottom w:val="0"/>
      <w:divBdr>
        <w:top w:val="none" w:sz="0" w:space="0" w:color="auto"/>
        <w:left w:val="none" w:sz="0" w:space="0" w:color="auto"/>
        <w:bottom w:val="none" w:sz="0" w:space="0" w:color="auto"/>
        <w:right w:val="none" w:sz="0" w:space="0" w:color="auto"/>
      </w:divBdr>
    </w:div>
    <w:div w:id="614756141">
      <w:bodyDiv w:val="1"/>
      <w:marLeft w:val="0"/>
      <w:marRight w:val="0"/>
      <w:marTop w:val="0"/>
      <w:marBottom w:val="0"/>
      <w:divBdr>
        <w:top w:val="none" w:sz="0" w:space="0" w:color="auto"/>
        <w:left w:val="none" w:sz="0" w:space="0" w:color="auto"/>
        <w:bottom w:val="none" w:sz="0" w:space="0" w:color="auto"/>
        <w:right w:val="none" w:sz="0" w:space="0" w:color="auto"/>
      </w:divBdr>
    </w:div>
    <w:div w:id="1117330838">
      <w:bodyDiv w:val="1"/>
      <w:marLeft w:val="0"/>
      <w:marRight w:val="0"/>
      <w:marTop w:val="0"/>
      <w:marBottom w:val="0"/>
      <w:divBdr>
        <w:top w:val="none" w:sz="0" w:space="0" w:color="auto"/>
        <w:left w:val="none" w:sz="0" w:space="0" w:color="auto"/>
        <w:bottom w:val="none" w:sz="0" w:space="0" w:color="auto"/>
        <w:right w:val="none" w:sz="0" w:space="0" w:color="auto"/>
      </w:divBdr>
    </w:div>
    <w:div w:id="20381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yperlink" Target="http://www.uniulm.de/fileadmin/website_uni_ulm/nawi.inst.251/Didactics/thermodynamik/INHALT/G.HT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uni-ulm.de/fileadmin/website_uni_ulm/nawi.inst.251/Didactics/thermodynamik/INHALT/HS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ernaehrung.de/tipps/allgemeine_infos/ernaehr10.php" TargetMode="External"/><Relationship Id="rId10" Type="http://schemas.openxmlformats.org/officeDocument/2006/relationships/image" Target="media/image3.gif"/><Relationship Id="rId19" Type="http://schemas.openxmlformats.org/officeDocument/2006/relationships/hyperlink" Target="http://www.uni-ulm.de/fileadmin/website_uni_ulm/nawi.inst.251/Didactics/thermodynamik/INHALT/HS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hyperlink" Target="http://lpmfs.lpm.uni-sb.de/chemie/begleitmaterial/Enthalpie_Entropi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6D499-A7CE-441C-85DB-B2012ACF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DDD34903.dotm</Template>
  <TotalTime>0</TotalTime>
  <Pages>5</Pages>
  <Words>1116</Words>
  <Characters>7032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2020-11-16T14:37:00Z</cp:lastPrinted>
  <dcterms:created xsi:type="dcterms:W3CDTF">2020-09-25T06:13:00Z</dcterms:created>
  <dcterms:modified xsi:type="dcterms:W3CDTF">2020-11-16T14:37:00Z</dcterms:modified>
</cp:coreProperties>
</file>