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E5A" w:rsidRDefault="00B62E5A"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B62E5A" w:rsidRDefault="00B62E5A"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B62E5A" w:rsidRDefault="00E8473B" w:rsidP="00B62E5A">
      <w:pPr>
        <w:pStyle w:val="Seminar"/>
      </w:pPr>
      <w:r w:rsidRPr="00B62E5A">
        <w:t>Seminar</w:t>
      </w:r>
      <w:r w:rsidR="00FD7888" w:rsidRPr="00B62E5A">
        <w:t xml:space="preserve"> „Übungen im Vortragen – AC“</w:t>
      </w:r>
    </w:p>
    <w:p w:rsidR="00E8473B" w:rsidRDefault="00B62E5A" w:rsidP="005633FE">
      <w:pPr>
        <w:pStyle w:val="Titel"/>
      </w:pPr>
      <w:r>
        <w:t>Edelsteine</w:t>
      </w:r>
    </w:p>
    <w:p w:rsidR="00E8473B" w:rsidRDefault="00B62E5A" w:rsidP="00E8473B">
      <w:pPr>
        <w:pStyle w:val="Autor"/>
      </w:pPr>
      <w:r>
        <w:t>Julia Stich, WS 09/10; Anna Wieser, WS 18/19</w:t>
      </w:r>
      <w:r w:rsidR="00344745">
        <w:t>; Alina Hühne, WS 19/20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E2304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348336" w:history="1">
            <w:r w:rsidR="00E23047" w:rsidRPr="00154165">
              <w:rPr>
                <w:rStyle w:val="Hyperlink"/>
                <w:noProof/>
              </w:rPr>
              <w:t>1</w:t>
            </w:r>
            <w:r w:rsidR="00E23047">
              <w:rPr>
                <w:rFonts w:asciiTheme="minorHAnsi" w:eastAsiaTheme="minorEastAsia" w:hAnsiTheme="minorHAnsi"/>
                <w:noProof/>
                <w:sz w:val="22"/>
                <w:lang w:eastAsia="de-DE"/>
              </w:rPr>
              <w:tab/>
            </w:r>
            <w:r w:rsidR="00E23047" w:rsidRPr="00154165">
              <w:rPr>
                <w:rStyle w:val="Hyperlink"/>
                <w:noProof/>
              </w:rPr>
              <w:t>Die Kristall-Struktur von Rubin und Saphir</w:t>
            </w:r>
            <w:r w:rsidR="00E23047">
              <w:rPr>
                <w:noProof/>
                <w:webHidden/>
              </w:rPr>
              <w:tab/>
            </w:r>
            <w:r w:rsidR="00E23047">
              <w:rPr>
                <w:noProof/>
                <w:webHidden/>
              </w:rPr>
              <w:fldChar w:fldCharType="begin"/>
            </w:r>
            <w:r w:rsidR="00E23047">
              <w:rPr>
                <w:noProof/>
                <w:webHidden/>
              </w:rPr>
              <w:instrText xml:space="preserve"> PAGEREF _Toc47348336 \h </w:instrText>
            </w:r>
            <w:r w:rsidR="00E23047">
              <w:rPr>
                <w:noProof/>
                <w:webHidden/>
              </w:rPr>
            </w:r>
            <w:r w:rsidR="00E23047">
              <w:rPr>
                <w:noProof/>
                <w:webHidden/>
              </w:rPr>
              <w:fldChar w:fldCharType="separate"/>
            </w:r>
            <w:r w:rsidR="00263726">
              <w:rPr>
                <w:noProof/>
                <w:webHidden/>
              </w:rPr>
              <w:t>1</w:t>
            </w:r>
            <w:r w:rsidR="00E23047">
              <w:rPr>
                <w:noProof/>
                <w:webHidden/>
              </w:rPr>
              <w:fldChar w:fldCharType="end"/>
            </w:r>
          </w:hyperlink>
        </w:p>
        <w:p w:rsidR="00E23047" w:rsidRDefault="00263726">
          <w:pPr>
            <w:pStyle w:val="Verzeichnis1"/>
            <w:tabs>
              <w:tab w:val="left" w:pos="480"/>
              <w:tab w:val="right" w:leader="dot" w:pos="9344"/>
            </w:tabs>
            <w:rPr>
              <w:rFonts w:asciiTheme="minorHAnsi" w:eastAsiaTheme="minorEastAsia" w:hAnsiTheme="minorHAnsi"/>
              <w:noProof/>
              <w:sz w:val="22"/>
              <w:lang w:eastAsia="de-DE"/>
            </w:rPr>
          </w:pPr>
          <w:hyperlink w:anchor="_Toc47348337" w:history="1">
            <w:r w:rsidR="00E23047" w:rsidRPr="00154165">
              <w:rPr>
                <w:rStyle w:val="Hyperlink"/>
                <w:noProof/>
              </w:rPr>
              <w:t>2</w:t>
            </w:r>
            <w:r w:rsidR="00E23047">
              <w:rPr>
                <w:rFonts w:asciiTheme="minorHAnsi" w:eastAsiaTheme="minorEastAsia" w:hAnsiTheme="minorHAnsi"/>
                <w:noProof/>
                <w:sz w:val="22"/>
                <w:lang w:eastAsia="de-DE"/>
              </w:rPr>
              <w:tab/>
            </w:r>
            <w:r w:rsidR="00E23047" w:rsidRPr="00154165">
              <w:rPr>
                <w:rStyle w:val="Hyperlink"/>
                <w:noProof/>
              </w:rPr>
              <w:t>Farben [4, 6, 7, 12]</w:t>
            </w:r>
            <w:r w:rsidR="00E23047">
              <w:rPr>
                <w:noProof/>
                <w:webHidden/>
              </w:rPr>
              <w:tab/>
            </w:r>
            <w:r w:rsidR="00E23047">
              <w:rPr>
                <w:noProof/>
                <w:webHidden/>
              </w:rPr>
              <w:fldChar w:fldCharType="begin"/>
            </w:r>
            <w:r w:rsidR="00E23047">
              <w:rPr>
                <w:noProof/>
                <w:webHidden/>
              </w:rPr>
              <w:instrText xml:space="preserve"> PAGEREF _Toc47348337 \h </w:instrText>
            </w:r>
            <w:r w:rsidR="00E23047">
              <w:rPr>
                <w:noProof/>
                <w:webHidden/>
              </w:rPr>
            </w:r>
            <w:r w:rsidR="00E23047">
              <w:rPr>
                <w:noProof/>
                <w:webHidden/>
              </w:rPr>
              <w:fldChar w:fldCharType="separate"/>
            </w:r>
            <w:r>
              <w:rPr>
                <w:noProof/>
                <w:webHidden/>
              </w:rPr>
              <w:t>2</w:t>
            </w:r>
            <w:r w:rsidR="00E23047">
              <w:rPr>
                <w:noProof/>
                <w:webHidden/>
              </w:rPr>
              <w:fldChar w:fldCharType="end"/>
            </w:r>
          </w:hyperlink>
        </w:p>
        <w:p w:rsidR="00E23047" w:rsidRDefault="00263726">
          <w:pPr>
            <w:pStyle w:val="Verzeichnis2"/>
            <w:tabs>
              <w:tab w:val="left" w:pos="880"/>
              <w:tab w:val="right" w:leader="dot" w:pos="9344"/>
            </w:tabs>
            <w:rPr>
              <w:rFonts w:asciiTheme="minorHAnsi" w:eastAsiaTheme="minorEastAsia" w:hAnsiTheme="minorHAnsi"/>
              <w:noProof/>
              <w:sz w:val="22"/>
              <w:lang w:eastAsia="de-DE"/>
            </w:rPr>
          </w:pPr>
          <w:hyperlink w:anchor="_Toc47348338" w:history="1">
            <w:r w:rsidR="00E23047" w:rsidRPr="00154165">
              <w:rPr>
                <w:rStyle w:val="Hyperlink"/>
                <w:noProof/>
              </w:rPr>
              <w:t>2.1</w:t>
            </w:r>
            <w:r w:rsidR="00E23047">
              <w:rPr>
                <w:rFonts w:asciiTheme="minorHAnsi" w:eastAsiaTheme="minorEastAsia" w:hAnsiTheme="minorHAnsi"/>
                <w:noProof/>
                <w:sz w:val="22"/>
                <w:lang w:eastAsia="de-DE"/>
              </w:rPr>
              <w:tab/>
            </w:r>
            <w:r w:rsidR="00E23047" w:rsidRPr="00154165">
              <w:rPr>
                <w:rStyle w:val="Hyperlink"/>
                <w:noProof/>
              </w:rPr>
              <w:t>Farbe des Rubins</w:t>
            </w:r>
            <w:r w:rsidR="00E23047">
              <w:rPr>
                <w:noProof/>
                <w:webHidden/>
              </w:rPr>
              <w:tab/>
            </w:r>
            <w:r w:rsidR="00E23047">
              <w:rPr>
                <w:noProof/>
                <w:webHidden/>
              </w:rPr>
              <w:fldChar w:fldCharType="begin"/>
            </w:r>
            <w:r w:rsidR="00E23047">
              <w:rPr>
                <w:noProof/>
                <w:webHidden/>
              </w:rPr>
              <w:instrText xml:space="preserve"> PAGEREF _Toc47348338 \h </w:instrText>
            </w:r>
            <w:r w:rsidR="00E23047">
              <w:rPr>
                <w:noProof/>
                <w:webHidden/>
              </w:rPr>
            </w:r>
            <w:r w:rsidR="00E23047">
              <w:rPr>
                <w:noProof/>
                <w:webHidden/>
              </w:rPr>
              <w:fldChar w:fldCharType="separate"/>
            </w:r>
            <w:r>
              <w:rPr>
                <w:noProof/>
                <w:webHidden/>
              </w:rPr>
              <w:t>2</w:t>
            </w:r>
            <w:r w:rsidR="00E23047">
              <w:rPr>
                <w:noProof/>
                <w:webHidden/>
              </w:rPr>
              <w:fldChar w:fldCharType="end"/>
            </w:r>
          </w:hyperlink>
        </w:p>
        <w:p w:rsidR="00E23047" w:rsidRDefault="00263726">
          <w:pPr>
            <w:pStyle w:val="Verzeichnis2"/>
            <w:tabs>
              <w:tab w:val="left" w:pos="880"/>
              <w:tab w:val="right" w:leader="dot" w:pos="9344"/>
            </w:tabs>
            <w:rPr>
              <w:rFonts w:asciiTheme="minorHAnsi" w:eastAsiaTheme="minorEastAsia" w:hAnsiTheme="minorHAnsi"/>
              <w:noProof/>
              <w:sz w:val="22"/>
              <w:lang w:eastAsia="de-DE"/>
            </w:rPr>
          </w:pPr>
          <w:hyperlink w:anchor="_Toc47348339" w:history="1">
            <w:r w:rsidR="00E23047" w:rsidRPr="00154165">
              <w:rPr>
                <w:rStyle w:val="Hyperlink"/>
                <w:noProof/>
              </w:rPr>
              <w:t>2.2</w:t>
            </w:r>
            <w:r w:rsidR="00E23047">
              <w:rPr>
                <w:rFonts w:asciiTheme="minorHAnsi" w:eastAsiaTheme="minorEastAsia" w:hAnsiTheme="minorHAnsi"/>
                <w:noProof/>
                <w:sz w:val="22"/>
                <w:lang w:eastAsia="de-DE"/>
              </w:rPr>
              <w:tab/>
            </w:r>
            <w:r w:rsidR="00E23047" w:rsidRPr="00154165">
              <w:rPr>
                <w:rStyle w:val="Hyperlink"/>
                <w:noProof/>
              </w:rPr>
              <w:t>Farben des Saphirs</w:t>
            </w:r>
            <w:r w:rsidR="00E23047">
              <w:rPr>
                <w:noProof/>
                <w:webHidden/>
              </w:rPr>
              <w:tab/>
            </w:r>
            <w:r w:rsidR="00E23047">
              <w:rPr>
                <w:noProof/>
                <w:webHidden/>
              </w:rPr>
              <w:fldChar w:fldCharType="begin"/>
            </w:r>
            <w:r w:rsidR="00E23047">
              <w:rPr>
                <w:noProof/>
                <w:webHidden/>
              </w:rPr>
              <w:instrText xml:space="preserve"> PAGEREF _Toc47348339 \h </w:instrText>
            </w:r>
            <w:r w:rsidR="00E23047">
              <w:rPr>
                <w:noProof/>
                <w:webHidden/>
              </w:rPr>
            </w:r>
            <w:r w:rsidR="00E23047">
              <w:rPr>
                <w:noProof/>
                <w:webHidden/>
              </w:rPr>
              <w:fldChar w:fldCharType="separate"/>
            </w:r>
            <w:r>
              <w:rPr>
                <w:noProof/>
                <w:webHidden/>
              </w:rPr>
              <w:t>3</w:t>
            </w:r>
            <w:r w:rsidR="00E23047">
              <w:rPr>
                <w:noProof/>
                <w:webHidden/>
              </w:rPr>
              <w:fldChar w:fldCharType="end"/>
            </w:r>
          </w:hyperlink>
        </w:p>
        <w:p w:rsidR="00E23047" w:rsidRDefault="00263726">
          <w:pPr>
            <w:pStyle w:val="Verzeichnis1"/>
            <w:tabs>
              <w:tab w:val="left" w:pos="480"/>
              <w:tab w:val="right" w:leader="dot" w:pos="9344"/>
            </w:tabs>
            <w:rPr>
              <w:rFonts w:asciiTheme="minorHAnsi" w:eastAsiaTheme="minorEastAsia" w:hAnsiTheme="minorHAnsi"/>
              <w:noProof/>
              <w:sz w:val="22"/>
              <w:lang w:eastAsia="de-DE"/>
            </w:rPr>
          </w:pPr>
          <w:hyperlink w:anchor="_Toc47348340" w:history="1">
            <w:r w:rsidR="00E23047" w:rsidRPr="00154165">
              <w:rPr>
                <w:rStyle w:val="Hyperlink"/>
                <w:noProof/>
              </w:rPr>
              <w:t>3</w:t>
            </w:r>
            <w:r w:rsidR="00E23047">
              <w:rPr>
                <w:rFonts w:asciiTheme="minorHAnsi" w:eastAsiaTheme="minorEastAsia" w:hAnsiTheme="minorHAnsi"/>
                <w:noProof/>
                <w:sz w:val="22"/>
                <w:lang w:eastAsia="de-DE"/>
              </w:rPr>
              <w:tab/>
            </w:r>
            <w:r w:rsidR="00E23047" w:rsidRPr="00154165">
              <w:rPr>
                <w:rStyle w:val="Hyperlink"/>
                <w:noProof/>
              </w:rPr>
              <w:t>Natürliche Entstehung von Rubin und Saphir [7, 8]</w:t>
            </w:r>
            <w:r w:rsidR="00E23047">
              <w:rPr>
                <w:noProof/>
                <w:webHidden/>
              </w:rPr>
              <w:tab/>
            </w:r>
            <w:r w:rsidR="00E23047">
              <w:rPr>
                <w:noProof/>
                <w:webHidden/>
              </w:rPr>
              <w:fldChar w:fldCharType="begin"/>
            </w:r>
            <w:r w:rsidR="00E23047">
              <w:rPr>
                <w:noProof/>
                <w:webHidden/>
              </w:rPr>
              <w:instrText xml:space="preserve"> PAGEREF _Toc47348340 \h </w:instrText>
            </w:r>
            <w:r w:rsidR="00E23047">
              <w:rPr>
                <w:noProof/>
                <w:webHidden/>
              </w:rPr>
            </w:r>
            <w:r w:rsidR="00E23047">
              <w:rPr>
                <w:noProof/>
                <w:webHidden/>
              </w:rPr>
              <w:fldChar w:fldCharType="separate"/>
            </w:r>
            <w:r>
              <w:rPr>
                <w:noProof/>
                <w:webHidden/>
              </w:rPr>
              <w:t>5</w:t>
            </w:r>
            <w:r w:rsidR="00E23047">
              <w:rPr>
                <w:noProof/>
                <w:webHidden/>
              </w:rPr>
              <w:fldChar w:fldCharType="end"/>
            </w:r>
          </w:hyperlink>
        </w:p>
        <w:p w:rsidR="00E23047" w:rsidRDefault="00263726">
          <w:pPr>
            <w:pStyle w:val="Verzeichnis1"/>
            <w:tabs>
              <w:tab w:val="left" w:pos="480"/>
              <w:tab w:val="right" w:leader="dot" w:pos="9344"/>
            </w:tabs>
            <w:rPr>
              <w:rFonts w:asciiTheme="minorHAnsi" w:eastAsiaTheme="minorEastAsia" w:hAnsiTheme="minorHAnsi"/>
              <w:noProof/>
              <w:sz w:val="22"/>
              <w:lang w:eastAsia="de-DE"/>
            </w:rPr>
          </w:pPr>
          <w:hyperlink w:anchor="_Toc47348341" w:history="1">
            <w:r w:rsidR="00E23047" w:rsidRPr="00154165">
              <w:rPr>
                <w:rStyle w:val="Hyperlink"/>
                <w:noProof/>
              </w:rPr>
              <w:t>4</w:t>
            </w:r>
            <w:r w:rsidR="00E23047">
              <w:rPr>
                <w:rFonts w:asciiTheme="minorHAnsi" w:eastAsiaTheme="minorEastAsia" w:hAnsiTheme="minorHAnsi"/>
                <w:noProof/>
                <w:sz w:val="22"/>
                <w:lang w:eastAsia="de-DE"/>
              </w:rPr>
              <w:tab/>
            </w:r>
            <w:r w:rsidR="00E23047" w:rsidRPr="00154165">
              <w:rPr>
                <w:rStyle w:val="Hyperlink"/>
                <w:noProof/>
              </w:rPr>
              <w:t>Synthetische Herstellung von Rubin und Saphir [3]</w:t>
            </w:r>
            <w:r w:rsidR="00E23047">
              <w:rPr>
                <w:noProof/>
                <w:webHidden/>
              </w:rPr>
              <w:tab/>
            </w:r>
            <w:r w:rsidR="00E23047">
              <w:rPr>
                <w:noProof/>
                <w:webHidden/>
              </w:rPr>
              <w:fldChar w:fldCharType="begin"/>
            </w:r>
            <w:r w:rsidR="00E23047">
              <w:rPr>
                <w:noProof/>
                <w:webHidden/>
              </w:rPr>
              <w:instrText xml:space="preserve"> PAGEREF _Toc47348341 \h </w:instrText>
            </w:r>
            <w:r w:rsidR="00E23047">
              <w:rPr>
                <w:noProof/>
                <w:webHidden/>
              </w:rPr>
            </w:r>
            <w:r w:rsidR="00E23047">
              <w:rPr>
                <w:noProof/>
                <w:webHidden/>
              </w:rPr>
              <w:fldChar w:fldCharType="separate"/>
            </w:r>
            <w:r>
              <w:rPr>
                <w:noProof/>
                <w:webHidden/>
              </w:rPr>
              <w:t>5</w:t>
            </w:r>
            <w:r w:rsidR="00E23047">
              <w:rPr>
                <w:noProof/>
                <w:webHidden/>
              </w:rPr>
              <w:fldChar w:fldCharType="end"/>
            </w:r>
          </w:hyperlink>
        </w:p>
        <w:p w:rsidR="006C46BC" w:rsidRDefault="006C46BC">
          <w:r>
            <w:rPr>
              <w:b/>
              <w:bCs/>
            </w:rPr>
            <w:fldChar w:fldCharType="end"/>
          </w:r>
        </w:p>
      </w:sdtContent>
    </w:sdt>
    <w:p w:rsidR="00FD7888" w:rsidRPr="00B62E5A" w:rsidRDefault="00FD7888" w:rsidP="00FD7888">
      <w:pPr>
        <w:pStyle w:val="EinstiegAbschluss"/>
      </w:pPr>
      <w:bookmarkStart w:id="0" w:name="_Überschrift_1"/>
      <w:bookmarkEnd w:id="0"/>
      <w:r w:rsidRPr="00C47CC6">
        <w:rPr>
          <w:rStyle w:val="Fett"/>
        </w:rPr>
        <w:t>Einstieg</w:t>
      </w:r>
      <w:r w:rsidR="00B62E5A">
        <w:rPr>
          <w:rStyle w:val="Fett"/>
        </w:rPr>
        <w:t xml:space="preserve"> 1</w:t>
      </w:r>
      <w:r>
        <w:t>:</w:t>
      </w:r>
      <w:r w:rsidR="00C47CC6">
        <w:t xml:space="preserve"> </w:t>
      </w:r>
      <w:r w:rsidR="00B62E5A">
        <w:rPr>
          <w:rFonts w:cs="Arial"/>
        </w:rPr>
        <w:t>Eine weitläufige Definition für die Klassifizierung von Edelsteine ist „Edelsteine sind Steine, welche nur sehr selten vorkommen und somit einen bedeutenden Wert haben“. Diese Definition reicht einem Chemiker natürlich nicht aus. Deshalb beschäftigt sich der Nachfolgende Vortrag mit der Kristall-Struktur, der Farbe, der natürlichen Entstehung und der synthetischen Herstellung von Edelsteinen. Da das Gebiet der Edelsteine sehr weitläufig ist, wird als Beispiel der Rubin in geologischer und chemischer Sichtweise betrachtet.</w:t>
      </w:r>
    </w:p>
    <w:p w:rsidR="00B62E5A" w:rsidRPr="00344745" w:rsidRDefault="00B62E5A" w:rsidP="00FD7888">
      <w:pPr>
        <w:pStyle w:val="EinstiegAbschluss"/>
      </w:pPr>
      <w:r>
        <w:rPr>
          <w:rStyle w:val="Fett"/>
        </w:rPr>
        <w:t>Einstieg 2:</w:t>
      </w:r>
      <w:r>
        <w:t xml:space="preserve"> </w:t>
      </w:r>
      <w:r>
        <w:rPr>
          <w:rFonts w:cs="Arial"/>
        </w:rPr>
        <w:t>Rubin mit seiner roten Farbe und Saphir mit seiner blauen Farbe sind bekannt. Dass es auch die Farb-Varianten Gelb/Grün, Rosa und Violett gibt, weniger. Diese Varianten werden im Nachfolgenden erklärt.</w:t>
      </w:r>
    </w:p>
    <w:p w:rsidR="00344745" w:rsidRDefault="00344745" w:rsidP="00344745">
      <w:pPr>
        <w:pStyle w:val="EinstiegAbschluss"/>
        <w:tabs>
          <w:tab w:val="left" w:pos="708"/>
        </w:tabs>
      </w:pPr>
      <w:r w:rsidRPr="00344745">
        <w:rPr>
          <w:b/>
          <w:bCs/>
        </w:rPr>
        <w:t>Einstieg 3:</w:t>
      </w:r>
      <w:r>
        <w:t xml:space="preserve"> Edelsteine sind meist anorganische Mineralien, manchmal organisch oder synthetisch. Wegen ihres schönen Aussehens, Glanz und ihrer Robustheit sind sie sehr beliebte Schmuckstücke. Deswegen sind sie noch immer von großem Wert. Mittlerweile ist durch verschiedene Analysemethoden die Struktur der Edelsteine bekannt. Chemikern sollte es also eigentlich möglich sein, diese zu synthetisieren und damit sogar die perfekte Kopie zu erschaffen.</w:t>
      </w:r>
    </w:p>
    <w:p w:rsidR="00E8473B" w:rsidRDefault="00B62E5A" w:rsidP="008A524D">
      <w:pPr>
        <w:pStyle w:val="berschrift1"/>
      </w:pPr>
      <w:bookmarkStart w:id="1" w:name="_Toc47348336"/>
      <w:r>
        <w:t>Die Kristall-Struktur von Rubin und Saphir</w:t>
      </w:r>
      <w:bookmarkEnd w:id="1"/>
    </w:p>
    <w:p w:rsidR="00B62E5A" w:rsidRPr="00B62E5A" w:rsidRDefault="00B62E5A" w:rsidP="00B62E5A">
      <w:r w:rsidRPr="00B62E5A">
        <w:t>Der Rubin und der Saphir kommen in der Korund-Kristallstruktur (α-Al</w:t>
      </w:r>
      <w:r w:rsidRPr="00B62E5A">
        <w:rPr>
          <w:vertAlign w:val="subscript"/>
        </w:rPr>
        <w:t>2</w:t>
      </w:r>
      <w:r w:rsidRPr="00B62E5A">
        <w:t>O</w:t>
      </w:r>
      <w:r w:rsidRPr="00B62E5A">
        <w:rPr>
          <w:vertAlign w:val="subscript"/>
        </w:rPr>
        <w:t>3</w:t>
      </w:r>
      <w:r w:rsidRPr="00B62E5A">
        <w:t xml:space="preserve">) vor. Dort bilden die Oxid-Anionen eine hexagonal-dichteste Kugelpackung (ABAB). </w:t>
      </w:r>
    </w:p>
    <w:p w:rsidR="00B62E5A" w:rsidRPr="00B62E5A" w:rsidRDefault="00B62E5A" w:rsidP="00B62E5A">
      <w:r w:rsidRPr="00B62E5A">
        <w:t>Durch diese Anordnung der Oxid-Anionen ergeben sich Oktaeder</w:t>
      </w:r>
      <w:r>
        <w:t>-L</w:t>
      </w:r>
      <w:r w:rsidRPr="00B62E5A">
        <w:t>ücken, die im Fall des Rubins Aluminium(III)-Kationen enthalten. Dabei sind diese Oktaeder</w:t>
      </w:r>
      <w:r>
        <w:t>-L</w:t>
      </w:r>
      <w:r w:rsidRPr="00B62E5A">
        <w:t>ücken-Zwischenschichten (■) nur zu ⅔ mit Aluminium(III)-Kationen besetzt und bilden Sechser</w:t>
      </w:r>
      <w:r>
        <w:t>-R</w:t>
      </w:r>
      <w:r w:rsidRPr="00B62E5A">
        <w:t>inge. Die vorliegenden sechs Tetraeder</w:t>
      </w:r>
      <w:r>
        <w:t>-L</w:t>
      </w:r>
      <w:r w:rsidRPr="00B62E5A">
        <w:t>ücken (∆) in der Elementar</w:t>
      </w:r>
      <w:r>
        <w:t>-Z</w:t>
      </w:r>
      <w:r w:rsidRPr="00B62E5A">
        <w:t xml:space="preserve">elle sind unbesetzt. </w:t>
      </w:r>
    </w:p>
    <w:p w:rsidR="00B62E5A" w:rsidRPr="00B62E5A" w:rsidRDefault="00263726" w:rsidP="00B62E5A">
      <w:pPr>
        <w:pStyle w:val="Formeln"/>
        <w:rPr>
          <w:rFonts w:eastAsiaTheme="minorEastAsia"/>
        </w:rPr>
      </w:pPr>
      <m:oMathPara>
        <m:oMath>
          <m:sSup>
            <m:sSupPr>
              <m:ctrlPr>
                <w:rPr>
                  <w:rFonts w:ascii="Cambria Math" w:hAnsi="Cambria Math"/>
                </w:rPr>
              </m:ctrlPr>
            </m:sSupPr>
            <m:e>
              <m:sSub>
                <m:sSubPr>
                  <m:ctrlPr>
                    <w:rPr>
                      <w:rFonts w:ascii="Cambria Math" w:hAnsi="Cambria Math"/>
                    </w:rPr>
                  </m:ctrlPr>
                </m:sSubPr>
                <m:e>
                  <m:r>
                    <m:rPr>
                      <m:nor/>
                    </m:rPr>
                    <m:t>Δ</m:t>
                  </m:r>
                </m:e>
                <m:sub>
                  <m:r>
                    <m:rPr>
                      <m:nor/>
                    </m:rPr>
                    <m:t>6</m:t>
                  </m:r>
                </m:sub>
              </m:sSub>
            </m:e>
            <m:sup>
              <m:d>
                <m:dPr>
                  <m:begChr m:val="["/>
                  <m:endChr m:val="]"/>
                  <m:ctrlPr>
                    <w:rPr>
                      <w:rFonts w:ascii="Cambria Math" w:hAnsi="Cambria Math"/>
                    </w:rPr>
                  </m:ctrlPr>
                </m:dPr>
                <m:e>
                  <m:r>
                    <m:rPr>
                      <m:nor/>
                    </m:rPr>
                    <m:t>4</m:t>
                  </m:r>
                </m:e>
              </m:d>
            </m:sup>
          </m:sSup>
          <m:r>
            <m:rPr>
              <m:nor/>
            </m:rPr>
            <w:rPr>
              <w:rFonts w:ascii="Cambria Math" w:hAnsi="Cambria Math" w:cs="Cambria Math"/>
            </w:rPr>
            <m:t>∎</m:t>
          </m:r>
          <m:sSup>
            <m:sSupPr>
              <m:ctrlPr>
                <w:rPr>
                  <w:rFonts w:ascii="Cambria Math" w:hAnsi="Cambria Math"/>
                </w:rPr>
              </m:ctrlPr>
            </m:sSupPr>
            <m:e>
              <m:r>
                <m:rPr>
                  <m:nor/>
                </m:rPr>
                <m:t>1</m:t>
              </m:r>
            </m:e>
            <m:sup>
              <m:d>
                <m:dPr>
                  <m:begChr m:val="["/>
                  <m:endChr m:val="]"/>
                  <m:ctrlPr>
                    <w:rPr>
                      <w:rFonts w:ascii="Cambria Math" w:hAnsi="Cambria Math"/>
                    </w:rPr>
                  </m:ctrlPr>
                </m:dPr>
                <m:e>
                  <m:r>
                    <m:rPr>
                      <m:nor/>
                    </m:rPr>
                    <m:t>6</m:t>
                  </m:r>
                </m:e>
              </m:d>
            </m:sup>
          </m:sSup>
          <m:sSup>
            <m:sSupPr>
              <m:ctrlPr>
                <w:rPr>
                  <w:rFonts w:ascii="Cambria Math" w:hAnsi="Cambria Math"/>
                </w:rPr>
              </m:ctrlPr>
            </m:sSupPr>
            <m:e>
              <m:sSub>
                <m:sSubPr>
                  <m:ctrlPr>
                    <w:rPr>
                      <w:rFonts w:ascii="Cambria Math" w:hAnsi="Cambria Math"/>
                    </w:rPr>
                  </m:ctrlPr>
                </m:sSubPr>
                <m:e>
                  <m:r>
                    <m:rPr>
                      <m:nor/>
                    </m:rPr>
                    <m:t>Al</m:t>
                  </m:r>
                </m:e>
                <m:sub>
                  <m:r>
                    <m:rPr>
                      <m:nor/>
                    </m:rPr>
                    <m:t>2</m:t>
                  </m:r>
                </m:sub>
              </m:sSub>
            </m:e>
            <m:sup>
              <m:d>
                <m:dPr>
                  <m:begChr m:val="["/>
                  <m:endChr m:val="]"/>
                  <m:ctrlPr>
                    <w:rPr>
                      <w:rFonts w:ascii="Cambria Math" w:hAnsi="Cambria Math"/>
                    </w:rPr>
                  </m:ctrlPr>
                </m:dPr>
                <m:e>
                  <m:r>
                    <m:rPr>
                      <m:nor/>
                    </m:rPr>
                    <m:t>6</m:t>
                  </m:r>
                </m:e>
              </m:d>
            </m:sup>
          </m:sSup>
          <m:sSub>
            <m:sSubPr>
              <m:ctrlPr>
                <w:rPr>
                  <w:rFonts w:ascii="Cambria Math" w:hAnsi="Cambria Math"/>
                </w:rPr>
              </m:ctrlPr>
            </m:sSubPr>
            <m:e>
              <m:r>
                <m:rPr>
                  <m:nor/>
                </m:rPr>
                <m:t>O</m:t>
              </m:r>
            </m:e>
            <m:sub>
              <m:r>
                <m:rPr>
                  <m:nor/>
                </m:rPr>
                <m:t>3</m:t>
              </m:r>
            </m:sub>
          </m:sSub>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Al</m:t>
              </m:r>
            </m:e>
            <m:sub>
              <m:r>
                <m:rPr>
                  <m:nor/>
                </m:rPr>
                <m:t>2</m:t>
              </m:r>
            </m:sub>
          </m:sSub>
          <m:sSub>
            <m:sSubPr>
              <m:ctrlPr>
                <w:rPr>
                  <w:rFonts w:ascii="Cambria Math" w:hAnsi="Cambria Math"/>
                </w:rPr>
              </m:ctrlPr>
            </m:sSubPr>
            <m:e>
              <m:r>
                <m:rPr>
                  <m:nor/>
                </m:rPr>
                <m:t>O</m:t>
              </m:r>
            </m:e>
            <m:sub>
              <m:r>
                <m:rPr>
                  <m:nor/>
                </m:rPr>
                <m:t>3</m:t>
              </m:r>
            </m:sub>
          </m:sSub>
        </m:oMath>
      </m:oMathPara>
    </w:p>
    <w:p w:rsidR="00B62E5A" w:rsidRDefault="00B62E5A" w:rsidP="00B62E5A">
      <w:pPr>
        <w:pStyle w:val="Bilder"/>
      </w:pPr>
      <w:r>
        <w:rPr>
          <w:lang w:eastAsia="de-DE"/>
        </w:rPr>
        <w:lastRenderedPageBreak/>
        <w:drawing>
          <wp:inline distT="0" distB="0" distL="0" distR="0">
            <wp:extent cx="2215515" cy="17627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5515" cy="1762760"/>
                    </a:xfrm>
                    <a:prstGeom prst="rect">
                      <a:avLst/>
                    </a:prstGeom>
                    <a:noFill/>
                    <a:ln>
                      <a:noFill/>
                    </a:ln>
                  </pic:spPr>
                </pic:pic>
              </a:graphicData>
            </a:graphic>
          </wp:inline>
        </w:drawing>
      </w:r>
      <w:r>
        <w:tab/>
      </w:r>
      <w:r>
        <w:tab/>
      </w:r>
      <w:r>
        <w:rPr>
          <w:lang w:eastAsia="de-DE"/>
        </w:rPr>
        <w:drawing>
          <wp:inline distT="0" distB="0" distL="0" distR="0">
            <wp:extent cx="2262505" cy="1753235"/>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2505" cy="1753235"/>
                    </a:xfrm>
                    <a:prstGeom prst="rect">
                      <a:avLst/>
                    </a:prstGeom>
                    <a:noFill/>
                    <a:ln>
                      <a:noFill/>
                    </a:ln>
                  </pic:spPr>
                </pic:pic>
              </a:graphicData>
            </a:graphic>
          </wp:inline>
        </w:drawing>
      </w:r>
    </w:p>
    <w:p w:rsidR="00B62E5A" w:rsidRDefault="00B62E5A" w:rsidP="00B62E5A">
      <w:pPr>
        <w:pStyle w:val="Beschriftung"/>
        <w:rPr>
          <w:rFonts w:cs="Arial"/>
        </w:rPr>
      </w:pPr>
      <w:r>
        <w:t xml:space="preserve">Abb. </w:t>
      </w:r>
      <w:r w:rsidR="00263726">
        <w:fldChar w:fldCharType="begin"/>
      </w:r>
      <w:r w:rsidR="00263726">
        <w:instrText xml:space="preserve"> SEQ Abb. \* ARABIC </w:instrText>
      </w:r>
      <w:r w:rsidR="00263726">
        <w:fldChar w:fldCharType="separate"/>
      </w:r>
      <w:r w:rsidR="00263726">
        <w:rPr>
          <w:noProof/>
        </w:rPr>
        <w:t>1</w:t>
      </w:r>
      <w:r w:rsidR="00263726">
        <w:rPr>
          <w:noProof/>
        </w:rPr>
        <w:fldChar w:fldCharType="end"/>
      </w:r>
      <w:r>
        <w:t xml:space="preserve">: </w:t>
      </w:r>
      <w:r>
        <w:rPr>
          <w:rFonts w:cs="Arial"/>
        </w:rPr>
        <w:t>Modell der Korund-Kristallstruktur</w:t>
      </w:r>
      <w:r>
        <w:rPr>
          <w:rFonts w:cs="Arial"/>
        </w:rPr>
        <w:br/>
        <w:t>(</w:t>
      </w:r>
      <w:r>
        <w:rPr>
          <w:rFonts w:cs="Arial"/>
          <w:color w:val="FF0000"/>
        </w:rPr>
        <w:t>rot</w:t>
      </w:r>
      <w:r>
        <w:rPr>
          <w:rFonts w:cs="Arial"/>
        </w:rPr>
        <w:t xml:space="preserve">=Sauerstoff-Anionen, </w:t>
      </w:r>
      <w:r>
        <w:rPr>
          <w:rFonts w:cs="Arial"/>
          <w:color w:val="0000FF"/>
        </w:rPr>
        <w:t>blau</w:t>
      </w:r>
      <w:r>
        <w:rPr>
          <w:rFonts w:cs="Arial"/>
        </w:rPr>
        <w:t>=Aluminium-Kationen)</w:t>
      </w:r>
    </w:p>
    <w:p w:rsidR="00B62E5A" w:rsidRPr="00B62E5A" w:rsidRDefault="00B62E5A" w:rsidP="00B62E5A">
      <w:r>
        <w:rPr>
          <w:rFonts w:cs="Arial"/>
        </w:rPr>
        <w:t>In geringem Umfang (x zwischen 0,02% und 0,6%) sind im Kristall-Gitter des Rubins bzw. der verschieden Saphire Aluminium(III)-Kationen durch andere Kationen (Y) ersetzt. Welche dies genau sind wird in der Tabelle 1 in 2.2 aufgezeigt.</w:t>
      </w:r>
    </w:p>
    <w:p w:rsidR="00B62E5A" w:rsidRPr="00B62E5A" w:rsidRDefault="00263726" w:rsidP="00B62E5A">
      <w:pPr>
        <w:pStyle w:val="Formeln"/>
        <w:rPr>
          <w:rFonts w:eastAsiaTheme="minorEastAsia"/>
        </w:rPr>
      </w:pPr>
      <m:oMathPara>
        <m:oMath>
          <m:sSup>
            <m:sSupPr>
              <m:ctrlPr>
                <w:rPr>
                  <w:rFonts w:ascii="Cambria Math" w:hAnsi="Cambria Math"/>
                </w:rPr>
              </m:ctrlPr>
            </m:sSupPr>
            <m:e>
              <m:sSub>
                <m:sSubPr>
                  <m:ctrlPr>
                    <w:rPr>
                      <w:rFonts w:ascii="Cambria Math" w:hAnsi="Cambria Math"/>
                    </w:rPr>
                  </m:ctrlPr>
                </m:sSubPr>
                <m:e>
                  <m:r>
                    <m:rPr>
                      <m:nor/>
                    </m:rPr>
                    <m:t>Al</m:t>
                  </m:r>
                </m:e>
                <m:sub>
                  <m:d>
                    <m:dPr>
                      <m:ctrlPr>
                        <w:rPr>
                          <w:rFonts w:ascii="Cambria Math" w:hAnsi="Cambria Math"/>
                        </w:rPr>
                      </m:ctrlPr>
                    </m:dPr>
                    <m:e>
                      <m:r>
                        <m:rPr>
                          <m:nor/>
                        </m:rPr>
                        <m:t>2-x</m:t>
                      </m:r>
                    </m:e>
                  </m:d>
                </m:sub>
              </m:sSub>
            </m:e>
            <m:sup>
              <m:d>
                <m:dPr>
                  <m:begChr m:val="["/>
                  <m:endChr m:val="]"/>
                  <m:ctrlPr>
                    <w:rPr>
                      <w:rFonts w:ascii="Cambria Math" w:hAnsi="Cambria Math"/>
                    </w:rPr>
                  </m:ctrlPr>
                </m:dPr>
                <m:e>
                  <m:r>
                    <m:rPr>
                      <m:nor/>
                    </m:rPr>
                    <m:t>6</m:t>
                  </m:r>
                </m:e>
              </m:d>
            </m:sup>
          </m:sSup>
          <m:sSub>
            <m:sSubPr>
              <m:ctrlPr>
                <w:rPr>
                  <w:rFonts w:ascii="Cambria Math" w:hAnsi="Cambria Math"/>
                </w:rPr>
              </m:ctrlPr>
            </m:sSubPr>
            <m:e>
              <m:r>
                <m:rPr>
                  <m:nor/>
                </m:rPr>
                <m:t>Y</m:t>
              </m:r>
            </m:e>
            <m:sub>
              <m:r>
                <m:rPr>
                  <m:nor/>
                </m:rPr>
                <m:t>x</m:t>
              </m:r>
            </m:sub>
          </m:sSub>
          <m:sSub>
            <m:sSubPr>
              <m:ctrlPr>
                <w:rPr>
                  <w:rFonts w:ascii="Cambria Math" w:hAnsi="Cambria Math"/>
                </w:rPr>
              </m:ctrlPr>
            </m:sSubPr>
            <m:e>
              <m:r>
                <m:rPr>
                  <m:nor/>
                </m:rPr>
                <m:t>O</m:t>
              </m:r>
            </m:e>
            <m:sub>
              <m:r>
                <m:rPr>
                  <m:nor/>
                </m:rPr>
                <m:t>3</m:t>
              </m:r>
            </m:sub>
          </m:sSub>
        </m:oMath>
      </m:oMathPara>
    </w:p>
    <w:p w:rsidR="00B62E5A" w:rsidRDefault="00B62E5A" w:rsidP="00B62E5A">
      <w:pPr>
        <w:pStyle w:val="berschrift1"/>
      </w:pPr>
      <w:bookmarkStart w:id="2" w:name="_Toc47348337"/>
      <w:r>
        <w:t>Farben [</w:t>
      </w:r>
      <w:r>
        <w:fldChar w:fldCharType="begin"/>
      </w:r>
      <w:r>
        <w:instrText xml:space="preserve"> REF _Ref47347522 \r \h </w:instrText>
      </w:r>
      <w:r>
        <w:fldChar w:fldCharType="separate"/>
      </w:r>
      <w:r w:rsidR="00263726">
        <w:rPr>
          <w:b w:val="0"/>
          <w:bCs/>
        </w:rPr>
        <w:t>Fehler! Verweisquelle konnte nicht gefunden werden.</w:t>
      </w:r>
      <w:r>
        <w:fldChar w:fldCharType="end"/>
      </w:r>
      <w:r>
        <w:t xml:space="preserve">, </w:t>
      </w:r>
      <w:r>
        <w:fldChar w:fldCharType="begin"/>
      </w:r>
      <w:r>
        <w:instrText xml:space="preserve"> REF _Ref47347530 \r \h </w:instrText>
      </w:r>
      <w:r>
        <w:fldChar w:fldCharType="separate"/>
      </w:r>
      <w:r w:rsidR="00263726">
        <w:rPr>
          <w:b w:val="0"/>
          <w:bCs/>
        </w:rPr>
        <w:t>Fehler! Verweisquelle konnte nicht gefunden werden.</w:t>
      </w:r>
      <w:r>
        <w:fldChar w:fldCharType="end"/>
      </w:r>
      <w:r>
        <w:t xml:space="preserve">, </w:t>
      </w:r>
      <w:r>
        <w:fldChar w:fldCharType="begin"/>
      </w:r>
      <w:r>
        <w:instrText xml:space="preserve"> REF _Ref47347536 \r \h </w:instrText>
      </w:r>
      <w:r>
        <w:fldChar w:fldCharType="separate"/>
      </w:r>
      <w:r w:rsidR="00263726">
        <w:rPr>
          <w:b w:val="0"/>
          <w:bCs/>
        </w:rPr>
        <w:t>Fehler! Verweisquelle konnte nicht gefunden werden.</w:t>
      </w:r>
      <w:r>
        <w:fldChar w:fldCharType="end"/>
      </w:r>
      <w:r>
        <w:t xml:space="preserve">, </w:t>
      </w:r>
      <w:r>
        <w:fldChar w:fldCharType="begin"/>
      </w:r>
      <w:r>
        <w:instrText xml:space="preserve"> REF _Ref47347545 \r \h </w:instrText>
      </w:r>
      <w:r>
        <w:fldChar w:fldCharType="separate"/>
      </w:r>
      <w:r w:rsidR="00263726">
        <w:rPr>
          <w:b w:val="0"/>
          <w:bCs/>
        </w:rPr>
        <w:t>Fehler! Verweisquelle konnte nicht gefunden werden.</w:t>
      </w:r>
      <w:r>
        <w:fldChar w:fldCharType="end"/>
      </w:r>
      <w:r>
        <w:t>]</w:t>
      </w:r>
      <w:bookmarkEnd w:id="2"/>
    </w:p>
    <w:p w:rsidR="00B62E5A" w:rsidRDefault="00B62E5A" w:rsidP="00B62E5A">
      <w:pPr>
        <w:pStyle w:val="berschrift2"/>
      </w:pPr>
      <w:bookmarkStart w:id="3" w:name="_Toc47348338"/>
      <w:r>
        <w:t>Farbe des Rubins</w:t>
      </w:r>
      <w:bookmarkEnd w:id="3"/>
    </w:p>
    <w:p w:rsidR="00344745" w:rsidRDefault="00344745" w:rsidP="00344745">
      <w:r>
        <w:t xml:space="preserve">Nach der </w:t>
      </w:r>
      <w:proofErr w:type="spellStart"/>
      <w:r>
        <w:t>Ligandenfeld</w:t>
      </w:r>
      <w:proofErr w:type="spellEnd"/>
      <w:r>
        <w:t>-Theorie sind elektrische Übergänge der d-d-Valenzelektronen für die Farbigkeit von Kristallen verantwortlich. Aluminium ist kein Übergangsmetall, hat also keine d-Elektronen. Korund sollte daher farblos sein. Die rote Farbe des Rubins muss also einen anderen Grund haben.</w:t>
      </w:r>
    </w:p>
    <w:p w:rsidR="00344745" w:rsidRDefault="00344745" w:rsidP="00344745">
      <w:r>
        <w:t>Tatsächlich sind Chrom(III)-Einlagerungen in der Korund-Struktur verantwortlich für die rote Farbe des Rubins. Das bedeutet, das Cr</w:t>
      </w:r>
      <w:r>
        <w:rPr>
          <w:vertAlign w:val="superscript"/>
        </w:rPr>
        <w:t>3+</w:t>
      </w:r>
      <w:r>
        <w:t>-Fremd-Ionen einige der Al</w:t>
      </w:r>
      <w:r>
        <w:rPr>
          <w:vertAlign w:val="superscript"/>
        </w:rPr>
        <w:t>3+</w:t>
      </w:r>
      <w:r>
        <w:t>-Plätze im Korund-Gitter einnehmen.</w:t>
      </w:r>
    </w:p>
    <w:p w:rsidR="00344745" w:rsidRDefault="00344745" w:rsidP="00344745">
      <w:r>
        <w:t>Aber wie kommt es zu der optischen roten Färbung? Chrom(III)-oxid, das Ausgangsmaterial, ist doch grün.</w:t>
      </w:r>
    </w:p>
    <w:p w:rsidR="00B62E5A" w:rsidRDefault="00344745" w:rsidP="00B62E5A">
      <w:pPr>
        <w:pStyle w:val="Bilder"/>
      </w:pPr>
      <w:r>
        <w:rPr>
          <w:lang w:eastAsia="de-DE"/>
        </w:rPr>
        <w:drawing>
          <wp:inline distT="0" distB="0" distL="0" distR="0" wp14:anchorId="2952DA31" wp14:editId="2E9BD77C">
            <wp:extent cx="2339975" cy="2339975"/>
            <wp:effectExtent l="0" t="0" r="3175" b="3175"/>
            <wp:docPr id="5" name="Grafik 5" descr="Ein Bild, das Tasse, Essen, Tisch, Milch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 name="Grafik 5" descr="Ein Bild, das Tasse, Essen, Tisch, Milch enthält.&#10;&#10;Automatisch generierte Beschreibung"/>
                    <pic:cNvPicPr/>
                  </pic:nvPicPr>
                  <pic:blipFill rotWithShape="1">
                    <a:blip r:embed="rId11" cstate="print">
                      <a:extLst>
                        <a:ext uri="{28A0092B-C50C-407E-A947-70E740481C1C}">
                          <a14:useLocalDpi xmlns:a14="http://schemas.microsoft.com/office/drawing/2010/main" val="0"/>
                        </a:ext>
                      </a:extLst>
                    </a:blip>
                    <a:srcRect l="20525" t="398" r="22290" b="-398"/>
                    <a:stretch/>
                  </pic:blipFill>
                  <pic:spPr bwMode="auto">
                    <a:xfrm>
                      <a:off x="0" y="0"/>
                      <a:ext cx="2339975" cy="2339975"/>
                    </a:xfrm>
                    <a:prstGeom prst="rect">
                      <a:avLst/>
                    </a:prstGeom>
                    <a:ln>
                      <a:noFill/>
                    </a:ln>
                    <a:extLst>
                      <a:ext uri="{53640926-AAD7-44D8-BBD7-CCE9431645EC}">
                        <a14:shadowObscured xmlns:a14="http://schemas.microsoft.com/office/drawing/2010/main"/>
                      </a:ext>
                    </a:extLst>
                  </pic:spPr>
                </pic:pic>
              </a:graphicData>
            </a:graphic>
          </wp:inline>
        </w:drawing>
      </w:r>
      <w:r w:rsidR="00B62E5A">
        <w:tab/>
      </w:r>
      <w:r>
        <w:rPr>
          <w:lang w:eastAsia="de-DE"/>
        </w:rPr>
        <w:drawing>
          <wp:inline distT="0" distB="0" distL="0" distR="0" wp14:anchorId="48E99714" wp14:editId="263349C2">
            <wp:extent cx="2339975" cy="2339975"/>
            <wp:effectExtent l="0" t="0" r="3175" b="3175"/>
            <wp:docPr id="4" name="Grafik 4" descr="Ein Bild, das Ess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 name="Grafik 4" descr="Ein Bild, das Essen enthält.&#10;&#10;Automatisch generierte Beschreibung"/>
                    <pic:cNvPicPr/>
                  </pic:nvPicPr>
                  <pic:blipFill rotWithShape="1">
                    <a:blip r:embed="rId12" cstate="print">
                      <a:extLst>
                        <a:ext uri="{28A0092B-C50C-407E-A947-70E740481C1C}">
                          <a14:useLocalDpi xmlns:a14="http://schemas.microsoft.com/office/drawing/2010/main" val="0"/>
                        </a:ext>
                      </a:extLst>
                    </a:blip>
                    <a:srcRect l="20820" t="26643" r="49046" b="19789"/>
                    <a:stretch/>
                  </pic:blipFill>
                  <pic:spPr bwMode="auto">
                    <a:xfrm rot="5400000">
                      <a:off x="0" y="0"/>
                      <a:ext cx="2339975" cy="2339975"/>
                    </a:xfrm>
                    <a:prstGeom prst="rect">
                      <a:avLst/>
                    </a:prstGeom>
                    <a:ln>
                      <a:noFill/>
                    </a:ln>
                    <a:extLst>
                      <a:ext uri="{53640926-AAD7-44D8-BBD7-CCE9431645EC}">
                        <a14:shadowObscured xmlns:a14="http://schemas.microsoft.com/office/drawing/2010/main"/>
                      </a:ext>
                    </a:extLst>
                  </pic:spPr>
                </pic:pic>
              </a:graphicData>
            </a:graphic>
          </wp:inline>
        </w:drawing>
      </w:r>
    </w:p>
    <w:p w:rsidR="00B62E5A" w:rsidRDefault="00B62E5A" w:rsidP="00B62E5A">
      <w:pPr>
        <w:pStyle w:val="Beschriftung"/>
        <w:rPr>
          <w:rFonts w:cs="Arial"/>
        </w:rPr>
      </w:pPr>
      <w:r>
        <w:t xml:space="preserve">Abb. </w:t>
      </w:r>
      <w:r w:rsidR="00263726">
        <w:fldChar w:fldCharType="begin"/>
      </w:r>
      <w:r w:rsidR="00263726">
        <w:instrText xml:space="preserve"> SEQ Abb. \* ARABIC </w:instrText>
      </w:r>
      <w:r w:rsidR="00263726">
        <w:fldChar w:fldCharType="separate"/>
      </w:r>
      <w:r w:rsidR="00263726">
        <w:rPr>
          <w:noProof/>
        </w:rPr>
        <w:t>2</w:t>
      </w:r>
      <w:r w:rsidR="00263726">
        <w:rPr>
          <w:noProof/>
        </w:rPr>
        <w:fldChar w:fldCharType="end"/>
      </w:r>
      <w:r>
        <w:t xml:space="preserve">: </w:t>
      </w:r>
      <w:r w:rsidR="00263726">
        <w:rPr>
          <w:rFonts w:cs="Arial"/>
        </w:rPr>
        <w:t>Rubin (rechts</w:t>
      </w:r>
      <w:r>
        <w:rPr>
          <w:rFonts w:cs="Arial"/>
        </w:rPr>
        <w:t>)</w:t>
      </w:r>
      <w:r w:rsidR="00263726">
        <w:rPr>
          <w:rFonts w:cs="Arial"/>
        </w:rPr>
        <w:t xml:space="preserve"> </w:t>
      </w:r>
      <w:r>
        <w:rPr>
          <w:rFonts w:cs="Arial"/>
        </w:rPr>
        <w:t>und Cr</w:t>
      </w:r>
      <w:r>
        <w:rPr>
          <w:rFonts w:cs="Arial"/>
          <w:vertAlign w:val="subscript"/>
        </w:rPr>
        <w:t>2</w:t>
      </w:r>
      <w:r>
        <w:rPr>
          <w:rFonts w:cs="Arial"/>
        </w:rPr>
        <w:t>O</w:t>
      </w:r>
      <w:r>
        <w:rPr>
          <w:rFonts w:cs="Arial"/>
          <w:vertAlign w:val="subscript"/>
        </w:rPr>
        <w:t>3</w:t>
      </w:r>
      <w:r>
        <w:rPr>
          <w:rFonts w:cs="Arial"/>
          <w:i w:val="0"/>
          <w:iCs w:val="0"/>
          <w:vertAlign w:val="subscript"/>
        </w:rPr>
        <w:t xml:space="preserve"> </w:t>
      </w:r>
      <w:r w:rsidR="00263726">
        <w:rPr>
          <w:rFonts w:cs="Arial"/>
        </w:rPr>
        <w:t>(links</w:t>
      </w:r>
      <w:r>
        <w:rPr>
          <w:rFonts w:cs="Arial"/>
        </w:rPr>
        <w:t>) im optischen Vergleich</w:t>
      </w:r>
    </w:p>
    <w:p w:rsidR="00344745" w:rsidRDefault="00344745" w:rsidP="00344745">
      <w:r>
        <w:t>Die Chrom(III)-Kationen sind sowohl in der Korund-Struktur als auch im Chrom(III)-oxid oktaedrisch von Oxid-Anionen umgeben. Somit spannen die d-Orbitale des Chrom(III)-Kations ein oktaedrisches Liganden-Feld auf. Die Farbe entsteht, wenn eines der drei Valenzelektronen des Chrom(III)-Kations von einem energetisch tieferen in einen energetisch höheren Zustand angeregt wird.</w:t>
      </w:r>
    </w:p>
    <w:p w:rsidR="00B62E5A" w:rsidRPr="00B62E5A" w:rsidRDefault="00B62E5A" w:rsidP="00B62E5A">
      <w:pPr>
        <w:rPr>
          <w:lang w:eastAsia="de-DE"/>
        </w:rPr>
      </w:pPr>
      <w:r w:rsidRPr="00B62E5A">
        <w:rPr>
          <w:lang w:eastAsia="de-DE"/>
        </w:rPr>
        <w:lastRenderedPageBreak/>
        <w:t>Die Oktaeder</w:t>
      </w:r>
      <w:r>
        <w:rPr>
          <w:lang w:eastAsia="de-DE"/>
        </w:rPr>
        <w:t>-L</w:t>
      </w:r>
      <w:r w:rsidRPr="00B62E5A">
        <w:rPr>
          <w:lang w:eastAsia="de-DE"/>
        </w:rPr>
        <w:t>ücken des Korunds sind kleiner als die Oktaeder</w:t>
      </w:r>
      <w:r>
        <w:rPr>
          <w:lang w:eastAsia="de-DE"/>
        </w:rPr>
        <w:t>-L</w:t>
      </w:r>
      <w:r w:rsidRPr="00B62E5A">
        <w:rPr>
          <w:lang w:eastAsia="de-DE"/>
        </w:rPr>
        <w:t>ücken des Chrom(III)-oxids, da das Aluminium(III)-Kation kleiner ist als das Chrom(III)-Kation. Wenn nun aber ein größeres Chrom(III)-Kation anstelle eines kleineren Aluminium(III)-Kations in der Korund</w:t>
      </w:r>
      <w:r>
        <w:rPr>
          <w:lang w:eastAsia="de-DE"/>
        </w:rPr>
        <w:t>-S</w:t>
      </w:r>
      <w:r w:rsidRPr="00B62E5A">
        <w:rPr>
          <w:lang w:eastAsia="de-DE"/>
        </w:rPr>
        <w:t>truktur, also in die kleineren Oktaeder</w:t>
      </w:r>
      <w:r>
        <w:rPr>
          <w:lang w:eastAsia="de-DE"/>
        </w:rPr>
        <w:t>-L</w:t>
      </w:r>
      <w:r w:rsidRPr="00B62E5A">
        <w:rPr>
          <w:lang w:eastAsia="de-DE"/>
        </w:rPr>
        <w:t>ücken, eingelagert ist, wird das Liganden</w:t>
      </w:r>
      <w:r>
        <w:rPr>
          <w:lang w:eastAsia="de-DE"/>
        </w:rPr>
        <w:t>-F</w:t>
      </w:r>
      <w:r w:rsidRPr="00B62E5A">
        <w:rPr>
          <w:lang w:eastAsia="de-DE"/>
        </w:rPr>
        <w:t>eld verstärkt und es kommt zu einer Farbänderung. Wenn das Liganden</w:t>
      </w:r>
      <w:r>
        <w:rPr>
          <w:lang w:eastAsia="de-DE"/>
        </w:rPr>
        <w:t>-F</w:t>
      </w:r>
      <w:r w:rsidRPr="00B62E5A">
        <w:rPr>
          <w:lang w:eastAsia="de-DE"/>
        </w:rPr>
        <w:t>eld größer wird ist ein kurzwelligeres, also energiereicheres Licht, nötig um das Elektron vom t</w:t>
      </w:r>
      <w:r w:rsidRPr="00B62E5A">
        <w:rPr>
          <w:vertAlign w:val="subscript"/>
          <w:lang w:eastAsia="de-DE"/>
        </w:rPr>
        <w:t>2g</w:t>
      </w:r>
      <w:r w:rsidRPr="00B62E5A">
        <w:rPr>
          <w:lang w:eastAsia="de-DE"/>
        </w:rPr>
        <w:t xml:space="preserve"> Zustand in den </w:t>
      </w:r>
      <w:proofErr w:type="spellStart"/>
      <w:r w:rsidRPr="00B62E5A">
        <w:rPr>
          <w:lang w:eastAsia="de-DE"/>
        </w:rPr>
        <w:t>e</w:t>
      </w:r>
      <w:r w:rsidRPr="00B62E5A">
        <w:rPr>
          <w:vertAlign w:val="subscript"/>
          <w:lang w:eastAsia="de-DE"/>
        </w:rPr>
        <w:t>g</w:t>
      </w:r>
      <w:proofErr w:type="spellEnd"/>
      <w:r w:rsidRPr="00B62E5A">
        <w:rPr>
          <w:lang w:eastAsia="de-DE"/>
        </w:rPr>
        <w:t xml:space="preserve"> Zustand anzuregen. </w:t>
      </w:r>
    </w:p>
    <w:p w:rsidR="00B62E5A" w:rsidRPr="00B62E5A" w:rsidRDefault="00B62E5A" w:rsidP="00B62E5A">
      <w:pPr>
        <w:rPr>
          <w:lang w:eastAsia="de-DE"/>
        </w:rPr>
      </w:pPr>
      <w:r w:rsidRPr="00B62E5A">
        <w:rPr>
          <w:lang w:eastAsia="de-DE"/>
        </w:rPr>
        <w:t>Chrom(III)-oxid absorbiert rot, also im Wellenlängen</w:t>
      </w:r>
      <w:r>
        <w:rPr>
          <w:lang w:eastAsia="de-DE"/>
        </w:rPr>
        <w:t>-B</w:t>
      </w:r>
      <w:r w:rsidRPr="00B62E5A">
        <w:rPr>
          <w:lang w:eastAsia="de-DE"/>
        </w:rPr>
        <w:t>ereich 650</w:t>
      </w:r>
      <w:r>
        <w:rPr>
          <w:lang w:eastAsia="de-DE"/>
        </w:rPr>
        <w:t> </w:t>
      </w:r>
      <w:r w:rsidRPr="00B62E5A">
        <w:rPr>
          <w:lang w:eastAsia="de-DE"/>
        </w:rPr>
        <w:t>-</w:t>
      </w:r>
      <w:r>
        <w:rPr>
          <w:lang w:eastAsia="de-DE"/>
        </w:rPr>
        <w:t> </w:t>
      </w:r>
      <w:r w:rsidRPr="00B62E5A">
        <w:rPr>
          <w:lang w:eastAsia="de-DE"/>
        </w:rPr>
        <w:t>800</w:t>
      </w:r>
      <w:r>
        <w:rPr>
          <w:lang w:eastAsia="de-DE"/>
        </w:rPr>
        <w:t> </w:t>
      </w:r>
      <w:r w:rsidRPr="00B62E5A">
        <w:rPr>
          <w:lang w:eastAsia="de-DE"/>
        </w:rPr>
        <w:t>nm. Die entsprechende Komplementärfarbe sieht blau/grün aus.</w:t>
      </w:r>
    </w:p>
    <w:p w:rsidR="00B62E5A" w:rsidRPr="00B62E5A" w:rsidRDefault="00B62E5A" w:rsidP="00B62E5A">
      <w:pPr>
        <w:rPr>
          <w:lang w:eastAsia="de-DE"/>
        </w:rPr>
      </w:pPr>
      <w:r w:rsidRPr="00B62E5A">
        <w:rPr>
          <w:lang w:eastAsia="de-DE"/>
        </w:rPr>
        <w:t>Der Rubin dagegen absorbiert blau/grün, also im Wellenlängen</w:t>
      </w:r>
      <w:r>
        <w:rPr>
          <w:lang w:eastAsia="de-DE"/>
        </w:rPr>
        <w:t>-B</w:t>
      </w:r>
      <w:r w:rsidRPr="00B62E5A">
        <w:rPr>
          <w:lang w:eastAsia="de-DE"/>
        </w:rPr>
        <w:t>ereich 490</w:t>
      </w:r>
      <w:r>
        <w:rPr>
          <w:lang w:eastAsia="de-DE"/>
        </w:rPr>
        <w:t> </w:t>
      </w:r>
      <w:r w:rsidRPr="00B62E5A">
        <w:rPr>
          <w:lang w:eastAsia="de-DE"/>
        </w:rPr>
        <w:t>-</w:t>
      </w:r>
      <w:r>
        <w:rPr>
          <w:lang w:eastAsia="de-DE"/>
        </w:rPr>
        <w:t> </w:t>
      </w:r>
      <w:r w:rsidRPr="00B62E5A">
        <w:rPr>
          <w:lang w:eastAsia="de-DE"/>
        </w:rPr>
        <w:t>510</w:t>
      </w:r>
      <w:r>
        <w:rPr>
          <w:lang w:eastAsia="de-DE"/>
        </w:rPr>
        <w:t> </w:t>
      </w:r>
      <w:r w:rsidRPr="00B62E5A">
        <w:rPr>
          <w:lang w:eastAsia="de-DE"/>
        </w:rPr>
        <w:t>nm. Entsprechend sieht der Rubin für uns dann rot aus.</w:t>
      </w:r>
    </w:p>
    <w:p w:rsidR="00B62E5A" w:rsidRDefault="00B62E5A" w:rsidP="00B62E5A">
      <w:pPr>
        <w:pStyle w:val="berschrift2"/>
      </w:pPr>
      <w:bookmarkStart w:id="4" w:name="_Toc47348339"/>
      <w:r>
        <w:t>Farben des Saphirs</w:t>
      </w:r>
      <w:bookmarkEnd w:id="4"/>
    </w:p>
    <w:p w:rsidR="00B62E5A" w:rsidRDefault="00B62E5A" w:rsidP="00B62E5A">
      <w:pPr>
        <w:rPr>
          <w:rFonts w:cs="Arial"/>
        </w:rPr>
      </w:pPr>
      <w:r>
        <w:rPr>
          <w:rFonts w:cs="Arial"/>
        </w:rPr>
        <w:t>Der Saphir kann verschiedene Farben haben. Diese sind blau, gelb/grün, rosa und violett. Die nachfolgende Tabelle gibt eine Übersicht darüber, welche Kationen die jeweilige Farbe hervorrufen.</w:t>
      </w:r>
    </w:p>
    <w:tbl>
      <w:tblPr>
        <w:tblStyle w:val="Tabellenraster"/>
        <w:tblW w:w="4000" w:type="pct"/>
        <w:jc w:val="center"/>
        <w:tblLook w:val="04A0" w:firstRow="1" w:lastRow="0" w:firstColumn="1" w:lastColumn="0" w:noHBand="0" w:noVBand="1"/>
      </w:tblPr>
      <w:tblGrid>
        <w:gridCol w:w="1643"/>
        <w:gridCol w:w="1886"/>
        <w:gridCol w:w="3946"/>
      </w:tblGrid>
      <w:tr w:rsidR="00B62E5A" w:rsidRPr="00B62E5A" w:rsidTr="00B62E5A">
        <w:trPr>
          <w:jc w:val="center"/>
        </w:trPr>
        <w:tc>
          <w:tcPr>
            <w:tcW w:w="0" w:type="auto"/>
            <w:shd w:val="clear" w:color="auto" w:fill="C7C7C7" w:themeFill="background2" w:themeFillShade="E6"/>
            <w:hideMark/>
          </w:tcPr>
          <w:p w:rsidR="00B62E5A" w:rsidRPr="00B62E5A" w:rsidRDefault="00B62E5A" w:rsidP="00B62E5A">
            <w:pPr>
              <w:rPr>
                <w:rStyle w:val="Fett"/>
              </w:rPr>
            </w:pPr>
            <w:r w:rsidRPr="00B62E5A">
              <w:rPr>
                <w:rStyle w:val="Fett"/>
              </w:rPr>
              <w:t>Farbe</w:t>
            </w:r>
          </w:p>
        </w:tc>
        <w:tc>
          <w:tcPr>
            <w:tcW w:w="0" w:type="auto"/>
            <w:shd w:val="clear" w:color="auto" w:fill="C7C7C7" w:themeFill="background2" w:themeFillShade="E6"/>
            <w:hideMark/>
          </w:tcPr>
          <w:p w:rsidR="00B62E5A" w:rsidRPr="00B62E5A" w:rsidRDefault="00B62E5A" w:rsidP="00B62E5A">
            <w:pPr>
              <w:rPr>
                <w:rStyle w:val="Fett"/>
              </w:rPr>
            </w:pPr>
            <w:r w:rsidRPr="00B62E5A">
              <w:rPr>
                <w:rStyle w:val="Fett"/>
              </w:rPr>
              <w:t>Kation</w:t>
            </w:r>
          </w:p>
        </w:tc>
        <w:tc>
          <w:tcPr>
            <w:tcW w:w="0" w:type="auto"/>
            <w:shd w:val="clear" w:color="auto" w:fill="C7C7C7" w:themeFill="background2" w:themeFillShade="E6"/>
            <w:hideMark/>
          </w:tcPr>
          <w:p w:rsidR="00B62E5A" w:rsidRPr="00B62E5A" w:rsidRDefault="00B62E5A" w:rsidP="00B62E5A">
            <w:pPr>
              <w:rPr>
                <w:rStyle w:val="Fett"/>
              </w:rPr>
            </w:pPr>
            <w:r w:rsidRPr="00B62E5A">
              <w:rPr>
                <w:rStyle w:val="Fett"/>
              </w:rPr>
              <w:t>Farb</w:t>
            </w:r>
            <w:r>
              <w:rPr>
                <w:rStyle w:val="Fett"/>
              </w:rPr>
              <w:t>-E</w:t>
            </w:r>
            <w:r w:rsidRPr="00B62E5A">
              <w:rPr>
                <w:rStyle w:val="Fett"/>
              </w:rPr>
              <w:t>rklärung</w:t>
            </w:r>
          </w:p>
        </w:tc>
      </w:tr>
      <w:tr w:rsidR="00B62E5A" w:rsidRPr="00B62E5A" w:rsidTr="00B62E5A">
        <w:trPr>
          <w:jc w:val="center"/>
        </w:trPr>
        <w:tc>
          <w:tcPr>
            <w:tcW w:w="0" w:type="auto"/>
            <w:hideMark/>
          </w:tcPr>
          <w:p w:rsidR="00B62E5A" w:rsidRPr="00B62E5A" w:rsidRDefault="00B62E5A" w:rsidP="00B62E5A">
            <w:pPr>
              <w:rPr>
                <w:b/>
                <w:bCs/>
                <w:color w:val="9B00FF"/>
              </w:rPr>
            </w:pPr>
            <w:r w:rsidRPr="00B62E5A">
              <w:rPr>
                <w:b/>
                <w:bCs/>
                <w:color w:val="9B00FF"/>
              </w:rPr>
              <w:t>Violett</w:t>
            </w:r>
          </w:p>
        </w:tc>
        <w:tc>
          <w:tcPr>
            <w:tcW w:w="0" w:type="auto"/>
            <w:hideMark/>
          </w:tcPr>
          <w:p w:rsidR="00B62E5A" w:rsidRPr="00B62E5A" w:rsidRDefault="00B62E5A" w:rsidP="00B62E5A">
            <w:r w:rsidRPr="00B62E5A">
              <w:t>V</w:t>
            </w:r>
            <w:r w:rsidRPr="00B62E5A">
              <w:rPr>
                <w:vertAlign w:val="superscript"/>
              </w:rPr>
              <w:t>4+</w:t>
            </w:r>
          </w:p>
        </w:tc>
        <w:tc>
          <w:tcPr>
            <w:tcW w:w="0" w:type="auto"/>
            <w:hideMark/>
          </w:tcPr>
          <w:p w:rsidR="00B62E5A" w:rsidRPr="00B62E5A" w:rsidRDefault="00B62E5A" w:rsidP="00B62E5A">
            <w:r w:rsidRPr="00B62E5A">
              <w:t>d-d-Übergang (1</w:t>
            </w:r>
            <w:r>
              <w:t> </w:t>
            </w:r>
            <w:r w:rsidRPr="00B62E5A">
              <w:t>VE)</w:t>
            </w:r>
          </w:p>
        </w:tc>
      </w:tr>
      <w:tr w:rsidR="00B62E5A" w:rsidRPr="00B62E5A" w:rsidTr="00B62E5A">
        <w:trPr>
          <w:jc w:val="center"/>
        </w:trPr>
        <w:tc>
          <w:tcPr>
            <w:tcW w:w="0" w:type="auto"/>
            <w:hideMark/>
          </w:tcPr>
          <w:p w:rsidR="00B62E5A" w:rsidRPr="00B62E5A" w:rsidRDefault="00B62E5A" w:rsidP="00B62E5A">
            <w:pPr>
              <w:rPr>
                <w:b/>
                <w:bCs/>
                <w:color w:val="FF9BFF"/>
              </w:rPr>
            </w:pPr>
            <w:r w:rsidRPr="00B62E5A">
              <w:rPr>
                <w:b/>
                <w:bCs/>
                <w:color w:val="FF9BFF"/>
              </w:rPr>
              <w:t>Rosa</w:t>
            </w:r>
          </w:p>
        </w:tc>
        <w:tc>
          <w:tcPr>
            <w:tcW w:w="0" w:type="auto"/>
            <w:hideMark/>
          </w:tcPr>
          <w:p w:rsidR="00B62E5A" w:rsidRPr="00B62E5A" w:rsidRDefault="00B62E5A" w:rsidP="00B62E5A">
            <w:r w:rsidRPr="00B62E5A">
              <w:t>Ti</w:t>
            </w:r>
            <w:r w:rsidRPr="00B62E5A">
              <w:rPr>
                <w:vertAlign w:val="superscript"/>
              </w:rPr>
              <w:t>3+</w:t>
            </w:r>
          </w:p>
        </w:tc>
        <w:tc>
          <w:tcPr>
            <w:tcW w:w="0" w:type="auto"/>
            <w:hideMark/>
          </w:tcPr>
          <w:p w:rsidR="00B62E5A" w:rsidRPr="00B62E5A" w:rsidRDefault="00B62E5A" w:rsidP="00B62E5A">
            <w:r w:rsidRPr="00B62E5A">
              <w:t>d-d Übergang (1</w:t>
            </w:r>
            <w:r>
              <w:t> </w:t>
            </w:r>
            <w:r w:rsidRPr="00B62E5A">
              <w:t>VE)</w:t>
            </w:r>
          </w:p>
        </w:tc>
      </w:tr>
      <w:tr w:rsidR="00B62E5A" w:rsidRPr="00B62E5A" w:rsidTr="00B62E5A">
        <w:trPr>
          <w:jc w:val="center"/>
        </w:trPr>
        <w:tc>
          <w:tcPr>
            <w:tcW w:w="0" w:type="auto"/>
            <w:hideMark/>
          </w:tcPr>
          <w:p w:rsidR="00B62E5A" w:rsidRPr="00B62E5A" w:rsidRDefault="00B62E5A" w:rsidP="00B62E5A">
            <w:r w:rsidRPr="00E23047">
              <w:rPr>
                <w:b/>
                <w:bCs/>
                <w:color w:val="C8C800"/>
              </w:rPr>
              <w:t>Gelb</w:t>
            </w:r>
            <w:r w:rsidRPr="00B62E5A">
              <w:t>/</w:t>
            </w:r>
            <w:r w:rsidRPr="00B62E5A">
              <w:rPr>
                <w:b/>
                <w:bCs/>
                <w:color w:val="00FF00" w:themeColor="accent3"/>
              </w:rPr>
              <w:t>Grün</w:t>
            </w:r>
          </w:p>
        </w:tc>
        <w:tc>
          <w:tcPr>
            <w:tcW w:w="0" w:type="auto"/>
            <w:hideMark/>
          </w:tcPr>
          <w:p w:rsidR="00B62E5A" w:rsidRPr="00B62E5A" w:rsidRDefault="00B62E5A" w:rsidP="00B62E5A">
            <w:r w:rsidRPr="00B62E5A">
              <w:t>Fe</w:t>
            </w:r>
            <w:r w:rsidRPr="00B62E5A">
              <w:rPr>
                <w:vertAlign w:val="superscript"/>
              </w:rPr>
              <w:t>3+</w:t>
            </w:r>
          </w:p>
        </w:tc>
        <w:tc>
          <w:tcPr>
            <w:tcW w:w="0" w:type="auto"/>
            <w:hideMark/>
          </w:tcPr>
          <w:p w:rsidR="00B62E5A" w:rsidRPr="00B62E5A" w:rsidRDefault="00B62E5A" w:rsidP="00B62E5A">
            <w:r w:rsidRPr="00B62E5A">
              <w:t>CT-Übergang (Ligand-Metall)</w:t>
            </w:r>
          </w:p>
        </w:tc>
      </w:tr>
      <w:tr w:rsidR="00B62E5A" w:rsidRPr="00B62E5A" w:rsidTr="00B62E5A">
        <w:trPr>
          <w:trHeight w:val="315"/>
          <w:jc w:val="center"/>
        </w:trPr>
        <w:tc>
          <w:tcPr>
            <w:tcW w:w="0" w:type="auto"/>
            <w:hideMark/>
          </w:tcPr>
          <w:p w:rsidR="00B62E5A" w:rsidRPr="00B62E5A" w:rsidRDefault="00B62E5A" w:rsidP="00B62E5A">
            <w:pPr>
              <w:rPr>
                <w:b/>
                <w:bCs/>
              </w:rPr>
            </w:pPr>
            <w:r w:rsidRPr="00B62E5A">
              <w:rPr>
                <w:b/>
                <w:bCs/>
                <w:color w:val="0000FF" w:themeColor="accent1"/>
              </w:rPr>
              <w:t>Blau</w:t>
            </w:r>
          </w:p>
        </w:tc>
        <w:tc>
          <w:tcPr>
            <w:tcW w:w="0" w:type="auto"/>
            <w:hideMark/>
          </w:tcPr>
          <w:p w:rsidR="00B62E5A" w:rsidRPr="00B62E5A" w:rsidRDefault="00B62E5A" w:rsidP="00B62E5A">
            <w:r w:rsidRPr="00B62E5A">
              <w:t>Fe</w:t>
            </w:r>
            <w:r w:rsidRPr="00B62E5A">
              <w:rPr>
                <w:vertAlign w:val="superscript"/>
              </w:rPr>
              <w:t>2+</w:t>
            </w:r>
            <w:r w:rsidRPr="00B62E5A">
              <w:t xml:space="preserve"> und Ti</w:t>
            </w:r>
            <w:r w:rsidRPr="00B62E5A">
              <w:rPr>
                <w:vertAlign w:val="superscript"/>
              </w:rPr>
              <w:t>4+</w:t>
            </w:r>
          </w:p>
        </w:tc>
        <w:tc>
          <w:tcPr>
            <w:tcW w:w="0" w:type="auto"/>
            <w:hideMark/>
          </w:tcPr>
          <w:p w:rsidR="00B62E5A" w:rsidRPr="00B62E5A" w:rsidRDefault="00B62E5A" w:rsidP="00B62E5A">
            <w:r w:rsidRPr="00B62E5A">
              <w:t>CT-Übergang (Metall-Metall)</w:t>
            </w:r>
          </w:p>
        </w:tc>
      </w:tr>
    </w:tbl>
    <w:p w:rsidR="00B62E5A" w:rsidRDefault="00B62E5A" w:rsidP="00B62E5A">
      <w:pPr>
        <w:pStyle w:val="Beschriftung"/>
      </w:pPr>
      <w:r>
        <w:t xml:space="preserve">Tab. </w:t>
      </w:r>
      <w:r w:rsidR="00263726">
        <w:fldChar w:fldCharType="begin"/>
      </w:r>
      <w:r w:rsidR="00263726">
        <w:instrText xml:space="preserve"> SEQ Tab. \* ARABIC </w:instrText>
      </w:r>
      <w:r w:rsidR="00263726">
        <w:fldChar w:fldCharType="separate"/>
      </w:r>
      <w:r w:rsidR="00263726">
        <w:rPr>
          <w:noProof/>
        </w:rPr>
        <w:t>1</w:t>
      </w:r>
      <w:r w:rsidR="00263726">
        <w:rPr>
          <w:noProof/>
        </w:rPr>
        <w:fldChar w:fldCharType="end"/>
      </w:r>
      <w:r>
        <w:t>: Farben des Saphirs</w:t>
      </w:r>
    </w:p>
    <w:p w:rsidR="00B62E5A" w:rsidRPr="00B62E5A" w:rsidRDefault="00B62E5A" w:rsidP="00B62E5A">
      <w:pPr>
        <w:rPr>
          <w:lang w:eastAsia="de-DE"/>
        </w:rPr>
      </w:pPr>
      <w:r w:rsidRPr="00B62E5A">
        <w:rPr>
          <w:lang w:eastAsia="de-DE"/>
        </w:rPr>
        <w:t>Bei den violetten und rosa Saphiren entsteht die Farbe, wie beim Rubin, durch d-d-Übergänge. Die Vanadium(IV)- bzw. Titan(III)-Kationen besitzen im Gegensatz zum Chrom(III)-Kation jeweils nur ein Valenzelektron.</w:t>
      </w:r>
    </w:p>
    <w:p w:rsidR="00B62E5A" w:rsidRDefault="00B62E5A" w:rsidP="00B62E5A">
      <w:pPr>
        <w:rPr>
          <w:lang w:eastAsia="de-DE"/>
        </w:rPr>
      </w:pPr>
      <w:r w:rsidRPr="00B62E5A">
        <w:rPr>
          <w:lang w:eastAsia="de-DE"/>
        </w:rPr>
        <w:t>Die Farbe Gelb/Grün entsteht durch einen sogenannten Charge-Transfer. Dabei wird ein Elektron des Oxid-Anions durch Licht</w:t>
      </w:r>
      <w:r>
        <w:rPr>
          <w:lang w:eastAsia="de-DE"/>
        </w:rPr>
        <w:t>-E</w:t>
      </w:r>
      <w:r w:rsidRPr="00B62E5A">
        <w:rPr>
          <w:lang w:eastAsia="de-DE"/>
        </w:rPr>
        <w:t>nergie so angeregt, dass es auf das Eisen(III)-Kation übergeht. Beim blauen Saphir liegt ebenfalls ein Charge-Transfer vor. In diesem Fall ist es aber ein Metall-Metall-Übergang. Dabei geht ein Elektron vom Eisen(II)-Kation auf das Titan(IV)-Kation über.</w:t>
      </w:r>
    </w:p>
    <w:p w:rsidR="00344745" w:rsidRDefault="00344745" w:rsidP="00344745">
      <w:pPr>
        <w:pStyle w:val="berschrift2"/>
        <w:rPr>
          <w:lang w:eastAsia="de-DE"/>
        </w:rPr>
      </w:pPr>
      <w:r>
        <w:rPr>
          <w:lang w:eastAsia="de-DE"/>
        </w:rPr>
        <w:t>Charakterisierung von Edelsteinen</w:t>
      </w:r>
    </w:p>
    <w:p w:rsidR="00344745" w:rsidRDefault="00344745" w:rsidP="00344745">
      <w:r>
        <w:t>Verschiedene Edelsteine sind unterschiedlich wertvoll, selbst wenn sie ähnlich aussehen. Es muss daher Möglichkeiten geben, optisch ähnliche Steine identifizieren zu können, um so beispielweise einen Rubin von einem Turmalin unterscheiden zu können.</w:t>
      </w:r>
    </w:p>
    <w:p w:rsidR="00344745" w:rsidRDefault="00344745" w:rsidP="00344745">
      <w:pPr>
        <w:pStyle w:val="Bilder"/>
        <w:rPr>
          <w:lang w:eastAsia="de-DE"/>
        </w:rPr>
      </w:pPr>
      <w:r>
        <w:rPr>
          <w:lang w:eastAsia="de-DE"/>
        </w:rPr>
        <w:drawing>
          <wp:inline distT="0" distB="0" distL="0" distR="0" wp14:anchorId="2888803B" wp14:editId="40F71E1D">
            <wp:extent cx="2195195" cy="1463675"/>
            <wp:effectExtent l="0" t="0" r="0" b="3175"/>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3" cstate="print">
                      <a:extLst>
                        <a:ext uri="{28A0092B-C50C-407E-A947-70E740481C1C}">
                          <a14:useLocalDpi xmlns:a14="http://schemas.microsoft.com/office/drawing/2010/main" val="0"/>
                        </a:ext>
                      </a:extLst>
                    </a:blip>
                    <a:srcRect l="13750" t="29470" r="16657" b="37897"/>
                    <a:stretch/>
                  </pic:blipFill>
                  <pic:spPr bwMode="auto">
                    <a:xfrm>
                      <a:off x="0" y="0"/>
                      <a:ext cx="2195195" cy="1463675"/>
                    </a:xfrm>
                    <a:prstGeom prst="rect">
                      <a:avLst/>
                    </a:prstGeom>
                    <a:ln>
                      <a:noFill/>
                    </a:ln>
                    <a:extLst>
                      <a:ext uri="{53640926-AAD7-44D8-BBD7-CCE9431645EC}">
                        <a14:shadowObscured xmlns:a14="http://schemas.microsoft.com/office/drawing/2010/main"/>
                      </a:ext>
                    </a:extLst>
                  </pic:spPr>
                </pic:pic>
              </a:graphicData>
            </a:graphic>
          </wp:inline>
        </w:drawing>
      </w:r>
    </w:p>
    <w:p w:rsidR="00344745" w:rsidRDefault="00344745" w:rsidP="00344745">
      <w:pPr>
        <w:pStyle w:val="Beschriftung"/>
      </w:pPr>
      <w:r>
        <w:t xml:space="preserve">Abb. </w:t>
      </w:r>
      <w:r w:rsidR="00263726">
        <w:fldChar w:fldCharType="begin"/>
      </w:r>
      <w:r w:rsidR="00263726">
        <w:instrText xml:space="preserve"> SEQ Abb. \* ARABIC </w:instrText>
      </w:r>
      <w:r w:rsidR="00263726">
        <w:fldChar w:fldCharType="separate"/>
      </w:r>
      <w:r w:rsidR="00263726">
        <w:rPr>
          <w:noProof/>
        </w:rPr>
        <w:t>3</w:t>
      </w:r>
      <w:r w:rsidR="00263726">
        <w:rPr>
          <w:noProof/>
        </w:rPr>
        <w:fldChar w:fldCharType="end"/>
      </w:r>
      <w:r>
        <w:t>: Roter Turmalin</w:t>
      </w:r>
    </w:p>
    <w:p w:rsidR="00344745" w:rsidRDefault="00344745" w:rsidP="00344745">
      <w:r>
        <w:lastRenderedPageBreak/>
        <w:t xml:space="preserve">Bei den Korunden führen unterschiedliche Fremd-Ionen zu unterschiedlich starker Aufspaltung des Liganden-Feldes und damit zu unterschiedlichen Absorptionsbereichen. Das eröffnet eine Möglichkeit, die Kristalle spektroskopisch zu analysieren, mit sogenannten </w:t>
      </w:r>
      <w:proofErr w:type="spellStart"/>
      <w:r>
        <w:t>Spektro</w:t>
      </w:r>
      <w:proofErr w:type="spellEnd"/>
      <w:r>
        <w:t>-Photometern.</w:t>
      </w:r>
    </w:p>
    <w:p w:rsidR="00344745" w:rsidRDefault="00344745" w:rsidP="00344745">
      <w:pPr>
        <w:pStyle w:val="Bilder"/>
      </w:pPr>
      <w:r>
        <w:rPr>
          <w:lang w:eastAsia="de-DE"/>
        </w:rPr>
        <w:drawing>
          <wp:inline distT="0" distB="0" distL="0" distR="0" wp14:anchorId="3769D349" wp14:editId="0BFFF7EE">
            <wp:extent cx="3509645" cy="2339975"/>
            <wp:effectExtent l="0" t="0" r="0" b="3175"/>
            <wp:docPr id="8" name="Grafik 8" descr="Ein Bild, das Elektronik, Schaltkrei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8" name="Grafik 8" descr="Ein Bild, das Elektronik, Schaltkreis enthält.&#10;&#10;Automatisch generierte Beschreibung"/>
                    <pic:cNvPicPr/>
                  </pic:nvPicPr>
                  <pic:blipFill rotWithShape="1">
                    <a:blip r:embed="rId14" cstate="print">
                      <a:extLst>
                        <a:ext uri="{28A0092B-C50C-407E-A947-70E740481C1C}">
                          <a14:useLocalDpi xmlns:a14="http://schemas.microsoft.com/office/drawing/2010/main" val="0"/>
                        </a:ext>
                      </a:extLst>
                    </a:blip>
                    <a:srcRect l="7825" r="7825"/>
                    <a:stretch/>
                  </pic:blipFill>
                  <pic:spPr bwMode="auto">
                    <a:xfrm>
                      <a:off x="0" y="0"/>
                      <a:ext cx="3509645" cy="2339975"/>
                    </a:xfrm>
                    <a:prstGeom prst="rect">
                      <a:avLst/>
                    </a:prstGeom>
                    <a:ln>
                      <a:noFill/>
                    </a:ln>
                    <a:extLst>
                      <a:ext uri="{53640926-AAD7-44D8-BBD7-CCE9431645EC}">
                        <a14:shadowObscured xmlns:a14="http://schemas.microsoft.com/office/drawing/2010/main"/>
                      </a:ext>
                    </a:extLst>
                  </pic:spPr>
                </pic:pic>
              </a:graphicData>
            </a:graphic>
          </wp:inline>
        </w:drawing>
      </w:r>
    </w:p>
    <w:p w:rsidR="00344745" w:rsidRDefault="00344745" w:rsidP="00344745">
      <w:pPr>
        <w:pStyle w:val="Beschriftung"/>
      </w:pPr>
      <w:r>
        <w:t xml:space="preserve">Abb. </w:t>
      </w:r>
      <w:r w:rsidR="00263726">
        <w:fldChar w:fldCharType="begin"/>
      </w:r>
      <w:r w:rsidR="00263726">
        <w:instrText xml:space="preserve"> SEQ Abb. \* ARABIC </w:instrText>
      </w:r>
      <w:r w:rsidR="00263726">
        <w:fldChar w:fldCharType="separate"/>
      </w:r>
      <w:r w:rsidR="00263726">
        <w:rPr>
          <w:noProof/>
        </w:rPr>
        <w:t>4</w:t>
      </w:r>
      <w:r w:rsidR="00263726">
        <w:rPr>
          <w:noProof/>
        </w:rPr>
        <w:fldChar w:fldCharType="end"/>
      </w:r>
      <w:r>
        <w:t xml:space="preserve">: </w:t>
      </w:r>
      <w:proofErr w:type="spellStart"/>
      <w:r>
        <w:t>Spektro</w:t>
      </w:r>
      <w:proofErr w:type="spellEnd"/>
      <w:r>
        <w:t>-Photometer</w:t>
      </w:r>
    </w:p>
    <w:p w:rsidR="00344745" w:rsidRDefault="00344745" w:rsidP="00344745">
      <w:r>
        <w:t xml:space="preserve">Zur Analyse gibt man eine dünne Scheibe oder einen sehr transparenten Kristall in eine Küvette. Das </w:t>
      </w:r>
      <w:proofErr w:type="spellStart"/>
      <w:r>
        <w:t>Spektro</w:t>
      </w:r>
      <w:proofErr w:type="spellEnd"/>
      <w:r>
        <w:t>-Photometer bestimmt das Spektrum, das an einem Computer angesehen werden kann. Für Schulversuche bietet es sich an, eine rote Eisen(III)-chlorid-Lösung zu untersuchen und diese mit dem Spektrum eines Rubins zu vergleichen:</w:t>
      </w:r>
    </w:p>
    <w:p w:rsidR="00344745" w:rsidRDefault="00344745" w:rsidP="00344745">
      <w:pPr>
        <w:pStyle w:val="Bilder"/>
      </w:pPr>
      <w:r>
        <w:rPr>
          <w:lang w:eastAsia="de-DE"/>
        </w:rPr>
        <w:drawing>
          <wp:inline distT="0" distB="0" distL="0" distR="0" wp14:anchorId="2F6484AA" wp14:editId="0E5A48CF">
            <wp:extent cx="4679950" cy="4092575"/>
            <wp:effectExtent l="0" t="0" r="6350" b="3175"/>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5">
                      <a:extLst>
                        <a:ext uri="{28A0092B-C50C-407E-A947-70E740481C1C}">
                          <a14:useLocalDpi xmlns:a14="http://schemas.microsoft.com/office/drawing/2010/main" val="0"/>
                        </a:ext>
                      </a:extLst>
                    </a:blip>
                    <a:stretch>
                      <a:fillRect/>
                    </a:stretch>
                  </pic:blipFill>
                  <pic:spPr>
                    <a:xfrm>
                      <a:off x="0" y="0"/>
                      <a:ext cx="4679950" cy="4092575"/>
                    </a:xfrm>
                    <a:prstGeom prst="rect">
                      <a:avLst/>
                    </a:prstGeom>
                  </pic:spPr>
                </pic:pic>
              </a:graphicData>
            </a:graphic>
          </wp:inline>
        </w:drawing>
      </w:r>
    </w:p>
    <w:p w:rsidR="00344745" w:rsidRDefault="00344745" w:rsidP="00344745">
      <w:pPr>
        <w:pStyle w:val="Beschriftung"/>
      </w:pPr>
      <w:r>
        <w:t xml:space="preserve">Abb. </w:t>
      </w:r>
      <w:r w:rsidR="00263726">
        <w:fldChar w:fldCharType="begin"/>
      </w:r>
      <w:r w:rsidR="00263726">
        <w:instrText xml:space="preserve"> SEQ Abb. \* ARABIC </w:instrText>
      </w:r>
      <w:r w:rsidR="00263726">
        <w:fldChar w:fldCharType="separate"/>
      </w:r>
      <w:r w:rsidR="00263726">
        <w:rPr>
          <w:noProof/>
        </w:rPr>
        <w:t>5</w:t>
      </w:r>
      <w:r w:rsidR="00263726">
        <w:rPr>
          <w:noProof/>
        </w:rPr>
        <w:fldChar w:fldCharType="end"/>
      </w:r>
      <w:r>
        <w:t xml:space="preserve">: Abbildung </w:t>
      </w:r>
      <w:fldSimple w:instr=" SEQ Abbildung \* ARABIC ">
        <w:r w:rsidR="00263726">
          <w:rPr>
            <w:noProof/>
          </w:rPr>
          <w:t>1</w:t>
        </w:r>
      </w:fldSimple>
      <w:r>
        <w:t>: Transmissionsspektrum Eisen(III)-</w:t>
      </w:r>
      <w:proofErr w:type="spellStart"/>
      <w:r>
        <w:t>thiocyanat</w:t>
      </w:r>
      <w:proofErr w:type="spellEnd"/>
    </w:p>
    <w:p w:rsidR="00344745" w:rsidRPr="00344745" w:rsidRDefault="00344745" w:rsidP="00344745">
      <w:r w:rsidRPr="00344745">
        <w:t>Vergleicht man das Spektrum von Eisen(III)-</w:t>
      </w:r>
      <w:proofErr w:type="spellStart"/>
      <w:r w:rsidRPr="00344745">
        <w:t>thiocyanat</w:t>
      </w:r>
      <w:proofErr w:type="spellEnd"/>
      <w:r w:rsidRPr="00344745">
        <w:t xml:space="preserve">, mit dem eines Rubins, wie es beispielsweise </w:t>
      </w:r>
      <w:hyperlink r:id="rId16" w:history="1">
        <w:r w:rsidRPr="00344745">
          <w:rPr>
            <w:rStyle w:val="Hyperlink"/>
          </w:rPr>
          <w:t>h</w:t>
        </w:r>
        <w:r w:rsidRPr="00344745">
          <w:rPr>
            <w:rStyle w:val="Hyperlink"/>
          </w:rPr>
          <w:t>i</w:t>
        </w:r>
        <w:r w:rsidRPr="00344745">
          <w:rPr>
            <w:rStyle w:val="Hyperlink"/>
          </w:rPr>
          <w:t>er</w:t>
        </w:r>
      </w:hyperlink>
      <w:r w:rsidRPr="00344745">
        <w:t xml:space="preserve"> zu finden ist, so erkennt man, dass sowohl der Rubin als auch Eisen(III)-</w:t>
      </w:r>
      <w:proofErr w:type="spellStart"/>
      <w:r w:rsidRPr="00344745">
        <w:t>thiocyanat</w:t>
      </w:r>
      <w:proofErr w:type="spellEnd"/>
      <w:r w:rsidRPr="00344745">
        <w:t xml:space="preserve"> ab einer Wellenlänge von 600 nm zunehmend mehr Licht transmittieren. Im Bereich um 500 nm hat das Spektrum des Rubins einen charakteristischen Peak. Dieser fehlt beim Eisen(III)-</w:t>
      </w:r>
      <w:proofErr w:type="spellStart"/>
      <w:r w:rsidRPr="00344745">
        <w:t>thiocyanat</w:t>
      </w:r>
      <w:proofErr w:type="spellEnd"/>
      <w:r w:rsidRPr="00344745">
        <w:t>. Rot ist also nicht gleich rot.</w:t>
      </w:r>
    </w:p>
    <w:p w:rsidR="00344745" w:rsidRPr="00344745" w:rsidRDefault="00344745" w:rsidP="00344745">
      <w:r w:rsidRPr="00344745">
        <w:t xml:space="preserve">Auf diese Weise kann man auch einen Rubin von einem Turmalin unterscheiden. Eine gute Kopie eines Rubins, deren Spektrum nicht von dem des Originals unterschieden werden kann, setzt also die gleiche chemische Zusammensetzung voraus. </w:t>
      </w:r>
    </w:p>
    <w:p w:rsidR="00B62E5A" w:rsidRDefault="00B62E5A" w:rsidP="00B62E5A">
      <w:pPr>
        <w:pStyle w:val="berschrift1"/>
      </w:pPr>
      <w:bookmarkStart w:id="5" w:name="_Toc47348340"/>
      <w:r>
        <w:t>Natürliche Entstehung von Rubin und Saphir [</w:t>
      </w:r>
      <w:r>
        <w:fldChar w:fldCharType="begin"/>
      </w:r>
      <w:r>
        <w:instrText xml:space="preserve"> REF _Ref47347536 \r \h </w:instrText>
      </w:r>
      <w:r>
        <w:fldChar w:fldCharType="separate"/>
      </w:r>
      <w:r w:rsidR="00263726">
        <w:rPr>
          <w:b w:val="0"/>
          <w:bCs/>
        </w:rPr>
        <w:t>Fehler! Verweisquelle konnte nicht gefunden werden.</w:t>
      </w:r>
      <w:r>
        <w:fldChar w:fldCharType="end"/>
      </w:r>
      <w:r>
        <w:t xml:space="preserve">, </w:t>
      </w:r>
      <w:r>
        <w:fldChar w:fldCharType="begin"/>
      </w:r>
      <w:r>
        <w:instrText xml:space="preserve"> REF _Ref47347902 \r \h </w:instrText>
      </w:r>
      <w:r>
        <w:fldChar w:fldCharType="separate"/>
      </w:r>
      <w:r w:rsidR="00263726">
        <w:rPr>
          <w:b w:val="0"/>
          <w:bCs/>
        </w:rPr>
        <w:t>Fehler! Verweisquelle konnte nicht gefunden werden.</w:t>
      </w:r>
      <w:r>
        <w:fldChar w:fldCharType="end"/>
      </w:r>
      <w:r>
        <w:t>]</w:t>
      </w:r>
      <w:bookmarkEnd w:id="5"/>
    </w:p>
    <w:p w:rsidR="00B62E5A" w:rsidRDefault="00B62E5A" w:rsidP="00B62E5A">
      <w:pPr>
        <w:rPr>
          <w:rFonts w:cs="Arial"/>
        </w:rPr>
      </w:pPr>
      <w:r>
        <w:rPr>
          <w:rFonts w:cs="Arial"/>
        </w:rPr>
        <w:t>Rubine und Saphire entstehen etwa 100 km tief in der Erde. An den Orten der Entstehung befinden sich Anhäufungen der nötigen Atome. Diese wären in diesem Fall Aluminium, Sauerstoff und etwas Chrom, Titan, Vanadium oder Eisen. Mittels hoher Temperatur (höher 1.000°C) und großem Druck (ca. 40</w:t>
      </w:r>
      <w:r w:rsidR="00344745">
        <w:rPr>
          <w:rFonts w:cs="Arial"/>
        </w:rPr>
        <w:t>.</w:t>
      </w:r>
      <w:r>
        <w:rPr>
          <w:rFonts w:cs="Arial"/>
        </w:rPr>
        <w:t xml:space="preserve">000 bar) entsteht eine Schmelze, welche </w:t>
      </w:r>
      <w:r>
        <w:rPr>
          <w:rFonts w:cs="Arial"/>
          <w:color w:val="000000"/>
        </w:rPr>
        <w:t>mit dem aufsteigenden Magma in die kälteren Schichten nahe der Erdoberfläche gelangt. Sie</w:t>
      </w:r>
      <w:r>
        <w:rPr>
          <w:rFonts w:cs="Arial"/>
        </w:rPr>
        <w:t xml:space="preserve"> kühlt dabei ab und kristallisiert in der Korund-Struktur aus.</w:t>
      </w:r>
    </w:p>
    <w:p w:rsidR="00B62E5A" w:rsidRDefault="00B62E5A" w:rsidP="00B62E5A">
      <w:pPr>
        <w:pStyle w:val="berschrift1"/>
      </w:pPr>
      <w:bookmarkStart w:id="6" w:name="_Toc47348341"/>
      <w:r>
        <w:t>Synthetische Herstellung von Rubin und Saphir [</w:t>
      </w:r>
      <w:r>
        <w:fldChar w:fldCharType="begin"/>
      </w:r>
      <w:r>
        <w:instrText xml:space="preserve"> REF _Ref47347950 \r \h </w:instrText>
      </w:r>
      <w:r>
        <w:fldChar w:fldCharType="separate"/>
      </w:r>
      <w:r w:rsidR="00263726">
        <w:rPr>
          <w:b w:val="0"/>
          <w:bCs/>
        </w:rPr>
        <w:t>Fehler! Verweisquelle konnte nicht gefunden werden.</w:t>
      </w:r>
      <w:r>
        <w:fldChar w:fldCharType="end"/>
      </w:r>
      <w:r>
        <w:t>]</w:t>
      </w:r>
      <w:bookmarkEnd w:id="6"/>
    </w:p>
    <w:p w:rsidR="00B62E5A" w:rsidRDefault="00B62E5A" w:rsidP="00B62E5A">
      <w:r>
        <w:t xml:space="preserve">Die natürliche Entstehung eines Rubins klingt sehr banal und lässt einen annehmen, dass ein Rubin eigentlich leicht herzustellen sei. Ganz so einfach ist es nicht. Der erste synthetisch hergestellte Rubin wurde 1892 von August </w:t>
      </w:r>
      <w:proofErr w:type="spellStart"/>
      <w:r>
        <w:t>Verneuil</w:t>
      </w:r>
      <w:proofErr w:type="spellEnd"/>
      <w:r>
        <w:t xml:space="preserve"> „gezüchtet“. Nach ihm ist auch das gleichnamige </w:t>
      </w:r>
      <w:proofErr w:type="spellStart"/>
      <w:r>
        <w:t>Verneuil</w:t>
      </w:r>
      <w:proofErr w:type="spellEnd"/>
      <w:r>
        <w:t>-Verfahren benannt, das bis heute zur Rubin-Synthese benutzt wird.</w:t>
      </w:r>
    </w:p>
    <w:p w:rsidR="00B62E5A" w:rsidRDefault="00B62E5A" w:rsidP="00B62E5A">
      <w:pPr>
        <w:rPr>
          <w:rFonts w:cs="Arial"/>
        </w:rPr>
      </w:pPr>
      <w:r>
        <w:rPr>
          <w:rFonts w:cs="Arial"/>
        </w:rPr>
        <w:t xml:space="preserve">Das </w:t>
      </w:r>
      <w:proofErr w:type="spellStart"/>
      <w:r>
        <w:rPr>
          <w:rFonts w:cs="Arial"/>
        </w:rPr>
        <w:t>Verneuil</w:t>
      </w:r>
      <w:proofErr w:type="spellEnd"/>
      <w:r>
        <w:rPr>
          <w:rFonts w:cs="Arial"/>
        </w:rPr>
        <w:t>-Verfahren (Flammenschmelz-Verfahren):</w:t>
      </w:r>
    </w:p>
    <w:p w:rsidR="00B62E5A" w:rsidRPr="00B62E5A" w:rsidRDefault="00B62E5A" w:rsidP="00B62E5A">
      <w:pPr>
        <w:pStyle w:val="Liste1Aufzhlung"/>
        <w:rPr>
          <w:lang w:eastAsia="de-DE"/>
        </w:rPr>
      </w:pPr>
      <w:r w:rsidRPr="00B62E5A">
        <w:rPr>
          <w:lang w:eastAsia="de-DE"/>
        </w:rPr>
        <w:t>Im Aufbewahrungsbehälter (1) befindet sich hochreines Pulver aus Aluminiumoxid unter Zugabe von Chrom(III)-oxid</w:t>
      </w:r>
      <w:r w:rsidRPr="00B62E5A">
        <w:rPr>
          <w:vertAlign w:val="subscript"/>
          <w:lang w:eastAsia="de-DE"/>
        </w:rPr>
        <w:t xml:space="preserve"> </w:t>
      </w:r>
      <w:r w:rsidRPr="00B62E5A">
        <w:rPr>
          <w:lang w:eastAsia="de-DE"/>
        </w:rPr>
        <w:t>im gewünschten Verhältnis.</w:t>
      </w:r>
    </w:p>
    <w:p w:rsidR="00B62E5A" w:rsidRPr="00B62E5A" w:rsidRDefault="00B62E5A" w:rsidP="00B62E5A">
      <w:pPr>
        <w:pStyle w:val="Liste1Aufzhlung"/>
        <w:rPr>
          <w:lang w:eastAsia="de-DE"/>
        </w:rPr>
      </w:pPr>
      <w:r w:rsidRPr="00B62E5A">
        <w:rPr>
          <w:lang w:eastAsia="de-DE"/>
        </w:rPr>
        <w:t>Dieses Pulver wird mittels leichten regelmäßigen Erschütterungen des Behälters durch einen Klopfer (2) in ein Brennrohr (3) geleitet und dort mit einer Knallgasflamme (4) bei einer Temperatur von ca. 2</w:t>
      </w:r>
      <w:r>
        <w:rPr>
          <w:lang w:eastAsia="de-DE"/>
        </w:rPr>
        <w:t>.</w:t>
      </w:r>
      <w:r w:rsidRPr="00B62E5A">
        <w:rPr>
          <w:lang w:eastAsia="de-DE"/>
        </w:rPr>
        <w:t xml:space="preserve">000°C geschmolzen. </w:t>
      </w:r>
    </w:p>
    <w:p w:rsidR="00B62E5A" w:rsidRPr="00B62E5A" w:rsidRDefault="00B62E5A" w:rsidP="00B62E5A">
      <w:pPr>
        <w:pStyle w:val="Liste1Aufzhlung"/>
        <w:rPr>
          <w:lang w:eastAsia="de-DE"/>
        </w:rPr>
      </w:pPr>
      <w:r w:rsidRPr="00B62E5A">
        <w:rPr>
          <w:lang w:eastAsia="de-DE"/>
        </w:rPr>
        <w:t xml:space="preserve">Das geschmolzene Material wird schichtweise (in gleich bleibendem Abstand zwischen Brennrohr und aufzutragender Schicht) auf den Impfkristall (5) aufgetropft. </w:t>
      </w:r>
    </w:p>
    <w:p w:rsidR="00B62E5A" w:rsidRPr="00B62E5A" w:rsidRDefault="00B62E5A" w:rsidP="00B62E5A">
      <w:pPr>
        <w:pStyle w:val="Liste1Aufzhlung"/>
        <w:rPr>
          <w:lang w:eastAsia="de-DE"/>
        </w:rPr>
      </w:pPr>
      <w:r w:rsidRPr="00B62E5A">
        <w:rPr>
          <w:lang w:eastAsia="de-DE"/>
        </w:rPr>
        <w:t>Binnen einer Stunde entsteht ein synthetischer Rubin (6) von 5</w:t>
      </w:r>
      <w:r w:rsidR="00344745">
        <w:rPr>
          <w:lang w:eastAsia="de-DE"/>
        </w:rPr>
        <w:t> </w:t>
      </w:r>
      <w:r w:rsidRPr="00B62E5A">
        <w:rPr>
          <w:lang w:eastAsia="de-DE"/>
        </w:rPr>
        <w:t>-</w:t>
      </w:r>
      <w:r w:rsidR="00344745">
        <w:rPr>
          <w:lang w:eastAsia="de-DE"/>
        </w:rPr>
        <w:t> </w:t>
      </w:r>
      <w:r w:rsidRPr="00B62E5A">
        <w:rPr>
          <w:lang w:eastAsia="de-DE"/>
        </w:rPr>
        <w:t>20</w:t>
      </w:r>
      <w:r w:rsidR="00344745">
        <w:rPr>
          <w:lang w:eastAsia="de-DE"/>
        </w:rPr>
        <w:t> </w:t>
      </w:r>
      <w:r w:rsidRPr="00B62E5A">
        <w:rPr>
          <w:lang w:eastAsia="de-DE"/>
        </w:rPr>
        <w:t>mm Größe. Das Verfahren ist geeignet</w:t>
      </w:r>
      <w:r>
        <w:rPr>
          <w:lang w:eastAsia="de-DE"/>
        </w:rPr>
        <w:t>,</w:t>
      </w:r>
      <w:r w:rsidRPr="00B62E5A">
        <w:rPr>
          <w:lang w:eastAsia="de-DE"/>
        </w:rPr>
        <w:t xml:space="preserve"> um synthetische Rubine von bis zu ca. 300</w:t>
      </w:r>
      <w:r w:rsidR="00344745">
        <w:rPr>
          <w:lang w:eastAsia="de-DE"/>
        </w:rPr>
        <w:t> </w:t>
      </w:r>
      <w:r w:rsidRPr="00B62E5A">
        <w:rPr>
          <w:lang w:eastAsia="de-DE"/>
        </w:rPr>
        <w:t xml:space="preserve">mm zu erzeugen. </w:t>
      </w:r>
    </w:p>
    <w:p w:rsidR="00B62E5A" w:rsidRDefault="00B62E5A" w:rsidP="00B62E5A">
      <w:pPr>
        <w:pStyle w:val="Bilder"/>
      </w:pPr>
      <w:r>
        <w:rPr>
          <w:lang w:eastAsia="de-DE"/>
        </w:rPr>
        <w:drawing>
          <wp:inline distT="0" distB="0" distL="0" distR="0">
            <wp:extent cx="1352825" cy="34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825" cy="3420000"/>
                    </a:xfrm>
                    <a:prstGeom prst="rect">
                      <a:avLst/>
                    </a:prstGeom>
                    <a:noFill/>
                    <a:ln>
                      <a:noFill/>
                    </a:ln>
                  </pic:spPr>
                </pic:pic>
              </a:graphicData>
            </a:graphic>
          </wp:inline>
        </w:drawing>
      </w:r>
    </w:p>
    <w:p w:rsidR="00B62E5A" w:rsidRDefault="00B62E5A" w:rsidP="00B62E5A">
      <w:pPr>
        <w:pStyle w:val="Beschriftung"/>
      </w:pPr>
      <w:r>
        <w:t xml:space="preserve">Abb. </w:t>
      </w:r>
      <w:r w:rsidR="00263726">
        <w:fldChar w:fldCharType="begin"/>
      </w:r>
      <w:r w:rsidR="00263726">
        <w:instrText xml:space="preserve"> SEQ Abb. \* ARABIC </w:instrText>
      </w:r>
      <w:r w:rsidR="00263726">
        <w:fldChar w:fldCharType="separate"/>
      </w:r>
      <w:r w:rsidR="00263726">
        <w:rPr>
          <w:noProof/>
        </w:rPr>
        <w:t>6</w:t>
      </w:r>
      <w:r w:rsidR="00263726">
        <w:rPr>
          <w:noProof/>
        </w:rPr>
        <w:fldChar w:fldCharType="end"/>
      </w:r>
      <w:r>
        <w:t xml:space="preserve">: Schematische Zeichnung der Apparatur des </w:t>
      </w:r>
      <w:proofErr w:type="spellStart"/>
      <w:r>
        <w:t>Verneuil</w:t>
      </w:r>
      <w:proofErr w:type="spellEnd"/>
      <w:r>
        <w:t>-Verfahrens [</w:t>
      </w:r>
      <w:r>
        <w:fldChar w:fldCharType="begin"/>
      </w:r>
      <w:r>
        <w:instrText xml:space="preserve"> REF _Ref47347950 \r \h </w:instrText>
      </w:r>
      <w:r>
        <w:fldChar w:fldCharType="separate"/>
      </w:r>
      <w:r w:rsidR="00263726">
        <w:rPr>
          <w:b/>
          <w:bCs/>
        </w:rPr>
        <w:t>Fehler! Verweisquelle konnte nicht gefunden werden.</w:t>
      </w:r>
      <w:r>
        <w:fldChar w:fldCharType="end"/>
      </w:r>
      <w:r>
        <w:t>]</w:t>
      </w:r>
    </w:p>
    <w:p w:rsidR="00B62E5A" w:rsidRDefault="00B62E5A" w:rsidP="00B62E5A">
      <w:pPr>
        <w:rPr>
          <w:rFonts w:cs="Arial"/>
        </w:rPr>
      </w:pPr>
      <w:r>
        <w:rPr>
          <w:rFonts w:cs="Arial"/>
        </w:rPr>
        <w:t>Synthetisch hergestellte Rubine finden vor allem als Schmucksteine und in Lagern in der feinmechanischen Industrie (z. B. bei Uhren) Verwendung.</w:t>
      </w:r>
    </w:p>
    <w:p w:rsidR="00B62E5A" w:rsidRDefault="00B62E5A" w:rsidP="00B62E5A">
      <w:pPr>
        <w:rPr>
          <w:lang w:eastAsia="de-DE"/>
        </w:rPr>
      </w:pPr>
      <w:r w:rsidRPr="00B62E5A">
        <w:rPr>
          <w:lang w:eastAsia="de-DE"/>
        </w:rPr>
        <w:t>Hierzu wurde der Versuch einer Rubin</w:t>
      </w:r>
      <w:r>
        <w:rPr>
          <w:lang w:eastAsia="de-DE"/>
        </w:rPr>
        <w:t>-S</w:t>
      </w:r>
      <w:r w:rsidRPr="00B62E5A">
        <w:rPr>
          <w:lang w:eastAsia="de-DE"/>
        </w:rPr>
        <w:t>ynthese in einem Tiegel am Lehrstuhl</w:t>
      </w:r>
      <w:r w:rsidR="00E23047">
        <w:rPr>
          <w:lang w:eastAsia="de-DE"/>
        </w:rPr>
        <w:t> </w:t>
      </w:r>
      <w:r w:rsidRPr="00B62E5A">
        <w:rPr>
          <w:lang w:eastAsia="de-DE"/>
        </w:rPr>
        <w:t>AC</w:t>
      </w:r>
      <w:r w:rsidR="00E23047">
        <w:rPr>
          <w:lang w:eastAsia="de-DE"/>
        </w:rPr>
        <w:t> </w:t>
      </w:r>
      <w:r w:rsidRPr="00B62E5A">
        <w:rPr>
          <w:lang w:eastAsia="de-DE"/>
        </w:rPr>
        <w:t>I der Universität Bayreuth durchgeführt und das Video den Mitstudenten vorgeführt. Ein Gemisch aus Aluminiumoxid und Chrom(III)-oxid</w:t>
      </w:r>
      <w:r w:rsidRPr="00B62E5A">
        <w:rPr>
          <w:i/>
          <w:iCs/>
          <w:lang w:eastAsia="de-DE"/>
        </w:rPr>
        <w:t xml:space="preserve"> </w:t>
      </w:r>
      <w:r w:rsidRPr="00B62E5A">
        <w:rPr>
          <w:lang w:eastAsia="de-DE"/>
        </w:rPr>
        <w:t>wurde mit einem Knallgas</w:t>
      </w:r>
      <w:r w:rsidR="00E23047">
        <w:rPr>
          <w:lang w:eastAsia="de-DE"/>
        </w:rPr>
        <w:t>-B</w:t>
      </w:r>
      <w:r w:rsidRPr="00B62E5A">
        <w:rPr>
          <w:lang w:eastAsia="de-DE"/>
        </w:rPr>
        <w:t>renner zum Glühen gebracht und es entstanden leicht rötliche Verfärbungen, welche als Rubin gedeutet werden konnten.</w:t>
      </w:r>
    </w:p>
    <w:p w:rsidR="00344745" w:rsidRDefault="00344745" w:rsidP="00344745">
      <w:pPr>
        <w:pStyle w:val="Bilder"/>
        <w:rPr>
          <w:lang w:eastAsia="de-DE"/>
        </w:rPr>
      </w:pPr>
      <w:r>
        <w:rPr>
          <w:lang w:eastAsia="de-DE"/>
        </w:rPr>
        <w:drawing>
          <wp:inline distT="0" distB="0" distL="0" distR="0" wp14:anchorId="18439FD0" wp14:editId="189E7F48">
            <wp:extent cx="2339975" cy="2339975"/>
            <wp:effectExtent l="0" t="0" r="3175" b="3175"/>
            <wp:docPr id="9" name="Grafik 9"/>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8" cstate="print">
                      <a:extLst>
                        <a:ext uri="{28A0092B-C50C-407E-A947-70E740481C1C}">
                          <a14:useLocalDpi xmlns:a14="http://schemas.microsoft.com/office/drawing/2010/main" val="0"/>
                        </a:ext>
                      </a:extLst>
                    </a:blip>
                    <a:srcRect l="12683" t="3323" r="37023" b="7271"/>
                    <a:stretch/>
                  </pic:blipFill>
                  <pic:spPr bwMode="auto">
                    <a:xfrm rot="5400000">
                      <a:off x="0" y="0"/>
                      <a:ext cx="2339975" cy="2339975"/>
                    </a:xfrm>
                    <a:prstGeom prst="rect">
                      <a:avLst/>
                    </a:prstGeom>
                    <a:ln>
                      <a:noFill/>
                    </a:ln>
                    <a:extLst>
                      <a:ext uri="{53640926-AAD7-44D8-BBD7-CCE9431645EC}">
                        <a14:shadowObscured xmlns:a14="http://schemas.microsoft.com/office/drawing/2010/main"/>
                      </a:ext>
                    </a:extLst>
                  </pic:spPr>
                </pic:pic>
              </a:graphicData>
            </a:graphic>
          </wp:inline>
        </w:drawing>
      </w:r>
    </w:p>
    <w:p w:rsidR="00344745" w:rsidRDefault="00344745" w:rsidP="00344745">
      <w:pPr>
        <w:pStyle w:val="Beschriftung"/>
      </w:pPr>
      <w:r>
        <w:t xml:space="preserve">Abb. </w:t>
      </w:r>
      <w:r w:rsidR="00263726">
        <w:fldChar w:fldCharType="begin"/>
      </w:r>
      <w:r w:rsidR="00263726">
        <w:instrText xml:space="preserve"> SEQ Abb. \* ARABIC </w:instrText>
      </w:r>
      <w:r w:rsidR="00263726">
        <w:fldChar w:fldCharType="separate"/>
      </w:r>
      <w:r w:rsidR="00263726">
        <w:rPr>
          <w:noProof/>
        </w:rPr>
        <w:t>7</w:t>
      </w:r>
      <w:r w:rsidR="00263726">
        <w:rPr>
          <w:noProof/>
        </w:rPr>
        <w:fldChar w:fldCharType="end"/>
      </w:r>
      <w:r>
        <w:t>: Tiegel mit Cr</w:t>
      </w:r>
      <w:r>
        <w:rPr>
          <w:vertAlign w:val="subscript"/>
        </w:rPr>
        <w:t>2</w:t>
      </w:r>
      <w:r>
        <w:t>O</w:t>
      </w:r>
      <w:r>
        <w:rPr>
          <w:vertAlign w:val="subscript"/>
        </w:rPr>
        <w:t>3</w:t>
      </w:r>
      <w:r>
        <w:t>- und Rubin-Spuren</w:t>
      </w:r>
    </w:p>
    <w:p w:rsidR="00B62E5A" w:rsidRPr="00B62E5A" w:rsidRDefault="00B62E5A" w:rsidP="00B62E5A">
      <w:pPr>
        <w:rPr>
          <w:lang w:eastAsia="de-DE"/>
        </w:rPr>
      </w:pPr>
      <w:r w:rsidRPr="00B62E5A">
        <w:rPr>
          <w:lang w:eastAsia="de-DE"/>
        </w:rPr>
        <w:t>Auch die verschiedenen Saphire können mit diesem Verfahren hergestellt werden. Dabei wird dann kein Chrom(III)-oxid verwendet, sondern die anderen entsprechenden Oxide.</w:t>
      </w:r>
    </w:p>
    <w:p w:rsidR="00E23047" w:rsidRPr="00E23047" w:rsidRDefault="00E23047" w:rsidP="00E23047">
      <w:pPr>
        <w:pStyle w:val="Zusammenfassung"/>
      </w:pPr>
      <w:r w:rsidRPr="00E23047">
        <w:rPr>
          <w:rStyle w:val="Fett"/>
        </w:rPr>
        <w:t>Zusammenfassung</w:t>
      </w:r>
      <w:r w:rsidRPr="00E23047">
        <w:t>:</w:t>
      </w:r>
    </w:p>
    <w:p w:rsidR="00E23047" w:rsidRPr="00E23047" w:rsidRDefault="00E23047" w:rsidP="00E23047">
      <w:pPr>
        <w:pStyle w:val="Zusammenfassung"/>
        <w:numPr>
          <w:ilvl w:val="2"/>
          <w:numId w:val="15"/>
        </w:numPr>
      </w:pPr>
      <w:r w:rsidRPr="00E23047">
        <w:t>Der Rubin ist ein Edelstein aus Aluminiumoxid,</w:t>
      </w:r>
      <w:r>
        <w:t xml:space="preserve"> </w:t>
      </w:r>
      <w:r w:rsidRPr="00E23047">
        <w:t>der in Korund</w:t>
      </w:r>
      <w:r>
        <w:t>-S</w:t>
      </w:r>
      <w:r w:rsidRPr="00E23047">
        <w:t>truktur kristallisiert</w:t>
      </w:r>
      <w:r>
        <w:t>.</w:t>
      </w:r>
    </w:p>
    <w:p w:rsidR="00E23047" w:rsidRPr="00E23047" w:rsidRDefault="00E23047" w:rsidP="00E23047">
      <w:pPr>
        <w:pStyle w:val="Zusammenfassung"/>
        <w:numPr>
          <w:ilvl w:val="2"/>
          <w:numId w:val="15"/>
        </w:numPr>
      </w:pPr>
      <w:r w:rsidRPr="00E23047">
        <w:t>Die rote Farbe des Rubins ergibt sich durch die Einlagerung von Chrom(III)-Kationen in die Kristallstruktur, durch die das Liganden</w:t>
      </w:r>
      <w:r>
        <w:t>-F</w:t>
      </w:r>
      <w:r w:rsidRPr="00E23047">
        <w:t>eld vergrößert wird und energiereicheres Licht nötig ist, um die Elektronen anzuregen</w:t>
      </w:r>
      <w:r>
        <w:t>.</w:t>
      </w:r>
    </w:p>
    <w:p w:rsidR="00E23047" w:rsidRPr="00E23047" w:rsidRDefault="00E23047" w:rsidP="00E23047">
      <w:pPr>
        <w:pStyle w:val="Zusammenfassung"/>
        <w:numPr>
          <w:ilvl w:val="2"/>
          <w:numId w:val="15"/>
        </w:numPr>
      </w:pPr>
      <w:r w:rsidRPr="00E23047">
        <w:t>Natürliche Rubine und Saphire entstehen im Erdinneren bei hoher Temperatur und hohem Druck, und gelangen durch vulkanische Eruptionen an die Erdoberfläche. Dort kühlen sie dann ab und kristallisieren aus.</w:t>
      </w:r>
    </w:p>
    <w:p w:rsidR="00E23047" w:rsidRPr="00E23047" w:rsidRDefault="00E23047" w:rsidP="00E23047">
      <w:pPr>
        <w:pStyle w:val="Zusammenfassung"/>
        <w:numPr>
          <w:ilvl w:val="2"/>
          <w:numId w:val="15"/>
        </w:numPr>
      </w:pPr>
      <w:r w:rsidRPr="00E23047">
        <w:t xml:space="preserve">Rubine und Saphire können synthetisch durch das </w:t>
      </w:r>
      <w:proofErr w:type="spellStart"/>
      <w:r w:rsidRPr="00E23047">
        <w:t>Verneuil</w:t>
      </w:r>
      <w:proofErr w:type="spellEnd"/>
      <w:r w:rsidRPr="00E23047">
        <w:t>-Verfahren (Flammenschmelz</w:t>
      </w:r>
      <w:r>
        <w:t>-V</w:t>
      </w:r>
      <w:r w:rsidRPr="00E23047">
        <w:t>erfahren) erzeugt werden.</w:t>
      </w:r>
    </w:p>
    <w:p w:rsidR="00E23047" w:rsidRPr="00E23047" w:rsidRDefault="00E23047" w:rsidP="00E23047">
      <w:pPr>
        <w:pStyle w:val="Zusammenfassung"/>
        <w:numPr>
          <w:ilvl w:val="2"/>
          <w:numId w:val="15"/>
        </w:numPr>
      </w:pPr>
      <w:r w:rsidRPr="00E23047">
        <w:t>Auch alle Saphire besitzen die Korund</w:t>
      </w:r>
      <w:r>
        <w:t>-S</w:t>
      </w:r>
      <w:r w:rsidRPr="00E23047">
        <w:t>truktur als Grund</w:t>
      </w:r>
      <w:r>
        <w:t>-S</w:t>
      </w:r>
      <w:r w:rsidRPr="00E23047">
        <w:t>truktur.</w:t>
      </w:r>
    </w:p>
    <w:p w:rsidR="00E23047" w:rsidRPr="00E23047" w:rsidRDefault="00E23047" w:rsidP="00E23047">
      <w:pPr>
        <w:pStyle w:val="Zusammenfassung"/>
        <w:numPr>
          <w:ilvl w:val="2"/>
          <w:numId w:val="15"/>
        </w:numPr>
      </w:pPr>
      <w:r w:rsidRPr="00E23047">
        <w:t>Die Farben der Saphire entstehen durch Einlagerung von Vanadium(IV)-, Eisen(II)-, Eisen(III)-, Titan(III)- oder Titan(IV)-Kationen.</w:t>
      </w:r>
    </w:p>
    <w:p w:rsidR="00263726" w:rsidRDefault="00263726">
      <w:pPr>
        <w:spacing w:before="0"/>
        <w:jc w:val="left"/>
        <w:rPr>
          <w:b/>
          <w:bCs/>
          <w:i/>
          <w:lang w:eastAsia="de-DE"/>
        </w:rPr>
      </w:pPr>
      <w:r>
        <w:rPr>
          <w:b/>
          <w:bCs/>
          <w:lang w:eastAsia="de-DE"/>
        </w:rPr>
        <w:br w:type="page"/>
      </w:r>
    </w:p>
    <w:p w:rsidR="00E23047" w:rsidRPr="00E23047" w:rsidRDefault="00E23047" w:rsidP="00E23047">
      <w:pPr>
        <w:pStyle w:val="EinstiegAbschluss"/>
        <w:rPr>
          <w:lang w:eastAsia="de-DE"/>
        </w:rPr>
      </w:pPr>
      <w:bookmarkStart w:id="7" w:name="_GoBack"/>
      <w:bookmarkEnd w:id="7"/>
      <w:r w:rsidRPr="00E23047">
        <w:rPr>
          <w:b/>
          <w:bCs/>
          <w:lang w:eastAsia="de-DE"/>
        </w:rPr>
        <w:t>Abschluss 1</w:t>
      </w:r>
      <w:r w:rsidRPr="00E23047">
        <w:rPr>
          <w:lang w:eastAsia="de-DE"/>
        </w:rPr>
        <w:t xml:space="preserve">: Außer dem Rubin gibt es noch viele andere Edelsteine. Beispiele hierfür wären der Smaragd, der Diamant, der Topas oder auch der Morganit. </w:t>
      </w:r>
    </w:p>
    <w:p w:rsidR="00E23047" w:rsidRDefault="00E23047" w:rsidP="00E23047">
      <w:pPr>
        <w:pStyle w:val="EinstiegAbschluss"/>
        <w:rPr>
          <w:lang w:eastAsia="de-DE"/>
        </w:rPr>
      </w:pPr>
      <w:r w:rsidRPr="00E23047">
        <w:rPr>
          <w:b/>
          <w:bCs/>
          <w:lang w:eastAsia="de-DE"/>
        </w:rPr>
        <w:t>Abschluss 2</w:t>
      </w:r>
      <w:r w:rsidRPr="00E23047">
        <w:rPr>
          <w:lang w:eastAsia="de-DE"/>
        </w:rPr>
        <w:t>: Rubine und Saphire lassen sich auch vielseitig in der Technik einsetzen. So kann ein farbloser Saphir als Uhrenglas oder auch als Spezial</w:t>
      </w:r>
      <w:r>
        <w:rPr>
          <w:lang w:eastAsia="de-DE"/>
        </w:rPr>
        <w:t>-F</w:t>
      </w:r>
      <w:r w:rsidRPr="00E23047">
        <w:rPr>
          <w:lang w:eastAsia="de-DE"/>
        </w:rPr>
        <w:t>enster in der Luft- und Raumfahrt</w:t>
      </w:r>
      <w:r>
        <w:rPr>
          <w:lang w:eastAsia="de-DE"/>
        </w:rPr>
        <w:t>-T</w:t>
      </w:r>
      <w:r w:rsidRPr="00E23047">
        <w:rPr>
          <w:lang w:eastAsia="de-DE"/>
        </w:rPr>
        <w:t>echnik genutzt werden. Der Rubin wird vor allem in Laser-Geräten zur Behandlung von Pigmentflecken oder Entfernung von Tattoos genutzt. Titandotierte Saphire werden als Titan-Saphir-Laser eingesetzt und zur Schichtdicken</w:t>
      </w:r>
      <w:r>
        <w:rPr>
          <w:lang w:eastAsia="de-DE"/>
        </w:rPr>
        <w:t>-M</w:t>
      </w:r>
      <w:r w:rsidRPr="00E23047">
        <w:rPr>
          <w:lang w:eastAsia="de-DE"/>
        </w:rPr>
        <w:t>essung bei Halbleitern oder zur Material</w:t>
      </w:r>
      <w:r>
        <w:rPr>
          <w:lang w:eastAsia="de-DE"/>
        </w:rPr>
        <w:t>-B</w:t>
      </w:r>
      <w:r w:rsidRPr="00E23047">
        <w:rPr>
          <w:lang w:eastAsia="de-DE"/>
        </w:rPr>
        <w:t>earbeitung verwendet. [</w:t>
      </w:r>
      <w:r>
        <w:rPr>
          <w:lang w:eastAsia="de-DE"/>
        </w:rPr>
        <w:fldChar w:fldCharType="begin"/>
      </w:r>
      <w:r>
        <w:rPr>
          <w:lang w:eastAsia="de-DE"/>
        </w:rPr>
        <w:instrText xml:space="preserve"> REF _Ref47348304 \r \h </w:instrText>
      </w:r>
      <w:r>
        <w:rPr>
          <w:lang w:eastAsia="de-DE"/>
        </w:rPr>
        <w:fldChar w:fldCharType="separate"/>
      </w:r>
      <w:r w:rsidR="00263726">
        <w:rPr>
          <w:b/>
          <w:bCs/>
          <w:lang w:eastAsia="de-DE"/>
        </w:rPr>
        <w:t>Fehler! Verweisquelle konnte nicht gefunden werden.</w:t>
      </w:r>
      <w:r>
        <w:rPr>
          <w:lang w:eastAsia="de-DE"/>
        </w:rPr>
        <w:fldChar w:fldCharType="end"/>
      </w:r>
      <w:r>
        <w:rPr>
          <w:lang w:eastAsia="de-DE"/>
        </w:rPr>
        <w:t xml:space="preserve">, </w:t>
      </w:r>
      <w:r>
        <w:rPr>
          <w:lang w:eastAsia="de-DE"/>
        </w:rPr>
        <w:fldChar w:fldCharType="begin"/>
      </w:r>
      <w:r>
        <w:rPr>
          <w:lang w:eastAsia="de-DE"/>
        </w:rPr>
        <w:instrText xml:space="preserve"> REF _Ref47348309 \r \h </w:instrText>
      </w:r>
      <w:r>
        <w:rPr>
          <w:lang w:eastAsia="de-DE"/>
        </w:rPr>
        <w:fldChar w:fldCharType="separate"/>
      </w:r>
      <w:r w:rsidR="00263726">
        <w:rPr>
          <w:b/>
          <w:bCs/>
          <w:lang w:eastAsia="de-DE"/>
        </w:rPr>
        <w:t>Fehler! Verweisquelle konnte nicht gefunden werden.</w:t>
      </w:r>
      <w:r>
        <w:rPr>
          <w:lang w:eastAsia="de-DE"/>
        </w:rPr>
        <w:fldChar w:fldCharType="end"/>
      </w:r>
      <w:r>
        <w:rPr>
          <w:lang w:eastAsia="de-DE"/>
        </w:rPr>
        <w:t xml:space="preserve">, </w:t>
      </w:r>
      <w:r>
        <w:rPr>
          <w:lang w:eastAsia="de-DE"/>
        </w:rPr>
        <w:fldChar w:fldCharType="begin"/>
      </w:r>
      <w:r>
        <w:rPr>
          <w:lang w:eastAsia="de-DE"/>
        </w:rPr>
        <w:instrText xml:space="preserve"> REF _Ref47348314 \r \h </w:instrText>
      </w:r>
      <w:r>
        <w:rPr>
          <w:lang w:eastAsia="de-DE"/>
        </w:rPr>
        <w:fldChar w:fldCharType="separate"/>
      </w:r>
      <w:r w:rsidR="00263726">
        <w:rPr>
          <w:b/>
          <w:bCs/>
          <w:lang w:eastAsia="de-DE"/>
        </w:rPr>
        <w:t>Fehler! Verweisquelle konnte nicht gefunden werden.</w:t>
      </w:r>
      <w:r>
        <w:rPr>
          <w:lang w:eastAsia="de-DE"/>
        </w:rPr>
        <w:fldChar w:fldCharType="end"/>
      </w:r>
      <w:r w:rsidRPr="00E23047">
        <w:rPr>
          <w:lang w:eastAsia="de-DE"/>
        </w:rPr>
        <w:t>]</w:t>
      </w:r>
    </w:p>
    <w:p w:rsidR="00344745" w:rsidRDefault="00344745" w:rsidP="00344745">
      <w:pPr>
        <w:pStyle w:val="EinstiegAbschluss"/>
      </w:pPr>
      <w:r w:rsidRPr="00344745">
        <w:rPr>
          <w:b/>
          <w:bCs/>
        </w:rPr>
        <w:t>Abschluss 3:</w:t>
      </w:r>
      <w:r>
        <w:t xml:space="preserve"> Die Synthese von Edelsteinen ist möglich, jedoch sind solche Nachahmungen theoretisch leicht zu entlarven. Andererseits zeigt sich im Fall des tschechischen Nationalmuseums, dass in der Praxis synthetische Edelsteine und Imitationen Jahre lang unentdeckt bleiben können.</w:t>
      </w:r>
    </w:p>
    <w:p w:rsidR="00931B30" w:rsidRPr="000E61E0" w:rsidRDefault="00931B30" w:rsidP="00931B30">
      <w:pPr>
        <w:rPr>
          <w:b/>
          <w:bCs/>
        </w:rPr>
      </w:pPr>
      <w:r w:rsidRPr="000E61E0">
        <w:rPr>
          <w:b/>
          <w:bCs/>
        </w:rPr>
        <w:t>Quellen:</w:t>
      </w:r>
    </w:p>
    <w:p w:rsidR="00344745" w:rsidRDefault="00263726" w:rsidP="00344745">
      <w:pPr>
        <w:pStyle w:val="AufzhlungStandard"/>
        <w:numPr>
          <w:ilvl w:val="0"/>
          <w:numId w:val="26"/>
        </w:numPr>
      </w:pPr>
      <w:hyperlink r:id="rId19" w:history="1">
        <w:r w:rsidR="00344745">
          <w:rPr>
            <w:rStyle w:val="Hyperlink"/>
            <w:rFonts w:cs="Arial"/>
          </w:rPr>
          <w:t>http://www.mineralogie-erleben.de/syn.htm</w:t>
        </w:r>
      </w:hyperlink>
      <w:r w:rsidR="00344745">
        <w:rPr>
          <w:rFonts w:cs="Arial"/>
        </w:rPr>
        <w:t xml:space="preserve"> 17.10.2009 (Quelle verschollen, 21.01.2019)</w:t>
      </w:r>
    </w:p>
    <w:p w:rsidR="00344745" w:rsidRDefault="00263726" w:rsidP="00344745">
      <w:pPr>
        <w:pStyle w:val="AufzhlungStandard"/>
        <w:numPr>
          <w:ilvl w:val="0"/>
          <w:numId w:val="26"/>
        </w:numPr>
      </w:pPr>
      <w:hyperlink r:id="rId20" w:history="1">
        <w:r w:rsidR="00344745">
          <w:rPr>
            <w:rStyle w:val="Hyperlink"/>
            <w:rFonts w:cs="Arial"/>
          </w:rPr>
          <w:t>http://de.wikipedia.org/wiki/Rubin</w:t>
        </w:r>
      </w:hyperlink>
      <w:r w:rsidR="00344745">
        <w:rPr>
          <w:rFonts w:cs="Arial"/>
        </w:rPr>
        <w:t xml:space="preserve"> 09.01.2019</w:t>
      </w:r>
    </w:p>
    <w:p w:rsidR="00344745" w:rsidRDefault="00344745" w:rsidP="00344745">
      <w:pPr>
        <w:pStyle w:val="AufzhlungStandard"/>
        <w:numPr>
          <w:ilvl w:val="0"/>
          <w:numId w:val="26"/>
        </w:numPr>
      </w:pPr>
      <w:r>
        <w:t xml:space="preserve">Riedel, Erwin; </w:t>
      </w:r>
      <w:proofErr w:type="spellStart"/>
      <w:r>
        <w:t>Janiak</w:t>
      </w:r>
      <w:proofErr w:type="spellEnd"/>
      <w:r>
        <w:t>, Christoph.: Anorganische Chemie, Walter De Gruyter GmbH &amp; Co.KG, 7. Auflage, Berlin 2007</w:t>
      </w:r>
    </w:p>
    <w:p w:rsidR="00344745" w:rsidRDefault="00344745" w:rsidP="00344745">
      <w:pPr>
        <w:pStyle w:val="AufzhlungStandard"/>
        <w:numPr>
          <w:ilvl w:val="0"/>
          <w:numId w:val="26"/>
        </w:numPr>
      </w:pPr>
      <w:r>
        <w:t>Holleman, Arnold; Wiberg, Egon; Wiberg, Nils: Lehrbuch der Anorganischen Chemie, Walter De Gruyter GmbH &amp; Co.KG, 102. Auflage, Berlin 2007</w:t>
      </w:r>
    </w:p>
    <w:p w:rsidR="00344745" w:rsidRDefault="00344745" w:rsidP="00344745">
      <w:pPr>
        <w:pStyle w:val="AufzhlungStandard"/>
        <w:numPr>
          <w:ilvl w:val="0"/>
          <w:numId w:val="26"/>
        </w:numPr>
      </w:pPr>
      <w:r>
        <w:t>Schumann, Walter: Edelsteine und Schmucksteine, 10. Auflage, München 1995</w:t>
      </w:r>
    </w:p>
    <w:p w:rsidR="00344745" w:rsidRDefault="00263726" w:rsidP="00344745">
      <w:pPr>
        <w:pStyle w:val="AufzhlungStandard"/>
        <w:numPr>
          <w:ilvl w:val="0"/>
          <w:numId w:val="26"/>
        </w:numPr>
      </w:pPr>
      <w:hyperlink r:id="rId21" w:history="1">
        <w:r w:rsidR="00344745">
          <w:rPr>
            <w:rStyle w:val="Hyperlink"/>
          </w:rPr>
          <w:t>https://www.planet-wissen.de/natur/schmuck/edelsteine/</w:t>
        </w:r>
      </w:hyperlink>
      <w:r w:rsidR="00344745">
        <w:t>, 09.01.19</w:t>
      </w:r>
    </w:p>
    <w:p w:rsidR="00344745" w:rsidRDefault="00263726" w:rsidP="00344745">
      <w:pPr>
        <w:pStyle w:val="AufzhlungStandard"/>
        <w:numPr>
          <w:ilvl w:val="0"/>
          <w:numId w:val="26"/>
        </w:numPr>
      </w:pPr>
      <w:hyperlink r:id="rId22" w:history="1">
        <w:r w:rsidR="00344745">
          <w:rPr>
            <w:rStyle w:val="Hyperlink"/>
          </w:rPr>
          <w:t>https://de.wikipedia.org/wiki/Rubinlaser</w:t>
        </w:r>
      </w:hyperlink>
      <w:r w:rsidR="00344745">
        <w:t>, 09.01.19</w:t>
      </w:r>
    </w:p>
    <w:p w:rsidR="00344745" w:rsidRDefault="00263726" w:rsidP="00344745">
      <w:pPr>
        <w:pStyle w:val="AufzhlungStandard"/>
        <w:numPr>
          <w:ilvl w:val="0"/>
          <w:numId w:val="26"/>
        </w:numPr>
      </w:pPr>
      <w:hyperlink r:id="rId23" w:history="1">
        <w:r w:rsidR="00344745">
          <w:rPr>
            <w:rStyle w:val="Hyperlink"/>
          </w:rPr>
          <w:t>https://de.wikipedia.org/wiki/Titan:Saphir-Laser</w:t>
        </w:r>
      </w:hyperlink>
      <w:r w:rsidR="00344745">
        <w:t>, 09.01.19</w:t>
      </w:r>
    </w:p>
    <w:p w:rsidR="00344745" w:rsidRDefault="00263726" w:rsidP="00344745">
      <w:pPr>
        <w:pStyle w:val="AufzhlungStandard"/>
        <w:numPr>
          <w:ilvl w:val="0"/>
          <w:numId w:val="26"/>
        </w:numPr>
      </w:pPr>
      <w:hyperlink r:id="rId24" w:history="1">
        <w:r w:rsidR="00344745">
          <w:rPr>
            <w:rStyle w:val="Hyperlink"/>
          </w:rPr>
          <w:t>http://www.chemie.de/lexikon/Saphir.html</w:t>
        </w:r>
      </w:hyperlink>
      <w:r w:rsidR="00344745">
        <w:t>, 09.01.19</w:t>
      </w:r>
    </w:p>
    <w:p w:rsidR="00344745" w:rsidRDefault="00263726" w:rsidP="00344745">
      <w:pPr>
        <w:pStyle w:val="AufzhlungStandard"/>
        <w:numPr>
          <w:ilvl w:val="0"/>
          <w:numId w:val="26"/>
        </w:numPr>
      </w:pPr>
      <w:hyperlink r:id="rId25" w:history="1">
        <w:r w:rsidR="00344745">
          <w:rPr>
            <w:rStyle w:val="Hyperlink"/>
          </w:rPr>
          <w:t>http://www.naturalgems.de/saphir.html</w:t>
        </w:r>
      </w:hyperlink>
      <w:r w:rsidR="00344745">
        <w:t>, 09.01.19</w:t>
      </w:r>
    </w:p>
    <w:p w:rsidR="00344745" w:rsidRDefault="00344745" w:rsidP="00344745">
      <w:pPr>
        <w:pStyle w:val="AufzhlungStandard"/>
        <w:numPr>
          <w:ilvl w:val="0"/>
          <w:numId w:val="26"/>
        </w:numPr>
      </w:pPr>
      <w:r>
        <w:t>Binnewies, Michael, u.a.: Allgemeine und Anorganische Chemie, 2016</w:t>
      </w:r>
    </w:p>
    <w:p w:rsidR="00344745" w:rsidRDefault="00344745" w:rsidP="00344745">
      <w:pPr>
        <w:pStyle w:val="AufzhlungStandard"/>
        <w:numPr>
          <w:ilvl w:val="0"/>
          <w:numId w:val="26"/>
        </w:numPr>
      </w:pPr>
      <w:r>
        <w:t>Götze, Jens, Göbbels, Matthias: Einführung in die Angewandte Mineralogie, 2017</w:t>
      </w:r>
    </w:p>
    <w:p w:rsidR="00344745" w:rsidRDefault="00344745" w:rsidP="00344745">
      <w:pPr>
        <w:pStyle w:val="AufzhlungStandard"/>
        <w:numPr>
          <w:ilvl w:val="0"/>
          <w:numId w:val="26"/>
        </w:numPr>
      </w:pPr>
      <w:r>
        <w:t xml:space="preserve">Hall, </w:t>
      </w:r>
      <w:proofErr w:type="spellStart"/>
      <w:r>
        <w:t>Cally</w:t>
      </w:r>
      <w:proofErr w:type="spellEnd"/>
      <w:r>
        <w:t>: Edelsteine, erschienen im Ravensburger Naturführer, 1996</w:t>
      </w:r>
    </w:p>
    <w:p w:rsidR="00344745" w:rsidRDefault="00344745" w:rsidP="00344745">
      <w:pPr>
        <w:pStyle w:val="AufzhlungStandard"/>
        <w:numPr>
          <w:ilvl w:val="0"/>
          <w:numId w:val="26"/>
        </w:numPr>
      </w:pPr>
      <w:r>
        <w:t>Neukirchen, Florian: Edelsteine, 2012</w:t>
      </w:r>
    </w:p>
    <w:p w:rsidR="00344745" w:rsidRDefault="00344745" w:rsidP="00344745">
      <w:pPr>
        <w:pStyle w:val="AufzhlungStandard"/>
        <w:numPr>
          <w:ilvl w:val="0"/>
          <w:numId w:val="26"/>
        </w:numPr>
      </w:pPr>
      <w:r>
        <w:t xml:space="preserve">Schumann, Walter: </w:t>
      </w:r>
      <w:r>
        <w:rPr>
          <w:rStyle w:val="ubtteasertitle"/>
        </w:rPr>
        <w:t>Der neue BLV-Steine-und-Mineralienführer, 2002</w:t>
      </w:r>
    </w:p>
    <w:p w:rsidR="00344745" w:rsidRDefault="00344745" w:rsidP="00344745">
      <w:pPr>
        <w:pStyle w:val="AufzhlungStandard"/>
        <w:numPr>
          <w:ilvl w:val="0"/>
          <w:numId w:val="26"/>
        </w:numPr>
      </w:pPr>
      <w:r>
        <w:t>Schumann, Walter: Edelsteine und Schmucksteine. Alle Arten und Varietäten der Welt, 2008</w:t>
      </w:r>
    </w:p>
    <w:p w:rsidR="00344745" w:rsidRDefault="00344745" w:rsidP="00344745">
      <w:pPr>
        <w:pStyle w:val="AufzhlungStandard"/>
        <w:numPr>
          <w:ilvl w:val="0"/>
          <w:numId w:val="26"/>
        </w:numPr>
      </w:pPr>
      <w:r>
        <w:t>Weber, Birgit: Koordinationschemie. Grundlagen und aktuelle Trends, 2014</w:t>
      </w:r>
    </w:p>
    <w:p w:rsidR="00344745" w:rsidRDefault="00263726" w:rsidP="00344745">
      <w:pPr>
        <w:pStyle w:val="AufzhlungStandard"/>
        <w:numPr>
          <w:ilvl w:val="0"/>
          <w:numId w:val="26"/>
        </w:numPr>
      </w:pPr>
      <w:hyperlink r:id="rId26" w:history="1">
        <w:r w:rsidR="00344745">
          <w:rPr>
            <w:rStyle w:val="Hyperlink"/>
          </w:rPr>
          <w:t>https://www.radio.cz/de/rubrik/tagesecho/falscher-glanz-in-der-edelsteinsammlung</w:t>
        </w:r>
      </w:hyperlink>
      <w:r w:rsidR="00344745">
        <w:t>, 21.10.2019</w:t>
      </w:r>
    </w:p>
    <w:p w:rsidR="00344745" w:rsidRDefault="00263726" w:rsidP="00344745">
      <w:pPr>
        <w:pStyle w:val="AufzhlungStandard"/>
        <w:numPr>
          <w:ilvl w:val="0"/>
          <w:numId w:val="26"/>
        </w:numPr>
      </w:pPr>
      <w:hyperlink r:id="rId27" w:history="1">
        <w:r w:rsidR="00344745">
          <w:rPr>
            <w:rStyle w:val="Hyperlink"/>
          </w:rPr>
          <w:t>https://de.wikipedia.org/wiki/Eisen(III)-thiocyanat</w:t>
        </w:r>
      </w:hyperlink>
      <w:r w:rsidR="00344745">
        <w:t>, 23.10.2019</w:t>
      </w:r>
    </w:p>
    <w:p w:rsidR="00344745" w:rsidRPr="00263726" w:rsidRDefault="00263726" w:rsidP="00344745">
      <w:pPr>
        <w:pStyle w:val="AufzhlungStandard"/>
        <w:numPr>
          <w:ilvl w:val="0"/>
          <w:numId w:val="26"/>
        </w:numPr>
        <w:rPr>
          <w:lang w:val="en-US"/>
        </w:rPr>
      </w:pPr>
      <w:hyperlink r:id="rId28" w:history="1">
        <w:r w:rsidR="00344745" w:rsidRPr="00263726">
          <w:rPr>
            <w:rStyle w:val="Hyperlink"/>
            <w:lang w:val="en-US"/>
          </w:rPr>
          <w:t>https://de.wikipedia.org/wiki/Datei:Ruby_transmittance.svg</w:t>
        </w:r>
      </w:hyperlink>
      <w:r w:rsidR="00344745" w:rsidRPr="00263726">
        <w:rPr>
          <w:lang w:val="en-US"/>
        </w:rPr>
        <w:t xml:space="preserve">, </w:t>
      </w:r>
      <w:proofErr w:type="spellStart"/>
      <w:r w:rsidR="00344745" w:rsidRPr="00263726">
        <w:rPr>
          <w:lang w:val="en-US"/>
        </w:rPr>
        <w:t>FDominec</w:t>
      </w:r>
      <w:proofErr w:type="spellEnd"/>
      <w:r w:rsidR="00344745" w:rsidRPr="00263726">
        <w:rPr>
          <w:lang w:val="en-US"/>
        </w:rPr>
        <w:t>, 31.7.2020</w:t>
      </w:r>
    </w:p>
    <w:sectPr w:rsidR="00344745" w:rsidRPr="00263726" w:rsidSect="00931B30">
      <w:footerReference w:type="default" r:id="rId29"/>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5A" w:rsidRDefault="00B62E5A" w:rsidP="005A7DCE">
      <w:pPr>
        <w:spacing w:before="0"/>
      </w:pPr>
      <w:r>
        <w:separator/>
      </w:r>
    </w:p>
  </w:endnote>
  <w:endnote w:type="continuationSeparator" w:id="0">
    <w:p w:rsidR="00B62E5A" w:rsidRDefault="00B62E5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B62E5A" w:rsidRDefault="00B62E5A">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B62E5A" w:rsidRDefault="00B62E5A">
        <w:pPr>
          <w:pStyle w:val="Fuzeile"/>
          <w:jc w:val="center"/>
        </w:pPr>
        <w:r>
          <w:fldChar w:fldCharType="begin"/>
        </w:r>
        <w:r>
          <w:instrText>PAGE    \* MERGEFORMAT</w:instrText>
        </w:r>
        <w:r>
          <w:fldChar w:fldCharType="separate"/>
        </w:r>
        <w:r w:rsidR="00263726">
          <w:rPr>
            <w:noProof/>
          </w:rPr>
          <w:t>8</w:t>
        </w:r>
        <w:r>
          <w:fldChar w:fldCharType="end"/>
        </w:r>
      </w:p>
    </w:sdtContent>
  </w:sdt>
  <w:p w:rsidR="00B62E5A" w:rsidRDefault="00B62E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5A" w:rsidRDefault="00B62E5A" w:rsidP="005A7DCE">
      <w:pPr>
        <w:spacing w:before="0"/>
      </w:pPr>
      <w:r>
        <w:separator/>
      </w:r>
    </w:p>
  </w:footnote>
  <w:footnote w:type="continuationSeparator" w:id="0">
    <w:p w:rsidR="00B62E5A" w:rsidRDefault="00B62E5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792779D"/>
    <w:multiLevelType w:val="multilevel"/>
    <w:tmpl w:val="1DC4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C2A300C"/>
    <w:multiLevelType w:val="multilevel"/>
    <w:tmpl w:val="CC3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D259D"/>
    <w:multiLevelType w:val="multilevel"/>
    <w:tmpl w:val="40E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1"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9"/>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2"/>
  </w:num>
  <w:num w:numId="13">
    <w:abstractNumId w:val="11"/>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8"/>
  </w:num>
  <w:num w:numId="20">
    <w:abstractNumId w:val="15"/>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4"/>
  </w:num>
  <w:num w:numId="22">
    <w:abstractNumId w:val="7"/>
  </w:num>
  <w:num w:numId="23">
    <w:abstractNumId w:val="6"/>
  </w:num>
  <w:num w:numId="24">
    <w:abstractNumId w:val="3"/>
    <w:lvlOverride w:ilvl="0">
      <w:lvl w:ilvl="0">
        <w:start w:val="1"/>
        <w:numFmt w:val="decimal"/>
        <w:pStyle w:val="EinstiegAbschluss"/>
        <w:lvlText w:val=""/>
        <w:lvlJc w:val="left"/>
        <w:pPr>
          <w:tabs>
            <w:tab w:val="num" w:pos="284"/>
          </w:tabs>
          <w:ind w:left="0" w:firstLine="0"/>
        </w:pPr>
      </w:lvl>
    </w:lvlOverride>
    <w:lvlOverride w:ilvl="1">
      <w:lvl w:ilvl="1">
        <w:start w:val="1"/>
        <w:numFmt w:val="decimal"/>
        <w:lvlText w:val="%2"/>
        <w:lvlJc w:val="left"/>
        <w:pPr>
          <w:tabs>
            <w:tab w:val="num" w:pos="284"/>
          </w:tabs>
          <w:ind w:left="680" w:hanging="396"/>
        </w:pPr>
      </w:lvl>
    </w:lvlOverride>
    <w:lvlOverride w:ilvl="2">
      <w:lvl w:ilvl="2">
        <w:start w:val="1"/>
        <w:numFmt w:val="decimal"/>
        <w:lvlText w:val=""/>
        <w:lvlJc w:val="left"/>
        <w:pPr>
          <w:tabs>
            <w:tab w:val="num" w:pos="284"/>
          </w:tabs>
          <w:ind w:left="680" w:hanging="396"/>
        </w:pPr>
        <w:rPr>
          <w:rFonts w:ascii="Symbol" w:hAnsi="Symbol" w:hint="default"/>
        </w:rPr>
      </w:lvl>
    </w:lvlOverride>
    <w:lvlOverride w:ilvl="3">
      <w:lvl w:ilvl="3">
        <w:start w:val="1"/>
        <w:numFmt w:val="decimal"/>
        <w:lvlText w:val="%4)"/>
        <w:lvlJc w:val="left"/>
        <w:pPr>
          <w:tabs>
            <w:tab w:val="num" w:pos="284"/>
          </w:tabs>
          <w:ind w:left="680" w:hanging="396"/>
        </w:pPr>
      </w:lvl>
    </w:lvlOverride>
    <w:lvlOverride w:ilvl="4">
      <w:lvl w:ilvl="4">
        <w:start w:val="1"/>
        <w:numFmt w:val="decimal"/>
        <w:lvlText w:val=""/>
        <w:lvlJc w:val="left"/>
        <w:pPr>
          <w:tabs>
            <w:tab w:val="num" w:pos="284"/>
          </w:tabs>
          <w:ind w:left="680" w:hanging="396"/>
        </w:pPr>
      </w:lvl>
    </w:lvlOverride>
    <w:lvlOverride w:ilvl="5">
      <w:lvl w:ilvl="5">
        <w:start w:val="1"/>
        <w:numFmt w:val="decimal"/>
        <w:lvlText w:val=""/>
        <w:lvlJc w:val="left"/>
        <w:pPr>
          <w:tabs>
            <w:tab w:val="num" w:pos="284"/>
          </w:tabs>
          <w:ind w:left="680" w:hanging="396"/>
        </w:pPr>
      </w:lvl>
    </w:lvlOverride>
    <w:lvlOverride w:ilvl="6">
      <w:lvl w:ilvl="6">
        <w:start w:val="1"/>
        <w:numFmt w:val="decimal"/>
        <w:lvlText w:val=""/>
        <w:lvlJc w:val="left"/>
        <w:pPr>
          <w:tabs>
            <w:tab w:val="num" w:pos="284"/>
          </w:tabs>
          <w:ind w:left="680" w:hanging="396"/>
        </w:pPr>
      </w:lvl>
    </w:lvlOverride>
    <w:lvlOverride w:ilvl="7">
      <w:lvl w:ilvl="7">
        <w:start w:val="1"/>
        <w:numFmt w:val="decimal"/>
        <w:lvlText w:val=""/>
        <w:lvlJc w:val="left"/>
        <w:pPr>
          <w:tabs>
            <w:tab w:val="num" w:pos="284"/>
          </w:tabs>
          <w:ind w:left="680" w:hanging="396"/>
        </w:pPr>
      </w:lvl>
    </w:lvlOverride>
    <w:lvlOverride w:ilvl="8">
      <w:lvl w:ilvl="8">
        <w:start w:val="1"/>
        <w:numFmt w:val="decimal"/>
        <w:lvlText w:val=""/>
        <w:lvlJc w:val="left"/>
        <w:pPr>
          <w:tabs>
            <w:tab w:val="num" w:pos="284"/>
          </w:tabs>
          <w:ind w:left="680" w:hanging="396"/>
        </w:pPr>
      </w:lvl>
    </w:lvlOverride>
  </w:num>
  <w:num w:numId="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63726"/>
    <w:rsid w:val="0033663A"/>
    <w:rsid w:val="00344745"/>
    <w:rsid w:val="0036111E"/>
    <w:rsid w:val="004D0FAE"/>
    <w:rsid w:val="005633FE"/>
    <w:rsid w:val="0058690D"/>
    <w:rsid w:val="005A7DCE"/>
    <w:rsid w:val="006C46B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B62E5A"/>
    <w:rsid w:val="00C47CC6"/>
    <w:rsid w:val="00C6611D"/>
    <w:rsid w:val="00D52EBC"/>
    <w:rsid w:val="00D97908"/>
    <w:rsid w:val="00DB7964"/>
    <w:rsid w:val="00E14DE1"/>
    <w:rsid w:val="00E20AF3"/>
    <w:rsid w:val="00E23047"/>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3C599"/>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B62E5A"/>
    <w:rPr>
      <w:color w:val="0000FF" w:themeColor="followedHyperlink"/>
      <w:u w:val="single"/>
    </w:rPr>
  </w:style>
  <w:style w:type="character" w:styleId="Platzhaltertext">
    <w:name w:val="Placeholder Text"/>
    <w:basedOn w:val="Absatz-Standardschriftart"/>
    <w:uiPriority w:val="99"/>
    <w:semiHidden/>
    <w:rsid w:val="00B62E5A"/>
    <w:rPr>
      <w:color w:val="808080"/>
    </w:rPr>
  </w:style>
  <w:style w:type="table" w:styleId="Tabellenraster">
    <w:name w:val="Table Grid"/>
    <w:basedOn w:val="NormaleTabelle"/>
    <w:uiPriority w:val="39"/>
    <w:rsid w:val="00B6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btteasertitle">
    <w:name w:val="ubt_teaser_title"/>
    <w:basedOn w:val="Absatz-Standardschriftart"/>
    <w:rsid w:val="0034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05">
      <w:bodyDiv w:val="1"/>
      <w:marLeft w:val="0"/>
      <w:marRight w:val="0"/>
      <w:marTop w:val="0"/>
      <w:marBottom w:val="0"/>
      <w:divBdr>
        <w:top w:val="none" w:sz="0" w:space="0" w:color="auto"/>
        <w:left w:val="none" w:sz="0" w:space="0" w:color="auto"/>
        <w:bottom w:val="none" w:sz="0" w:space="0" w:color="auto"/>
        <w:right w:val="none" w:sz="0" w:space="0" w:color="auto"/>
      </w:divBdr>
    </w:div>
    <w:div w:id="16857850">
      <w:bodyDiv w:val="1"/>
      <w:marLeft w:val="0"/>
      <w:marRight w:val="0"/>
      <w:marTop w:val="0"/>
      <w:marBottom w:val="0"/>
      <w:divBdr>
        <w:top w:val="none" w:sz="0" w:space="0" w:color="auto"/>
        <w:left w:val="none" w:sz="0" w:space="0" w:color="auto"/>
        <w:bottom w:val="none" w:sz="0" w:space="0" w:color="auto"/>
        <w:right w:val="none" w:sz="0" w:space="0" w:color="auto"/>
      </w:divBdr>
    </w:div>
    <w:div w:id="78648448">
      <w:bodyDiv w:val="1"/>
      <w:marLeft w:val="0"/>
      <w:marRight w:val="0"/>
      <w:marTop w:val="0"/>
      <w:marBottom w:val="0"/>
      <w:divBdr>
        <w:top w:val="none" w:sz="0" w:space="0" w:color="auto"/>
        <w:left w:val="none" w:sz="0" w:space="0" w:color="auto"/>
        <w:bottom w:val="none" w:sz="0" w:space="0" w:color="auto"/>
        <w:right w:val="none" w:sz="0" w:space="0" w:color="auto"/>
      </w:divBdr>
    </w:div>
    <w:div w:id="82800475">
      <w:bodyDiv w:val="1"/>
      <w:marLeft w:val="0"/>
      <w:marRight w:val="0"/>
      <w:marTop w:val="0"/>
      <w:marBottom w:val="0"/>
      <w:divBdr>
        <w:top w:val="none" w:sz="0" w:space="0" w:color="auto"/>
        <w:left w:val="none" w:sz="0" w:space="0" w:color="auto"/>
        <w:bottom w:val="none" w:sz="0" w:space="0" w:color="auto"/>
        <w:right w:val="none" w:sz="0" w:space="0" w:color="auto"/>
      </w:divBdr>
    </w:div>
    <w:div w:id="161628562">
      <w:bodyDiv w:val="1"/>
      <w:marLeft w:val="0"/>
      <w:marRight w:val="0"/>
      <w:marTop w:val="0"/>
      <w:marBottom w:val="0"/>
      <w:divBdr>
        <w:top w:val="none" w:sz="0" w:space="0" w:color="auto"/>
        <w:left w:val="none" w:sz="0" w:space="0" w:color="auto"/>
        <w:bottom w:val="none" w:sz="0" w:space="0" w:color="auto"/>
        <w:right w:val="none" w:sz="0" w:space="0" w:color="auto"/>
      </w:divBdr>
    </w:div>
    <w:div w:id="411704874">
      <w:bodyDiv w:val="1"/>
      <w:marLeft w:val="0"/>
      <w:marRight w:val="0"/>
      <w:marTop w:val="0"/>
      <w:marBottom w:val="0"/>
      <w:divBdr>
        <w:top w:val="none" w:sz="0" w:space="0" w:color="auto"/>
        <w:left w:val="none" w:sz="0" w:space="0" w:color="auto"/>
        <w:bottom w:val="none" w:sz="0" w:space="0" w:color="auto"/>
        <w:right w:val="none" w:sz="0" w:space="0" w:color="auto"/>
      </w:divBdr>
    </w:div>
    <w:div w:id="419064063">
      <w:bodyDiv w:val="1"/>
      <w:marLeft w:val="0"/>
      <w:marRight w:val="0"/>
      <w:marTop w:val="0"/>
      <w:marBottom w:val="0"/>
      <w:divBdr>
        <w:top w:val="none" w:sz="0" w:space="0" w:color="auto"/>
        <w:left w:val="none" w:sz="0" w:space="0" w:color="auto"/>
        <w:bottom w:val="none" w:sz="0" w:space="0" w:color="auto"/>
        <w:right w:val="none" w:sz="0" w:space="0" w:color="auto"/>
      </w:divBdr>
    </w:div>
    <w:div w:id="508714987">
      <w:bodyDiv w:val="1"/>
      <w:marLeft w:val="0"/>
      <w:marRight w:val="0"/>
      <w:marTop w:val="0"/>
      <w:marBottom w:val="0"/>
      <w:divBdr>
        <w:top w:val="none" w:sz="0" w:space="0" w:color="auto"/>
        <w:left w:val="none" w:sz="0" w:space="0" w:color="auto"/>
        <w:bottom w:val="none" w:sz="0" w:space="0" w:color="auto"/>
        <w:right w:val="none" w:sz="0" w:space="0" w:color="auto"/>
      </w:divBdr>
    </w:div>
    <w:div w:id="667635519">
      <w:bodyDiv w:val="1"/>
      <w:marLeft w:val="0"/>
      <w:marRight w:val="0"/>
      <w:marTop w:val="0"/>
      <w:marBottom w:val="0"/>
      <w:divBdr>
        <w:top w:val="none" w:sz="0" w:space="0" w:color="auto"/>
        <w:left w:val="none" w:sz="0" w:space="0" w:color="auto"/>
        <w:bottom w:val="none" w:sz="0" w:space="0" w:color="auto"/>
        <w:right w:val="none" w:sz="0" w:space="0" w:color="auto"/>
      </w:divBdr>
    </w:div>
    <w:div w:id="848065400">
      <w:bodyDiv w:val="1"/>
      <w:marLeft w:val="0"/>
      <w:marRight w:val="0"/>
      <w:marTop w:val="0"/>
      <w:marBottom w:val="0"/>
      <w:divBdr>
        <w:top w:val="none" w:sz="0" w:space="0" w:color="auto"/>
        <w:left w:val="none" w:sz="0" w:space="0" w:color="auto"/>
        <w:bottom w:val="none" w:sz="0" w:space="0" w:color="auto"/>
        <w:right w:val="none" w:sz="0" w:space="0" w:color="auto"/>
      </w:divBdr>
    </w:div>
    <w:div w:id="879240537">
      <w:bodyDiv w:val="1"/>
      <w:marLeft w:val="0"/>
      <w:marRight w:val="0"/>
      <w:marTop w:val="0"/>
      <w:marBottom w:val="0"/>
      <w:divBdr>
        <w:top w:val="none" w:sz="0" w:space="0" w:color="auto"/>
        <w:left w:val="none" w:sz="0" w:space="0" w:color="auto"/>
        <w:bottom w:val="none" w:sz="0" w:space="0" w:color="auto"/>
        <w:right w:val="none" w:sz="0" w:space="0" w:color="auto"/>
      </w:divBdr>
    </w:div>
    <w:div w:id="922833635">
      <w:bodyDiv w:val="1"/>
      <w:marLeft w:val="0"/>
      <w:marRight w:val="0"/>
      <w:marTop w:val="0"/>
      <w:marBottom w:val="0"/>
      <w:divBdr>
        <w:top w:val="none" w:sz="0" w:space="0" w:color="auto"/>
        <w:left w:val="none" w:sz="0" w:space="0" w:color="auto"/>
        <w:bottom w:val="none" w:sz="0" w:space="0" w:color="auto"/>
        <w:right w:val="none" w:sz="0" w:space="0" w:color="auto"/>
      </w:divBdr>
    </w:div>
    <w:div w:id="1169324416">
      <w:bodyDiv w:val="1"/>
      <w:marLeft w:val="0"/>
      <w:marRight w:val="0"/>
      <w:marTop w:val="0"/>
      <w:marBottom w:val="0"/>
      <w:divBdr>
        <w:top w:val="none" w:sz="0" w:space="0" w:color="auto"/>
        <w:left w:val="none" w:sz="0" w:space="0" w:color="auto"/>
        <w:bottom w:val="none" w:sz="0" w:space="0" w:color="auto"/>
        <w:right w:val="none" w:sz="0" w:space="0" w:color="auto"/>
      </w:divBdr>
    </w:div>
    <w:div w:id="1198200769">
      <w:bodyDiv w:val="1"/>
      <w:marLeft w:val="0"/>
      <w:marRight w:val="0"/>
      <w:marTop w:val="0"/>
      <w:marBottom w:val="0"/>
      <w:divBdr>
        <w:top w:val="none" w:sz="0" w:space="0" w:color="auto"/>
        <w:left w:val="none" w:sz="0" w:space="0" w:color="auto"/>
        <w:bottom w:val="none" w:sz="0" w:space="0" w:color="auto"/>
        <w:right w:val="none" w:sz="0" w:space="0" w:color="auto"/>
      </w:divBdr>
    </w:div>
    <w:div w:id="1209991323">
      <w:bodyDiv w:val="1"/>
      <w:marLeft w:val="0"/>
      <w:marRight w:val="0"/>
      <w:marTop w:val="0"/>
      <w:marBottom w:val="0"/>
      <w:divBdr>
        <w:top w:val="none" w:sz="0" w:space="0" w:color="auto"/>
        <w:left w:val="none" w:sz="0" w:space="0" w:color="auto"/>
        <w:bottom w:val="none" w:sz="0" w:space="0" w:color="auto"/>
        <w:right w:val="none" w:sz="0" w:space="0" w:color="auto"/>
      </w:divBdr>
    </w:div>
    <w:div w:id="1227449605">
      <w:bodyDiv w:val="1"/>
      <w:marLeft w:val="0"/>
      <w:marRight w:val="0"/>
      <w:marTop w:val="0"/>
      <w:marBottom w:val="0"/>
      <w:divBdr>
        <w:top w:val="none" w:sz="0" w:space="0" w:color="auto"/>
        <w:left w:val="none" w:sz="0" w:space="0" w:color="auto"/>
        <w:bottom w:val="none" w:sz="0" w:space="0" w:color="auto"/>
        <w:right w:val="none" w:sz="0" w:space="0" w:color="auto"/>
      </w:divBdr>
    </w:div>
    <w:div w:id="1264387106">
      <w:bodyDiv w:val="1"/>
      <w:marLeft w:val="0"/>
      <w:marRight w:val="0"/>
      <w:marTop w:val="0"/>
      <w:marBottom w:val="0"/>
      <w:divBdr>
        <w:top w:val="none" w:sz="0" w:space="0" w:color="auto"/>
        <w:left w:val="none" w:sz="0" w:space="0" w:color="auto"/>
        <w:bottom w:val="none" w:sz="0" w:space="0" w:color="auto"/>
        <w:right w:val="none" w:sz="0" w:space="0" w:color="auto"/>
      </w:divBdr>
    </w:div>
    <w:div w:id="1264412828">
      <w:bodyDiv w:val="1"/>
      <w:marLeft w:val="0"/>
      <w:marRight w:val="0"/>
      <w:marTop w:val="0"/>
      <w:marBottom w:val="0"/>
      <w:divBdr>
        <w:top w:val="none" w:sz="0" w:space="0" w:color="auto"/>
        <w:left w:val="none" w:sz="0" w:space="0" w:color="auto"/>
        <w:bottom w:val="none" w:sz="0" w:space="0" w:color="auto"/>
        <w:right w:val="none" w:sz="0" w:space="0" w:color="auto"/>
      </w:divBdr>
    </w:div>
    <w:div w:id="1493447800">
      <w:bodyDiv w:val="1"/>
      <w:marLeft w:val="0"/>
      <w:marRight w:val="0"/>
      <w:marTop w:val="0"/>
      <w:marBottom w:val="0"/>
      <w:divBdr>
        <w:top w:val="none" w:sz="0" w:space="0" w:color="auto"/>
        <w:left w:val="none" w:sz="0" w:space="0" w:color="auto"/>
        <w:bottom w:val="none" w:sz="0" w:space="0" w:color="auto"/>
        <w:right w:val="none" w:sz="0" w:space="0" w:color="auto"/>
      </w:divBdr>
    </w:div>
    <w:div w:id="1760369397">
      <w:bodyDiv w:val="1"/>
      <w:marLeft w:val="0"/>
      <w:marRight w:val="0"/>
      <w:marTop w:val="0"/>
      <w:marBottom w:val="0"/>
      <w:divBdr>
        <w:top w:val="none" w:sz="0" w:space="0" w:color="auto"/>
        <w:left w:val="none" w:sz="0" w:space="0" w:color="auto"/>
        <w:bottom w:val="none" w:sz="0" w:space="0" w:color="auto"/>
        <w:right w:val="none" w:sz="0" w:space="0" w:color="auto"/>
      </w:divBdr>
    </w:div>
    <w:div w:id="21212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www.radio.cz/de/rubrik/tagesecho/falscher-glanz-in-der-edelsteinsammlung" TargetMode="External"/><Relationship Id="rId3" Type="http://schemas.openxmlformats.org/officeDocument/2006/relationships/styles" Target="styles.xml"/><Relationship Id="rId21" Type="http://schemas.openxmlformats.org/officeDocument/2006/relationships/hyperlink" Target="https://www.planet-wissen.de/natur/schmuck/edelstein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www.naturalgems.de/saphir.html" TargetMode="External"/><Relationship Id="rId2" Type="http://schemas.openxmlformats.org/officeDocument/2006/relationships/numbering" Target="numbering.xml"/><Relationship Id="rId16" Type="http://schemas.openxmlformats.org/officeDocument/2006/relationships/hyperlink" Target="https://de.wikipedia.org/wiki/Datei:Ruby_transmittance.svg" TargetMode="External"/><Relationship Id="rId20" Type="http://schemas.openxmlformats.org/officeDocument/2006/relationships/hyperlink" Target="http://de.wikipedia.org/wiki/Rub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chemie.de/lexikon/Saphir.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e.wikipedia.org/wiki/Titan:Saphir-Laser" TargetMode="External"/><Relationship Id="rId28" Type="http://schemas.openxmlformats.org/officeDocument/2006/relationships/hyperlink" Target="https://de.wikipedia.org/wiki/Datei:Ruby_transmittance.svg" TargetMode="External"/><Relationship Id="rId10" Type="http://schemas.openxmlformats.org/officeDocument/2006/relationships/image" Target="media/image3.jpeg"/><Relationship Id="rId19" Type="http://schemas.openxmlformats.org/officeDocument/2006/relationships/hyperlink" Target="http://www.globally-harmonised-system.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e.wikipedia.org/wiki/Rubinlaser" TargetMode="External"/><Relationship Id="rId27" Type="http://schemas.openxmlformats.org/officeDocument/2006/relationships/hyperlink" Target="https://de.wikipedia.org/wiki/Eisen(III)-thiocyana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6A61-C2F3-4235-9E48-679FDA47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98E87C4B.dotm</Template>
  <TotalTime>0</TotalTime>
  <Pages>8</Pages>
  <Words>2054</Words>
  <Characters>12943</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2020-08-04T06:54:00Z</cp:lastPrinted>
  <dcterms:created xsi:type="dcterms:W3CDTF">2020-08-03T09:36:00Z</dcterms:created>
  <dcterms:modified xsi:type="dcterms:W3CDTF">2020-08-04T06:54:00Z</dcterms:modified>
</cp:coreProperties>
</file>