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491" w:rsidRDefault="0060249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602491" w:rsidRDefault="0060249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7864C5" w:rsidRDefault="00E8473B" w:rsidP="007864C5">
      <w:pPr>
        <w:pStyle w:val="Seminar"/>
      </w:pPr>
      <w:r w:rsidRPr="007864C5">
        <w:t>Seminar</w:t>
      </w:r>
      <w:r w:rsidR="00FD7888" w:rsidRPr="007864C5">
        <w:t xml:space="preserve"> „Übungen im Vortragen – </w:t>
      </w:r>
      <w:r w:rsidR="007864C5" w:rsidRPr="007864C5">
        <w:t>PC</w:t>
      </w:r>
      <w:r w:rsidR="00FD7888" w:rsidRPr="007864C5">
        <w:t>“</w:t>
      </w:r>
    </w:p>
    <w:p w:rsidR="00E8473B" w:rsidRDefault="007864C5" w:rsidP="005633FE">
      <w:pPr>
        <w:pStyle w:val="Titel"/>
      </w:pPr>
      <w:r>
        <w:t>Diffusionspotential und Salz-Brücke</w:t>
      </w:r>
    </w:p>
    <w:p w:rsidR="00E8473B" w:rsidRDefault="007864C5" w:rsidP="00E8473B">
      <w:pPr>
        <w:pStyle w:val="Autor"/>
      </w:pPr>
      <w:r>
        <w:t>Julia Strauch, WS 10/11</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4D3553"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079447" w:history="1">
            <w:r w:rsidR="004D3553" w:rsidRPr="008B6A14">
              <w:rPr>
                <w:rStyle w:val="Hyperlink"/>
                <w:noProof/>
              </w:rPr>
              <w:t>1</w:t>
            </w:r>
            <w:r w:rsidR="004D3553">
              <w:rPr>
                <w:rFonts w:asciiTheme="minorHAnsi" w:eastAsiaTheme="minorEastAsia" w:hAnsiTheme="minorHAnsi"/>
                <w:noProof/>
                <w:sz w:val="22"/>
                <w:lang w:eastAsia="de-DE"/>
              </w:rPr>
              <w:tab/>
            </w:r>
            <w:r w:rsidR="004D3553" w:rsidRPr="008B6A14">
              <w:rPr>
                <w:rStyle w:val="Hyperlink"/>
                <w:noProof/>
              </w:rPr>
              <w:t>Diffusionspotential</w:t>
            </w:r>
            <w:r w:rsidR="004D3553">
              <w:rPr>
                <w:noProof/>
                <w:webHidden/>
              </w:rPr>
              <w:tab/>
            </w:r>
            <w:r w:rsidR="004D3553">
              <w:rPr>
                <w:noProof/>
                <w:webHidden/>
              </w:rPr>
              <w:fldChar w:fldCharType="begin"/>
            </w:r>
            <w:r w:rsidR="004D3553">
              <w:rPr>
                <w:noProof/>
                <w:webHidden/>
              </w:rPr>
              <w:instrText xml:space="preserve"> PAGEREF _Toc47079447 \h </w:instrText>
            </w:r>
            <w:r w:rsidR="004D3553">
              <w:rPr>
                <w:noProof/>
                <w:webHidden/>
              </w:rPr>
            </w:r>
            <w:r w:rsidR="004D3553">
              <w:rPr>
                <w:noProof/>
                <w:webHidden/>
              </w:rPr>
              <w:fldChar w:fldCharType="separate"/>
            </w:r>
            <w:r w:rsidR="00C81C15">
              <w:rPr>
                <w:noProof/>
                <w:webHidden/>
              </w:rPr>
              <w:t>1</w:t>
            </w:r>
            <w:r w:rsidR="004D3553">
              <w:rPr>
                <w:noProof/>
                <w:webHidden/>
              </w:rPr>
              <w:fldChar w:fldCharType="end"/>
            </w:r>
          </w:hyperlink>
        </w:p>
        <w:p w:rsidR="004D3553" w:rsidRDefault="00C81C15">
          <w:pPr>
            <w:pStyle w:val="Verzeichnis1"/>
            <w:tabs>
              <w:tab w:val="left" w:pos="480"/>
              <w:tab w:val="right" w:leader="dot" w:pos="9344"/>
            </w:tabs>
            <w:rPr>
              <w:rFonts w:asciiTheme="minorHAnsi" w:eastAsiaTheme="minorEastAsia" w:hAnsiTheme="minorHAnsi"/>
              <w:noProof/>
              <w:sz w:val="22"/>
              <w:lang w:eastAsia="de-DE"/>
            </w:rPr>
          </w:pPr>
          <w:hyperlink w:anchor="_Toc47079448" w:history="1">
            <w:r w:rsidR="004D3553" w:rsidRPr="008B6A14">
              <w:rPr>
                <w:rStyle w:val="Hyperlink"/>
                <w:noProof/>
              </w:rPr>
              <w:t>2</w:t>
            </w:r>
            <w:r w:rsidR="004D3553">
              <w:rPr>
                <w:rFonts w:asciiTheme="minorHAnsi" w:eastAsiaTheme="minorEastAsia" w:hAnsiTheme="minorHAnsi"/>
                <w:noProof/>
                <w:sz w:val="22"/>
                <w:lang w:eastAsia="de-DE"/>
              </w:rPr>
              <w:tab/>
            </w:r>
            <w:r w:rsidR="004D3553" w:rsidRPr="008B6A14">
              <w:rPr>
                <w:rStyle w:val="Hyperlink"/>
                <w:noProof/>
              </w:rPr>
              <w:t>Salz-Brücke</w:t>
            </w:r>
            <w:r w:rsidR="004D3553">
              <w:rPr>
                <w:noProof/>
                <w:webHidden/>
              </w:rPr>
              <w:tab/>
            </w:r>
            <w:r w:rsidR="004D3553">
              <w:rPr>
                <w:noProof/>
                <w:webHidden/>
              </w:rPr>
              <w:fldChar w:fldCharType="begin"/>
            </w:r>
            <w:r w:rsidR="004D3553">
              <w:rPr>
                <w:noProof/>
                <w:webHidden/>
              </w:rPr>
              <w:instrText xml:space="preserve"> PAGEREF _Toc47079448 \h </w:instrText>
            </w:r>
            <w:r w:rsidR="004D3553">
              <w:rPr>
                <w:noProof/>
                <w:webHidden/>
              </w:rPr>
            </w:r>
            <w:r w:rsidR="004D3553">
              <w:rPr>
                <w:noProof/>
                <w:webHidden/>
              </w:rPr>
              <w:fldChar w:fldCharType="separate"/>
            </w:r>
            <w:r>
              <w:rPr>
                <w:noProof/>
                <w:webHidden/>
              </w:rPr>
              <w:t>2</w:t>
            </w:r>
            <w:r w:rsidR="004D3553">
              <w:rPr>
                <w:noProof/>
                <w:webHidden/>
              </w:rPr>
              <w:fldChar w:fldCharType="end"/>
            </w:r>
          </w:hyperlink>
        </w:p>
        <w:p w:rsidR="004D3553" w:rsidRDefault="00C81C15">
          <w:pPr>
            <w:pStyle w:val="Verzeichnis2"/>
            <w:tabs>
              <w:tab w:val="left" w:pos="880"/>
              <w:tab w:val="right" w:leader="dot" w:pos="9344"/>
            </w:tabs>
            <w:rPr>
              <w:rFonts w:asciiTheme="minorHAnsi" w:eastAsiaTheme="minorEastAsia" w:hAnsiTheme="minorHAnsi"/>
              <w:noProof/>
              <w:sz w:val="22"/>
              <w:lang w:eastAsia="de-DE"/>
            </w:rPr>
          </w:pPr>
          <w:hyperlink w:anchor="_Toc47079449" w:history="1">
            <w:r w:rsidR="004D3553" w:rsidRPr="008B6A14">
              <w:rPr>
                <w:rStyle w:val="Hyperlink"/>
                <w:noProof/>
              </w:rPr>
              <w:t>2.1</w:t>
            </w:r>
            <w:r w:rsidR="004D3553">
              <w:rPr>
                <w:rFonts w:asciiTheme="minorHAnsi" w:eastAsiaTheme="minorEastAsia" w:hAnsiTheme="minorHAnsi"/>
                <w:noProof/>
                <w:sz w:val="22"/>
                <w:lang w:eastAsia="de-DE"/>
              </w:rPr>
              <w:tab/>
            </w:r>
            <w:r w:rsidR="004D3553" w:rsidRPr="008B6A14">
              <w:rPr>
                <w:rStyle w:val="Hyperlink"/>
                <w:noProof/>
              </w:rPr>
              <w:t>Überführungszahlen nach Hittorf</w:t>
            </w:r>
            <w:r w:rsidR="004D3553">
              <w:rPr>
                <w:noProof/>
                <w:webHidden/>
              </w:rPr>
              <w:tab/>
            </w:r>
            <w:r w:rsidR="004D3553">
              <w:rPr>
                <w:noProof/>
                <w:webHidden/>
              </w:rPr>
              <w:fldChar w:fldCharType="begin"/>
            </w:r>
            <w:r w:rsidR="004D3553">
              <w:rPr>
                <w:noProof/>
                <w:webHidden/>
              </w:rPr>
              <w:instrText xml:space="preserve"> PAGEREF _Toc47079449 \h </w:instrText>
            </w:r>
            <w:r w:rsidR="004D3553">
              <w:rPr>
                <w:noProof/>
                <w:webHidden/>
              </w:rPr>
            </w:r>
            <w:r w:rsidR="004D3553">
              <w:rPr>
                <w:noProof/>
                <w:webHidden/>
              </w:rPr>
              <w:fldChar w:fldCharType="separate"/>
            </w:r>
            <w:r>
              <w:rPr>
                <w:noProof/>
                <w:webHidden/>
              </w:rPr>
              <w:t>3</w:t>
            </w:r>
            <w:r w:rsidR="004D3553">
              <w:rPr>
                <w:noProof/>
                <w:webHidden/>
              </w:rPr>
              <w:fldChar w:fldCharType="end"/>
            </w:r>
          </w:hyperlink>
        </w:p>
        <w:p w:rsidR="004D3553" w:rsidRDefault="00C81C15">
          <w:pPr>
            <w:pStyle w:val="Verzeichnis2"/>
            <w:tabs>
              <w:tab w:val="left" w:pos="880"/>
              <w:tab w:val="right" w:leader="dot" w:pos="9344"/>
            </w:tabs>
            <w:rPr>
              <w:rFonts w:asciiTheme="minorHAnsi" w:eastAsiaTheme="minorEastAsia" w:hAnsiTheme="minorHAnsi"/>
              <w:noProof/>
              <w:sz w:val="22"/>
              <w:lang w:eastAsia="de-DE"/>
            </w:rPr>
          </w:pPr>
          <w:hyperlink w:anchor="_Toc47079450" w:history="1">
            <w:r w:rsidR="004D3553" w:rsidRPr="008B6A14">
              <w:rPr>
                <w:rStyle w:val="Hyperlink"/>
                <w:noProof/>
              </w:rPr>
              <w:t>2.2</w:t>
            </w:r>
            <w:r w:rsidR="004D3553">
              <w:rPr>
                <w:rFonts w:asciiTheme="minorHAnsi" w:eastAsiaTheme="minorEastAsia" w:hAnsiTheme="minorHAnsi"/>
                <w:noProof/>
                <w:sz w:val="22"/>
                <w:lang w:eastAsia="de-DE"/>
              </w:rPr>
              <w:tab/>
            </w:r>
            <w:r w:rsidR="004D3553" w:rsidRPr="008B6A14">
              <w:rPr>
                <w:rStyle w:val="Hyperlink"/>
                <w:noProof/>
              </w:rPr>
              <w:t>Ionische Vorgänge an und in einer Salz-Brücke</w:t>
            </w:r>
            <w:r w:rsidR="004D3553">
              <w:rPr>
                <w:noProof/>
                <w:webHidden/>
              </w:rPr>
              <w:tab/>
            </w:r>
            <w:r w:rsidR="004D3553">
              <w:rPr>
                <w:noProof/>
                <w:webHidden/>
              </w:rPr>
              <w:fldChar w:fldCharType="begin"/>
            </w:r>
            <w:r w:rsidR="004D3553">
              <w:rPr>
                <w:noProof/>
                <w:webHidden/>
              </w:rPr>
              <w:instrText xml:space="preserve"> PAGEREF _Toc47079450 \h </w:instrText>
            </w:r>
            <w:r w:rsidR="004D3553">
              <w:rPr>
                <w:noProof/>
                <w:webHidden/>
              </w:rPr>
            </w:r>
            <w:r w:rsidR="004D3553">
              <w:rPr>
                <w:noProof/>
                <w:webHidden/>
              </w:rPr>
              <w:fldChar w:fldCharType="separate"/>
            </w:r>
            <w:r>
              <w:rPr>
                <w:noProof/>
                <w:webHidden/>
              </w:rPr>
              <w:t>3</w:t>
            </w:r>
            <w:r w:rsidR="004D3553">
              <w:rPr>
                <w:noProof/>
                <w:webHidden/>
              </w:rPr>
              <w:fldChar w:fldCharType="end"/>
            </w:r>
          </w:hyperlink>
        </w:p>
        <w:p w:rsidR="006C46BC" w:rsidRDefault="006C46BC">
          <w:r>
            <w:rPr>
              <w:b/>
              <w:bCs/>
            </w:rPr>
            <w:fldChar w:fldCharType="end"/>
          </w:r>
        </w:p>
      </w:sdtContent>
    </w:sdt>
    <w:p w:rsidR="007864C5" w:rsidRPr="007864C5" w:rsidRDefault="00FD7888" w:rsidP="007864C5">
      <w:pPr>
        <w:pStyle w:val="EinstiegAbschluss"/>
        <w:rPr>
          <w:lang w:eastAsia="de-DE"/>
        </w:rPr>
      </w:pPr>
      <w:bookmarkStart w:id="0" w:name="_Überschrift_1"/>
      <w:bookmarkEnd w:id="0"/>
      <w:r w:rsidRPr="00C47CC6">
        <w:rPr>
          <w:rStyle w:val="Fett"/>
        </w:rPr>
        <w:t>Einstieg</w:t>
      </w:r>
      <w:r>
        <w:t>:</w:t>
      </w:r>
      <w:r w:rsidR="00C47CC6">
        <w:t xml:space="preserve"> </w:t>
      </w:r>
      <w:r w:rsidR="007864C5" w:rsidRPr="007864C5">
        <w:rPr>
          <w:lang w:eastAsia="de-DE"/>
        </w:rPr>
        <w:t>1936 wurde in Bagdad bei Ausgrabungen ein Tongefäß mit einem eingepassten, unten verschlossenen Kupfer</w:t>
      </w:r>
      <w:r w:rsidR="007864C5">
        <w:rPr>
          <w:lang w:eastAsia="de-DE"/>
        </w:rPr>
        <w:t>-Z</w:t>
      </w:r>
      <w:r w:rsidR="007864C5" w:rsidRPr="007864C5">
        <w:rPr>
          <w:lang w:eastAsia="de-DE"/>
        </w:rPr>
        <w:t>ylinder gefunden. In diesem steckte ein stark korrodierter Eisen</w:t>
      </w:r>
      <w:r w:rsidR="007864C5">
        <w:rPr>
          <w:lang w:eastAsia="de-DE"/>
        </w:rPr>
        <w:t>-N</w:t>
      </w:r>
      <w:r w:rsidR="007864C5" w:rsidRPr="007864C5">
        <w:rPr>
          <w:lang w:eastAsia="de-DE"/>
        </w:rPr>
        <w:t>agel.</w:t>
      </w:r>
    </w:p>
    <w:p w:rsidR="007864C5" w:rsidRPr="007864C5" w:rsidRDefault="007864C5" w:rsidP="007864C5">
      <w:pPr>
        <w:pStyle w:val="EinstiegAbschluss"/>
      </w:pPr>
      <w:r w:rsidRPr="007864C5">
        <w:t>Bei diesem Gefäß könnte es sich um ein galvanisches Element aus der Parther</w:t>
      </w:r>
      <w:r w:rsidR="00C81C15">
        <w:t>-Z</w:t>
      </w:r>
      <w:r w:rsidRPr="007864C5">
        <w:t xml:space="preserve">eit handeln. Deshalb wird der Fund oft auch als "Parther-Batterie" bezeichnet. Was sich im Inneren dieser frühen </w:t>
      </w:r>
      <w:r>
        <w:t>g</w:t>
      </w:r>
      <w:r w:rsidRPr="007864C5">
        <w:t>alvanischen Zelle abgespielt haben könnte, wird im Folgenden betrachtet [</w:t>
      </w:r>
      <w:r>
        <w:fldChar w:fldCharType="begin"/>
      </w:r>
      <w:r>
        <w:instrText xml:space="preserve"> REF _Ref47077124 \r \h </w:instrText>
      </w:r>
      <w:r>
        <w:fldChar w:fldCharType="separate"/>
      </w:r>
      <w:r w:rsidR="00C81C15">
        <w:t>1</w:t>
      </w:r>
      <w:r>
        <w:fldChar w:fldCharType="end"/>
      </w:r>
      <w:r w:rsidRPr="007864C5">
        <w:t xml:space="preserve">]. </w:t>
      </w:r>
    </w:p>
    <w:p w:rsidR="00E8473B" w:rsidRDefault="007864C5" w:rsidP="008A524D">
      <w:pPr>
        <w:pStyle w:val="berschrift1"/>
      </w:pPr>
      <w:bookmarkStart w:id="1" w:name="_Toc47079447"/>
      <w:r>
        <w:t>Diffusionspotential</w:t>
      </w:r>
      <w:bookmarkEnd w:id="1"/>
    </w:p>
    <w:p w:rsidR="007864C5" w:rsidRDefault="007864C5" w:rsidP="007864C5">
      <w:r>
        <w:t>Als Diffusionspotential bezeichnet man einen Sprung des elektrischen Potentials, der an Phasen-Grenzen von zwei unterschiedlichen Elektrolyt-Lösungen auftritt. Es beruht letztendlich auf dem Konzentrationsunterschied bzw. der chemischen Natur der beiden Elektrolyt-Lösungen. Speziell in galvanischen Zellen tritt diesen Phänomen deshalb häufig auf.</w:t>
      </w:r>
    </w:p>
    <w:p w:rsidR="007864C5" w:rsidRDefault="007864C5" w:rsidP="007864C5">
      <w:r>
        <w:t>Zunächst soll die Erklärung des Diffusionspotentials anhand einer Konzentrationszelle beschrieben werden. Die linke Kupfer-Elektrode taucht im U-Rohr in eine 0,01 M CuSO</w:t>
      </w:r>
      <w:r>
        <w:rPr>
          <w:vertAlign w:val="subscript"/>
        </w:rPr>
        <w:t>4</w:t>
      </w:r>
      <w:r>
        <w:t>-Lösung, die rechte Kupfer-Elektrode in eine 1 M CuSO</w:t>
      </w:r>
      <w:r>
        <w:rPr>
          <w:vertAlign w:val="subscript"/>
        </w:rPr>
        <w:t>4</w:t>
      </w:r>
      <w:r>
        <w:t>-Lösung. Die Phasen-Grenze wird durch ein Diaphragma stabilisiert. Diese ermöglicht einen Ionen-Transport zwischen den Halbzellen, verhindert jedoch eine völlige Durchmischung der Elektrolyte.</w:t>
      </w:r>
    </w:p>
    <w:p w:rsidR="007864C5" w:rsidRDefault="007864C5" w:rsidP="007864C5">
      <w:pPr>
        <w:pStyle w:val="Bilder"/>
      </w:pPr>
      <w:r>
        <w:rPr>
          <w:lang w:eastAsia="de-DE"/>
        </w:rPr>
        <w:lastRenderedPageBreak/>
        <w:drawing>
          <wp:inline distT="0" distB="0" distL="0" distR="0" wp14:anchorId="5282FB45">
            <wp:extent cx="4455348" cy="288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5348" cy="2880000"/>
                    </a:xfrm>
                    <a:prstGeom prst="rect">
                      <a:avLst/>
                    </a:prstGeom>
                    <a:noFill/>
                  </pic:spPr>
                </pic:pic>
              </a:graphicData>
            </a:graphic>
          </wp:inline>
        </w:drawing>
      </w:r>
    </w:p>
    <w:p w:rsidR="007864C5" w:rsidRDefault="007864C5" w:rsidP="007864C5">
      <w:pPr>
        <w:pStyle w:val="Beschriftung"/>
      </w:pPr>
      <w:r>
        <w:t xml:space="preserve">Abb. </w:t>
      </w:r>
      <w:r w:rsidR="00C81C15">
        <w:fldChar w:fldCharType="begin"/>
      </w:r>
      <w:r w:rsidR="00C81C15">
        <w:instrText xml:space="preserve"> SEQ Abb. \* ARABIC </w:instrText>
      </w:r>
      <w:r w:rsidR="00C81C15">
        <w:fldChar w:fldCharType="separate"/>
      </w:r>
      <w:r w:rsidR="00C81C15">
        <w:rPr>
          <w:noProof/>
        </w:rPr>
        <w:t>1</w:t>
      </w:r>
      <w:r w:rsidR="00C81C15">
        <w:rPr>
          <w:noProof/>
        </w:rPr>
        <w:fldChar w:fldCharType="end"/>
      </w:r>
      <w:r>
        <w:t>: Konzentrationszelle</w:t>
      </w:r>
    </w:p>
    <w:p w:rsidR="007864C5" w:rsidRDefault="007864C5" w:rsidP="007864C5">
      <w:r>
        <w:t>Auf der linken Seite geht Kupfer in Lösung, es entsteht Cu</w:t>
      </w:r>
      <w:r>
        <w:rPr>
          <w:vertAlign w:val="superscript"/>
        </w:rPr>
        <w:t>2+</w:t>
      </w:r>
      <w:r>
        <w:t>. Die dabei frei werdenden Elektronen fließen durch einen externen Stromkreis zur anderen Halbzelle. An der rechten Kupfer-Elektrode scheidet sich durch die Reduktion von Cu</w:t>
      </w:r>
      <w:r>
        <w:rPr>
          <w:vertAlign w:val="superscript"/>
        </w:rPr>
        <w:t xml:space="preserve">2+ </w:t>
      </w:r>
      <w:r>
        <w:t xml:space="preserve">Kupfer ab. Somit liegt auf dieser Seite ein Überschuss an Sulfat-Ionen vor. </w:t>
      </w:r>
    </w:p>
    <w:p w:rsidR="007864C5" w:rsidRDefault="007864C5" w:rsidP="007864C5">
      <w:r>
        <w:t xml:space="preserve">Allgemein erfolgt die Diffusion von Ionen vom Ort höherer zum Ort niedriger Konzentration. Also diffundiert das wesentlich kleinere Sulfat-Ion nach links, der Halbzelle mit geringerer Konzentration. Die größeren Kupfer-Ionen bleiben auf der rechten Seite zurück, es entsteht ein Potentialsprung (in </w:t>
      </w:r>
      <w:r w:rsidR="009077F8">
        <w:rPr>
          <w:color w:val="FF00FF" w:themeColor="accent4"/>
        </w:rPr>
        <w:fldChar w:fldCharType="begin"/>
      </w:r>
      <w:r w:rsidR="009077F8">
        <w:instrText xml:space="preserve"> REF _Ref47078242 \h </w:instrText>
      </w:r>
      <w:r w:rsidR="009077F8">
        <w:rPr>
          <w:color w:val="FF00FF" w:themeColor="accent4"/>
        </w:rPr>
      </w:r>
      <w:r w:rsidR="009077F8">
        <w:rPr>
          <w:color w:val="FF00FF" w:themeColor="accent4"/>
        </w:rPr>
        <w:fldChar w:fldCharType="separate"/>
      </w:r>
      <w:r w:rsidR="00C81C15">
        <w:t xml:space="preserve">Abb. </w:t>
      </w:r>
      <w:r w:rsidR="00C81C15">
        <w:rPr>
          <w:noProof/>
        </w:rPr>
        <w:t>2</w:t>
      </w:r>
      <w:r w:rsidR="009077F8">
        <w:rPr>
          <w:color w:val="FF00FF" w:themeColor="accent4"/>
        </w:rPr>
        <w:fldChar w:fldCharType="end"/>
      </w:r>
      <w:r w:rsidR="009077F8">
        <w:rPr>
          <w:color w:val="FF00FF" w:themeColor="accent4"/>
        </w:rPr>
        <w:t xml:space="preserve"> </w:t>
      </w:r>
      <w:r>
        <w:t>Ladungstrennung rechts). Im Bereich der Phasen-Grenze baut sich ein elektrisches Feld auf, das zum einen beschleunigend auf die Kupfer-Ionen, zum anderen bremsend auf Anionen wirkt. Diese Potential-Differenz wird als Diffusionspotential (oder auch Flüssigkeitspotential) bezeichnet.</w:t>
      </w:r>
    </w:p>
    <w:p w:rsidR="007864C5" w:rsidRDefault="009077F8" w:rsidP="009077F8">
      <w:pPr>
        <w:pStyle w:val="Bilder"/>
      </w:pPr>
      <w:r w:rsidRPr="009077F8">
        <w:rPr>
          <w:lang w:eastAsia="de-DE"/>
        </w:rPr>
        <w:drawing>
          <wp:inline distT="0" distB="0" distL="0" distR="0" wp14:anchorId="029CFF72">
            <wp:extent cx="2520000" cy="1309619"/>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309619"/>
                    </a:xfrm>
                    <a:prstGeom prst="rect">
                      <a:avLst/>
                    </a:prstGeom>
                    <a:noFill/>
                  </pic:spPr>
                </pic:pic>
              </a:graphicData>
            </a:graphic>
          </wp:inline>
        </w:drawing>
      </w:r>
      <w:r w:rsidRPr="009077F8">
        <w:tab/>
      </w:r>
      <w:r w:rsidRPr="009077F8">
        <w:rPr>
          <w:lang w:eastAsia="de-DE"/>
        </w:rPr>
        <w:drawing>
          <wp:inline distT="0" distB="0" distL="0" distR="0" wp14:anchorId="0219826F">
            <wp:extent cx="2519292" cy="134006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082"/>
                    <a:stretch/>
                  </pic:blipFill>
                  <pic:spPr bwMode="auto">
                    <a:xfrm>
                      <a:off x="0" y="0"/>
                      <a:ext cx="2520000" cy="1340446"/>
                    </a:xfrm>
                    <a:prstGeom prst="rect">
                      <a:avLst/>
                    </a:prstGeom>
                    <a:noFill/>
                    <a:ln>
                      <a:noFill/>
                    </a:ln>
                    <a:extLst>
                      <a:ext uri="{53640926-AAD7-44D8-BBD7-CCE9431645EC}">
                        <a14:shadowObscured xmlns:a14="http://schemas.microsoft.com/office/drawing/2010/main"/>
                      </a:ext>
                    </a:extLst>
                  </pic:spPr>
                </pic:pic>
              </a:graphicData>
            </a:graphic>
          </wp:inline>
        </w:drawing>
      </w:r>
    </w:p>
    <w:p w:rsidR="009077F8" w:rsidRDefault="009077F8" w:rsidP="009077F8">
      <w:pPr>
        <w:pStyle w:val="Beschriftung"/>
      </w:pPr>
      <w:bookmarkStart w:id="2" w:name="_Ref47078242"/>
      <w:r>
        <w:t xml:space="preserve">Abb. </w:t>
      </w:r>
      <w:r w:rsidR="00C81C15">
        <w:fldChar w:fldCharType="begin"/>
      </w:r>
      <w:r w:rsidR="00C81C15">
        <w:instrText xml:space="preserve"> SEQ Abb. \* ARABIC </w:instrText>
      </w:r>
      <w:r w:rsidR="00C81C15">
        <w:fldChar w:fldCharType="separate"/>
      </w:r>
      <w:r w:rsidR="00C81C15">
        <w:rPr>
          <w:noProof/>
        </w:rPr>
        <w:t>2</w:t>
      </w:r>
      <w:r w:rsidR="00C81C15">
        <w:rPr>
          <w:noProof/>
        </w:rPr>
        <w:fldChar w:fldCharType="end"/>
      </w:r>
      <w:bookmarkEnd w:id="2"/>
      <w:r>
        <w:t>: Entstehung des Diffusionspotentials durch Ladungstrennung an einer Membran</w:t>
      </w:r>
      <w:r>
        <w:br/>
        <w:t>rot: Sulfat-</w:t>
      </w:r>
      <w:r w:rsidR="00C81C15">
        <w:t>Ani</w:t>
      </w:r>
      <w:r>
        <w:t>onen, blau: Kupfer-</w:t>
      </w:r>
      <w:r w:rsidR="00C81C15">
        <w:t>Kati</w:t>
      </w:r>
      <w:r>
        <w:t>onen</w:t>
      </w:r>
    </w:p>
    <w:p w:rsidR="009077F8" w:rsidRDefault="009077F8" w:rsidP="009077F8">
      <w:r>
        <w:t>Da dieses Potential die exakte Messung eines Normal-Potentials oder einer Reaktionsenthalpie stören kann, versucht man dieses zu vermindern. Das Diffusionspotential verschwindet nahezu, wenn die molaren Ionen-Leitfähigkeiten beider Ionen gleich groß sind. Deshalb verbindet man zwei Halbzellen nicht direkt miteinander, sondern schafft eine Verbindung, z. B. durch eine sog. Salz-Brücke [</w:t>
      </w:r>
      <w:r>
        <w:fldChar w:fldCharType="begin"/>
      </w:r>
      <w:r>
        <w:instrText xml:space="preserve"> REF _Ref47078278 \r \h </w:instrText>
      </w:r>
      <w:r>
        <w:fldChar w:fldCharType="separate"/>
      </w:r>
      <w:r w:rsidR="00C81C15">
        <w:t>2</w:t>
      </w:r>
      <w:r>
        <w:fldChar w:fldCharType="end"/>
      </w:r>
      <w:r>
        <w:t xml:space="preserve">, </w:t>
      </w:r>
      <w:r>
        <w:fldChar w:fldCharType="begin"/>
      </w:r>
      <w:r>
        <w:instrText xml:space="preserve"> REF _Ref47078283 \r \h </w:instrText>
      </w:r>
      <w:r>
        <w:fldChar w:fldCharType="separate"/>
      </w:r>
      <w:r w:rsidR="00C81C15">
        <w:t>3</w:t>
      </w:r>
      <w:r>
        <w:fldChar w:fldCharType="end"/>
      </w:r>
      <w:r>
        <w:t xml:space="preserve">, </w:t>
      </w:r>
      <w:r>
        <w:fldChar w:fldCharType="begin"/>
      </w:r>
      <w:r>
        <w:instrText xml:space="preserve"> REF _Ref47078288 \r \h </w:instrText>
      </w:r>
      <w:r>
        <w:fldChar w:fldCharType="separate"/>
      </w:r>
      <w:r w:rsidR="00C81C15">
        <w:t>4</w:t>
      </w:r>
      <w:r>
        <w:fldChar w:fldCharType="end"/>
      </w:r>
      <w:r>
        <w:t xml:space="preserve">, </w:t>
      </w:r>
      <w:r>
        <w:fldChar w:fldCharType="begin"/>
      </w:r>
      <w:r>
        <w:instrText xml:space="preserve"> REF _Ref47078295 \r \h </w:instrText>
      </w:r>
      <w:r>
        <w:fldChar w:fldCharType="separate"/>
      </w:r>
      <w:r w:rsidR="00C81C15">
        <w:t>5</w:t>
      </w:r>
      <w:r>
        <w:fldChar w:fldCharType="end"/>
      </w:r>
      <w:r>
        <w:t>].</w:t>
      </w:r>
    </w:p>
    <w:p w:rsidR="009077F8" w:rsidRDefault="009077F8" w:rsidP="009077F8">
      <w:pPr>
        <w:pStyle w:val="berschrift1"/>
      </w:pPr>
      <w:bookmarkStart w:id="3" w:name="_Toc47079448"/>
      <w:r>
        <w:t>Salz-Brücke</w:t>
      </w:r>
      <w:bookmarkEnd w:id="3"/>
    </w:p>
    <w:p w:rsidR="009077F8" w:rsidRDefault="009077F8" w:rsidP="009077F8">
      <w:r>
        <w:t xml:space="preserve">Meist handelt es sich um ein umgekehrtes U-Rohr, das mit gesättigter Salz-Lösung gefüllt ist. Eine Salz-Brücke dient insgesamt dazu, dass das Diffusionspotential um ca. 1 - 2 mV vermindert wird. Auch durch den synonym verwendeten Begriff als Strom-Schlüssel, wird deutlich, dass eine Salz-Brücke den Stromkreis zwischen zwei Halbzellen schließt. Die in der Salz-Brücke enthaltenen Ionen dürfen dabei an der Zell-Reaktion nicht teilnehmen. </w:t>
      </w:r>
      <w:r>
        <w:lastRenderedPageBreak/>
        <w:t>Sie dienen lediglich dem Ionen-Ausgleich, übernehmen somit den Strom-Transport. Dabei ist zu beachten, dass die Ionen möglichst gleiche Überführungszahlen haben.</w:t>
      </w:r>
    </w:p>
    <w:p w:rsidR="009077F8" w:rsidRDefault="009077F8" w:rsidP="009077F8">
      <w:pPr>
        <w:pStyle w:val="berschrift2"/>
      </w:pPr>
      <w:bookmarkStart w:id="4" w:name="_Toc47079449"/>
      <w:r>
        <w:t xml:space="preserve">Überführungszahlen nach </w:t>
      </w:r>
      <w:proofErr w:type="spellStart"/>
      <w:r>
        <w:t>Hittorf</w:t>
      </w:r>
      <w:bookmarkEnd w:id="4"/>
      <w:proofErr w:type="spellEnd"/>
    </w:p>
    <w:p w:rsidR="009077F8" w:rsidRDefault="009077F8" w:rsidP="009077F8">
      <w:r>
        <w:t xml:space="preserve">Die Überführungszahlen wurden durch </w:t>
      </w:r>
      <w:proofErr w:type="spellStart"/>
      <w:r>
        <w:t>Hittorf</w:t>
      </w:r>
      <w:proofErr w:type="spellEnd"/>
      <w:r>
        <w:t xml:space="preserve"> 1853 als elektrochemische Größe eingeführt. Sie wurden durch Überführungsversuche bestimmt, bei denen Konzentrationsänderungen von Ionen im Anoden- und Kathoden-Raum nach Stromfluss bestimmt werden. Dadurch wird die molare Leitfähigkeit der Ionen bzw. elektrische Beweglichkeit der Ionen bestimmt. Die Überführungszahl ist von der Größe und Wanderungsgeschwindigkeit des Ions im elektrischen Feld abhängig. </w:t>
      </w:r>
    </w:p>
    <w:p w:rsidR="009077F8" w:rsidRDefault="009077F8" w:rsidP="009077F8">
      <w:r>
        <w:t>Die Überführungszahl „</w:t>
      </w:r>
      <w:proofErr w:type="spellStart"/>
      <w:r>
        <w:t>t</w:t>
      </w:r>
      <w:r>
        <w:rPr>
          <w:vertAlign w:val="subscript"/>
        </w:rPr>
        <w:t>i</w:t>
      </w:r>
      <w:proofErr w:type="spellEnd"/>
      <w:r>
        <w:t>“ ist der Bruchteil an Strom, den eine Ionensorte zum gesamten Strom beiträgt. Somit ergibt die Summe aller Überführungszahlen Σ </w:t>
      </w:r>
      <w:proofErr w:type="spellStart"/>
      <w:r>
        <w:t>t</w:t>
      </w:r>
      <w:r>
        <w:rPr>
          <w:vertAlign w:val="subscript"/>
        </w:rPr>
        <w:t>i</w:t>
      </w:r>
      <w:proofErr w:type="spellEnd"/>
      <w:r>
        <w:t> = 1.</w:t>
      </w:r>
    </w:p>
    <w:p w:rsidR="00602491" w:rsidRDefault="00602491" w:rsidP="009077F8"/>
    <w:tbl>
      <w:tblPr>
        <w:tblStyle w:val="Tabellenraster"/>
        <w:tblW w:w="0" w:type="auto"/>
        <w:jc w:val="center"/>
        <w:tblLook w:val="04A0" w:firstRow="1" w:lastRow="0" w:firstColumn="1" w:lastColumn="0" w:noHBand="0" w:noVBand="1"/>
      </w:tblPr>
      <w:tblGrid>
        <w:gridCol w:w="1701"/>
        <w:gridCol w:w="1701"/>
        <w:gridCol w:w="1701"/>
      </w:tblGrid>
      <w:tr w:rsidR="00602491" w:rsidRPr="00602491" w:rsidTr="00602491">
        <w:trPr>
          <w:jc w:val="center"/>
        </w:trPr>
        <w:tc>
          <w:tcPr>
            <w:tcW w:w="1701" w:type="dxa"/>
            <w:shd w:val="clear" w:color="auto" w:fill="C7C7C7" w:themeFill="background2" w:themeFillShade="E6"/>
            <w:hideMark/>
          </w:tcPr>
          <w:p w:rsidR="00602491" w:rsidRPr="00602491" w:rsidRDefault="00602491" w:rsidP="00602491">
            <w:pPr>
              <w:spacing w:before="0"/>
              <w:jc w:val="center"/>
              <w:rPr>
                <w:rFonts w:ascii="Times New Roman" w:eastAsia="Times New Roman" w:hAnsi="Times New Roman" w:cs="Times New Roman"/>
                <w:szCs w:val="24"/>
                <w:lang w:eastAsia="de-DE"/>
              </w:rPr>
            </w:pPr>
            <w:r w:rsidRPr="00602491">
              <w:rPr>
                <w:rFonts w:eastAsia="Times New Roman" w:cs="Arial"/>
                <w:b/>
                <w:bCs/>
                <w:szCs w:val="24"/>
                <w:lang w:eastAsia="de-DE"/>
              </w:rPr>
              <w:t>Elektrolyt</w:t>
            </w:r>
          </w:p>
        </w:tc>
        <w:tc>
          <w:tcPr>
            <w:tcW w:w="1701" w:type="dxa"/>
            <w:shd w:val="clear" w:color="auto" w:fill="C7C7C7" w:themeFill="background2" w:themeFillShade="E6"/>
            <w:hideMark/>
          </w:tcPr>
          <w:p w:rsidR="00602491" w:rsidRPr="00602491" w:rsidRDefault="00602491" w:rsidP="00602491">
            <w:pPr>
              <w:spacing w:before="0"/>
              <w:jc w:val="center"/>
              <w:rPr>
                <w:rFonts w:ascii="Times New Roman" w:eastAsia="Times New Roman" w:hAnsi="Times New Roman" w:cs="Times New Roman"/>
                <w:szCs w:val="24"/>
                <w:lang w:eastAsia="de-DE"/>
              </w:rPr>
            </w:pPr>
            <w:r w:rsidRPr="00602491">
              <w:rPr>
                <w:rFonts w:eastAsia="Times New Roman" w:cs="Arial"/>
                <w:b/>
                <w:bCs/>
                <w:szCs w:val="24"/>
                <w:lang w:eastAsia="de-DE"/>
              </w:rPr>
              <w:t>t</w:t>
            </w:r>
            <w:r w:rsidRPr="00602491">
              <w:rPr>
                <w:rFonts w:eastAsia="Times New Roman" w:cs="Arial"/>
                <w:b/>
                <w:bCs/>
                <w:szCs w:val="24"/>
                <w:vertAlign w:val="superscript"/>
                <w:lang w:eastAsia="de-DE"/>
              </w:rPr>
              <w:t>+</w:t>
            </w:r>
          </w:p>
        </w:tc>
        <w:tc>
          <w:tcPr>
            <w:tcW w:w="1701" w:type="dxa"/>
            <w:shd w:val="clear" w:color="auto" w:fill="C7C7C7" w:themeFill="background2" w:themeFillShade="E6"/>
            <w:hideMark/>
          </w:tcPr>
          <w:p w:rsidR="00602491" w:rsidRPr="00602491" w:rsidRDefault="00602491" w:rsidP="00602491">
            <w:pPr>
              <w:spacing w:before="0"/>
              <w:jc w:val="center"/>
              <w:rPr>
                <w:rFonts w:ascii="Times New Roman" w:eastAsia="Times New Roman" w:hAnsi="Times New Roman" w:cs="Times New Roman"/>
                <w:szCs w:val="24"/>
                <w:lang w:eastAsia="de-DE"/>
              </w:rPr>
            </w:pPr>
            <w:r w:rsidRPr="00602491">
              <w:rPr>
                <w:rFonts w:eastAsia="Times New Roman" w:cs="Arial"/>
                <w:b/>
                <w:bCs/>
                <w:szCs w:val="24"/>
                <w:lang w:eastAsia="de-DE"/>
              </w:rPr>
              <w:t>t</w:t>
            </w:r>
            <w:r w:rsidRPr="00602491">
              <w:rPr>
                <w:rFonts w:eastAsia="Times New Roman" w:cs="Arial"/>
                <w:b/>
                <w:bCs/>
                <w:szCs w:val="24"/>
                <w:vertAlign w:val="superscript"/>
                <w:lang w:eastAsia="de-DE"/>
              </w:rPr>
              <w:t>-</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KCl</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0,496</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0,504</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NH</w:t>
            </w:r>
            <w:r w:rsidRPr="00602491">
              <w:rPr>
                <w:rFonts w:eastAsia="Times New Roman" w:cs="Arial"/>
                <w:szCs w:val="24"/>
                <w:vertAlign w:val="subscript"/>
                <w:lang w:eastAsia="de-DE"/>
              </w:rPr>
              <w:t>4</w:t>
            </w:r>
            <w:r w:rsidRPr="00602491">
              <w:rPr>
                <w:rFonts w:eastAsia="Times New Roman" w:cs="Arial"/>
                <w:szCs w:val="24"/>
                <w:lang w:eastAsia="de-DE"/>
              </w:rPr>
              <w:t>Cl</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0,491</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0,509</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HCl</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0,821</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0,179</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KOH</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0,274</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0,726</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NaCl</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0,396</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0,604</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proofErr w:type="spellStart"/>
            <w:r w:rsidRPr="00602491">
              <w:rPr>
                <w:rFonts w:eastAsia="Times New Roman" w:cs="Arial"/>
                <w:szCs w:val="24"/>
                <w:lang w:eastAsia="de-DE"/>
              </w:rPr>
              <w:t>LiCl</w:t>
            </w:r>
            <w:proofErr w:type="spellEnd"/>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0,337</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0,663</w:t>
            </w:r>
          </w:p>
        </w:tc>
      </w:tr>
      <w:tr w:rsidR="00602491" w:rsidRPr="00602491" w:rsidTr="00602491">
        <w:trPr>
          <w:jc w:val="center"/>
        </w:trPr>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CuSO</w:t>
            </w:r>
            <w:r w:rsidRPr="00602491">
              <w:rPr>
                <w:rFonts w:eastAsia="Times New Roman" w:cs="Arial"/>
                <w:szCs w:val="24"/>
                <w:vertAlign w:val="subscript"/>
                <w:lang w:eastAsia="de-DE"/>
              </w:rPr>
              <w:t>4</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0,375</w:t>
            </w:r>
          </w:p>
        </w:tc>
        <w:tc>
          <w:tcPr>
            <w:tcW w:w="1701" w:type="dxa"/>
            <w:hideMark/>
          </w:tcPr>
          <w:p w:rsidR="00602491" w:rsidRPr="00602491" w:rsidRDefault="00602491" w:rsidP="00602491">
            <w:pPr>
              <w:spacing w:before="0"/>
              <w:jc w:val="left"/>
              <w:rPr>
                <w:rFonts w:ascii="Times New Roman" w:eastAsia="Times New Roman" w:hAnsi="Times New Roman" w:cs="Times New Roman"/>
                <w:szCs w:val="24"/>
                <w:lang w:eastAsia="de-DE"/>
              </w:rPr>
            </w:pPr>
            <w:r w:rsidRPr="00602491">
              <w:rPr>
                <w:rFonts w:eastAsia="Times New Roman" w:cs="Arial"/>
                <w:szCs w:val="24"/>
                <w:lang w:eastAsia="de-DE"/>
              </w:rPr>
              <w:t>0,625</w:t>
            </w:r>
          </w:p>
        </w:tc>
      </w:tr>
    </w:tbl>
    <w:p w:rsidR="009077F8" w:rsidRDefault="00602491" w:rsidP="009077F8">
      <w:r>
        <w:rPr>
          <w:rFonts w:cs="Arial"/>
        </w:rPr>
        <w:t>Das Diffusionspotential verschwindet, wenn die Ionen, aus denen die Salz-Brücke besteht, nahezu die gleiche Überführungszahl besitzen. Deswegen wird meist KCl verwendet.</w:t>
      </w:r>
    </w:p>
    <w:p w:rsidR="009077F8" w:rsidRDefault="00602491" w:rsidP="00602491">
      <w:pPr>
        <w:pStyle w:val="berschrift2"/>
      </w:pPr>
      <w:bookmarkStart w:id="5" w:name="_Toc47079450"/>
      <w:r>
        <w:t>Ionische Vorgänge an und in einer Salz-Brücke</w:t>
      </w:r>
      <w:bookmarkEnd w:id="5"/>
    </w:p>
    <w:p w:rsidR="00602491" w:rsidRDefault="00602491" w:rsidP="00602491">
      <w:r>
        <w:t xml:space="preserve">Am Beispiel des Daniell-Elements sollen die Ionen-Vorgänge beschrieben werden. Die linke Halbzelle besteht dabei aus einer Zink-Anode, die in eine Kupfersulfat-Lösung eintaucht. Die Kupfer-Kathode auf der rechten Seite taucht dementsprechend in eine Kupfersulfat-Lösung ein. </w:t>
      </w:r>
    </w:p>
    <w:p w:rsidR="00C81C15" w:rsidRDefault="00602491" w:rsidP="00602491">
      <w:r>
        <w:t>Die bei der Oxidation von Zink zu Zn</w:t>
      </w:r>
      <w:r>
        <w:rPr>
          <w:vertAlign w:val="superscript"/>
        </w:rPr>
        <w:t>2+</w:t>
      </w:r>
      <w:r>
        <w:t xml:space="preserve"> an der Anode entstandenen Elektronen fließen zur Kathode, wodurch die Reduktion von Kupfer zu Cu</w:t>
      </w:r>
      <w:r>
        <w:rPr>
          <w:vertAlign w:val="superscript"/>
        </w:rPr>
        <w:t>2+</w:t>
      </w:r>
      <w:r>
        <w:t xml:space="preserve"> erfolgen kann. Damit dieser Elektronen-Übergang mit dem Lauf der Zeit nicht zusammenbricht, wir eine KCl-Salzbrücke zum Ionen-Ausgleich eingesetzt. </w:t>
      </w:r>
    </w:p>
    <w:p w:rsidR="00C81C15" w:rsidRDefault="00C81C15">
      <w:pPr>
        <w:spacing w:before="0"/>
        <w:jc w:val="left"/>
      </w:pPr>
      <w:r>
        <w:br w:type="page"/>
      </w:r>
    </w:p>
    <w:p w:rsidR="00602491" w:rsidRDefault="00602491" w:rsidP="00602491">
      <w:pPr>
        <w:pStyle w:val="Bilder"/>
      </w:pPr>
      <w:r>
        <w:rPr>
          <w:lang w:eastAsia="de-DE"/>
        </w:rPr>
        <w:drawing>
          <wp:inline distT="0" distB="0" distL="0" distR="0" wp14:anchorId="0DBA89C7">
            <wp:extent cx="3976774" cy="288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6774" cy="2880000"/>
                    </a:xfrm>
                    <a:prstGeom prst="rect">
                      <a:avLst/>
                    </a:prstGeom>
                    <a:noFill/>
                  </pic:spPr>
                </pic:pic>
              </a:graphicData>
            </a:graphic>
          </wp:inline>
        </w:drawing>
      </w:r>
    </w:p>
    <w:p w:rsidR="00602491" w:rsidRDefault="00602491" w:rsidP="00602491">
      <w:pPr>
        <w:pStyle w:val="Bilder"/>
      </w:pPr>
      <w:r>
        <w:rPr>
          <w:lang w:eastAsia="de-DE"/>
        </w:rPr>
        <w:drawing>
          <wp:inline distT="0" distB="0" distL="0" distR="0" wp14:anchorId="0DADE60C">
            <wp:extent cx="1965524" cy="720000"/>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5524" cy="720000"/>
                    </a:xfrm>
                    <a:prstGeom prst="rect">
                      <a:avLst/>
                    </a:prstGeom>
                    <a:noFill/>
                  </pic:spPr>
                </pic:pic>
              </a:graphicData>
            </a:graphic>
          </wp:inline>
        </w:drawing>
      </w:r>
    </w:p>
    <w:p w:rsidR="00602491" w:rsidRDefault="00602491" w:rsidP="00602491">
      <w:pPr>
        <w:pStyle w:val="Beschriftung"/>
      </w:pPr>
      <w:bookmarkStart w:id="6" w:name="_Ref47079247"/>
      <w:r>
        <w:t xml:space="preserve">Abb. </w:t>
      </w:r>
      <w:r w:rsidR="00C81C15">
        <w:fldChar w:fldCharType="begin"/>
      </w:r>
      <w:r w:rsidR="00C81C15">
        <w:instrText xml:space="preserve"> SEQ Abb. \* ARABIC </w:instrText>
      </w:r>
      <w:r w:rsidR="00C81C15">
        <w:fldChar w:fldCharType="separate"/>
      </w:r>
      <w:r w:rsidR="00C81C15">
        <w:rPr>
          <w:noProof/>
        </w:rPr>
        <w:t>3</w:t>
      </w:r>
      <w:r w:rsidR="00C81C15">
        <w:rPr>
          <w:noProof/>
        </w:rPr>
        <w:fldChar w:fldCharType="end"/>
      </w:r>
      <w:bookmarkEnd w:id="6"/>
      <w:r>
        <w:t>: Daniell-Element</w:t>
      </w:r>
    </w:p>
    <w:p w:rsidR="00602491" w:rsidRDefault="00602491" w:rsidP="00602491">
      <w:pPr>
        <w:rPr>
          <w:rFonts w:cs="Arial"/>
        </w:rPr>
      </w:pPr>
      <w:r>
        <w:rPr>
          <w:rFonts w:cs="Arial"/>
        </w:rPr>
        <w:t>Durch das durch die Zink-Oxidation entstandene Zn</w:t>
      </w:r>
      <w:r>
        <w:rPr>
          <w:rFonts w:cs="Arial"/>
          <w:vertAlign w:val="superscript"/>
        </w:rPr>
        <w:t>2+</w:t>
      </w:r>
      <w:r>
        <w:rPr>
          <w:rFonts w:cs="Arial"/>
        </w:rPr>
        <w:t xml:space="preserve"> an der Anode würde die Lösung positiv geladen sein. Der Ladungsausgleich findet durch 2 Cl</w:t>
      </w:r>
      <w:r>
        <w:rPr>
          <w:rFonts w:cs="Arial"/>
          <w:vertAlign w:val="superscript"/>
        </w:rPr>
        <w:t>-</w:t>
      </w:r>
      <w:r>
        <w:rPr>
          <w:rFonts w:cs="Arial"/>
        </w:rPr>
        <w:t>, die sich in der Salzbrücke befinden, statt.</w:t>
      </w:r>
    </w:p>
    <w:p w:rsidR="004D3553" w:rsidRDefault="004D3553" w:rsidP="004D3553">
      <w:pPr>
        <w:pStyle w:val="Bilder"/>
      </w:pPr>
      <w:r>
        <w:rPr>
          <w:lang w:eastAsia="de-DE"/>
        </w:rPr>
        <w:drawing>
          <wp:inline distT="0" distB="0" distL="0" distR="0" wp14:anchorId="6F6A6E57">
            <wp:extent cx="1800000" cy="1720977"/>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720977"/>
                    </a:xfrm>
                    <a:prstGeom prst="rect">
                      <a:avLst/>
                    </a:prstGeom>
                    <a:noFill/>
                  </pic:spPr>
                </pic:pic>
              </a:graphicData>
            </a:graphic>
          </wp:inline>
        </w:drawing>
      </w:r>
      <w:r>
        <w:tab/>
      </w:r>
      <w:r>
        <w:rPr>
          <w:lang w:eastAsia="de-DE"/>
        </w:rPr>
        <w:drawing>
          <wp:inline distT="0" distB="0" distL="0" distR="0" wp14:anchorId="1BD18997">
            <wp:extent cx="2025345" cy="18000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345" cy="1800000"/>
                    </a:xfrm>
                    <a:prstGeom prst="rect">
                      <a:avLst/>
                    </a:prstGeom>
                    <a:noFill/>
                  </pic:spPr>
                </pic:pic>
              </a:graphicData>
            </a:graphic>
          </wp:inline>
        </w:drawing>
      </w:r>
    </w:p>
    <w:p w:rsidR="004D3553" w:rsidRDefault="004D3553" w:rsidP="004D3553">
      <w:pPr>
        <w:pStyle w:val="Beschriftung"/>
      </w:pPr>
      <w:r>
        <w:t xml:space="preserve">Abb. </w:t>
      </w:r>
      <w:r w:rsidR="00C81C15">
        <w:fldChar w:fldCharType="begin"/>
      </w:r>
      <w:r w:rsidR="00C81C15">
        <w:instrText xml:space="preserve"> SEQ Abb. \* ARABIC </w:instrText>
      </w:r>
      <w:r w:rsidR="00C81C15">
        <w:fldChar w:fldCharType="separate"/>
      </w:r>
      <w:r w:rsidR="00C81C15">
        <w:rPr>
          <w:noProof/>
        </w:rPr>
        <w:t>4</w:t>
      </w:r>
      <w:r w:rsidR="00C81C15">
        <w:rPr>
          <w:noProof/>
        </w:rPr>
        <w:fldChar w:fldCharType="end"/>
      </w:r>
      <w:r>
        <w:t xml:space="preserve">: Ionische Vorgänge auf der Anoden-Seite. Die </w:t>
      </w:r>
      <w:proofErr w:type="spellStart"/>
      <w:r>
        <w:t>Zn</w:t>
      </w:r>
      <w:proofErr w:type="spellEnd"/>
      <w:r>
        <w:t>-Anode taucht in eine ZnSO</w:t>
      </w:r>
      <w:r>
        <w:rPr>
          <w:vertAlign w:val="subscript"/>
        </w:rPr>
        <w:t>4</w:t>
      </w:r>
      <w:r>
        <w:t xml:space="preserve">-Löung. Rechts ist die Salz-Brücke angedeutet (Legende siehe </w:t>
      </w:r>
      <w:r>
        <w:fldChar w:fldCharType="begin"/>
      </w:r>
      <w:r>
        <w:instrText xml:space="preserve"> REF _Ref47079247 \h </w:instrText>
      </w:r>
      <w:r>
        <w:fldChar w:fldCharType="separate"/>
      </w:r>
      <w:r w:rsidR="00C81C15">
        <w:t xml:space="preserve">Abb. </w:t>
      </w:r>
      <w:r w:rsidR="00C81C15">
        <w:rPr>
          <w:noProof/>
        </w:rPr>
        <w:t>3</w:t>
      </w:r>
      <w:r>
        <w:fldChar w:fldCharType="end"/>
      </w:r>
      <w:r>
        <w:t>)</w:t>
      </w:r>
    </w:p>
    <w:p w:rsidR="004D3553" w:rsidRDefault="004D3553" w:rsidP="004D3553">
      <w:r>
        <w:t>Auf der Kathoden-Seite erfolgt durch zwei Elektronen aus der Anoden-Reaktion, die Reduktion des Kupfers. Durch den "Wegfall" zweier positiver Ladungen in Form von Cu</w:t>
      </w:r>
      <w:r>
        <w:rPr>
          <w:vertAlign w:val="superscript"/>
        </w:rPr>
        <w:t>2+</w:t>
      </w:r>
      <w:r>
        <w:t xml:space="preserve"> können zwei K</w:t>
      </w:r>
      <w:r>
        <w:rPr>
          <w:vertAlign w:val="superscript"/>
        </w:rPr>
        <w:t>+</w:t>
      </w:r>
      <w:r>
        <w:t xml:space="preserve"> aus der Salz-Brücke für den Ladungsausgleich sorgen. Der Ausgleich erfolgt nicht durch die zur Kathode wandernden Zn</w:t>
      </w:r>
      <w:r>
        <w:rPr>
          <w:vertAlign w:val="superscript"/>
        </w:rPr>
        <w:t>2+</w:t>
      </w:r>
      <w:r>
        <w:t xml:space="preserve">, da diese aufgrund ihrer chemischen Natur langsamer sind als </w:t>
      </w:r>
      <w:r w:rsidR="00C81C15">
        <w:t xml:space="preserve">die </w:t>
      </w:r>
      <w:r>
        <w:t>Ka</w:t>
      </w:r>
      <w:r w:rsidR="00C81C15">
        <w:t>lium-Kati</w:t>
      </w:r>
      <w:r>
        <w:t>onen [</w:t>
      </w:r>
      <w:r>
        <w:fldChar w:fldCharType="begin"/>
      </w:r>
      <w:r>
        <w:instrText xml:space="preserve"> REF _Ref47078278 \r \h </w:instrText>
      </w:r>
      <w:r>
        <w:fldChar w:fldCharType="separate"/>
      </w:r>
      <w:r w:rsidR="00C81C15">
        <w:t>2</w:t>
      </w:r>
      <w:r>
        <w:fldChar w:fldCharType="end"/>
      </w:r>
      <w:r>
        <w:t xml:space="preserve">, </w:t>
      </w:r>
      <w:r>
        <w:fldChar w:fldCharType="begin"/>
      </w:r>
      <w:r>
        <w:instrText xml:space="preserve"> REF _Ref47078283 \r \h </w:instrText>
      </w:r>
      <w:r>
        <w:fldChar w:fldCharType="separate"/>
      </w:r>
      <w:r w:rsidR="00C81C15">
        <w:t>3</w:t>
      </w:r>
      <w:r>
        <w:fldChar w:fldCharType="end"/>
      </w:r>
      <w:r>
        <w:t xml:space="preserve">, </w:t>
      </w:r>
      <w:r>
        <w:fldChar w:fldCharType="begin"/>
      </w:r>
      <w:r>
        <w:instrText xml:space="preserve"> REF _Ref47078288 \r \h </w:instrText>
      </w:r>
      <w:r>
        <w:fldChar w:fldCharType="separate"/>
      </w:r>
      <w:r w:rsidR="00C81C15">
        <w:t>4</w:t>
      </w:r>
      <w:r>
        <w:fldChar w:fldCharType="end"/>
      </w:r>
      <w:r>
        <w:t xml:space="preserve">, </w:t>
      </w:r>
      <w:r>
        <w:fldChar w:fldCharType="begin"/>
      </w:r>
      <w:r>
        <w:instrText xml:space="preserve"> REF _Ref47078295 \r \h </w:instrText>
      </w:r>
      <w:r>
        <w:fldChar w:fldCharType="separate"/>
      </w:r>
      <w:r w:rsidR="00C81C15">
        <w:t>5</w:t>
      </w:r>
      <w:r>
        <w:fldChar w:fldCharType="end"/>
      </w:r>
      <w:r>
        <w:t>].</w:t>
      </w:r>
    </w:p>
    <w:p w:rsidR="004D3553" w:rsidRDefault="004D3553" w:rsidP="004D3553">
      <w:pPr>
        <w:pStyle w:val="Bilder"/>
      </w:pPr>
      <w:r>
        <w:rPr>
          <w:lang w:eastAsia="de-DE"/>
        </w:rPr>
        <w:drawing>
          <wp:inline distT="0" distB="0" distL="0" distR="0" wp14:anchorId="78929BFF">
            <wp:extent cx="2025345" cy="18000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5345" cy="1800000"/>
                    </a:xfrm>
                    <a:prstGeom prst="rect">
                      <a:avLst/>
                    </a:prstGeom>
                    <a:noFill/>
                  </pic:spPr>
                </pic:pic>
              </a:graphicData>
            </a:graphic>
          </wp:inline>
        </w:drawing>
      </w:r>
      <w:r>
        <w:tab/>
      </w:r>
      <w:r>
        <w:rPr>
          <w:lang w:eastAsia="de-DE"/>
        </w:rPr>
        <w:drawing>
          <wp:inline distT="0" distB="0" distL="0" distR="0" wp14:anchorId="253989A7">
            <wp:extent cx="2025345" cy="18000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25345" cy="1800000"/>
                    </a:xfrm>
                    <a:prstGeom prst="rect">
                      <a:avLst/>
                    </a:prstGeom>
                    <a:noFill/>
                  </pic:spPr>
                </pic:pic>
              </a:graphicData>
            </a:graphic>
          </wp:inline>
        </w:drawing>
      </w:r>
    </w:p>
    <w:p w:rsidR="004D3553" w:rsidRDefault="004D3553" w:rsidP="004D3553">
      <w:pPr>
        <w:pStyle w:val="Beschriftung"/>
        <w:rPr>
          <w:b/>
          <w:bCs/>
        </w:rPr>
      </w:pPr>
      <w:r>
        <w:t xml:space="preserve">Abb. </w:t>
      </w:r>
      <w:r w:rsidR="00C81C15">
        <w:fldChar w:fldCharType="begin"/>
      </w:r>
      <w:r w:rsidR="00C81C15">
        <w:instrText xml:space="preserve"> SEQ Abb. \* ARABIC </w:instrText>
      </w:r>
      <w:r w:rsidR="00C81C15">
        <w:fldChar w:fldCharType="separate"/>
      </w:r>
      <w:r w:rsidR="00C81C15">
        <w:rPr>
          <w:noProof/>
        </w:rPr>
        <w:t>5</w:t>
      </w:r>
      <w:r w:rsidR="00C81C15">
        <w:rPr>
          <w:noProof/>
        </w:rPr>
        <w:fldChar w:fldCharType="end"/>
      </w:r>
      <w:r>
        <w:t xml:space="preserve">: </w:t>
      </w:r>
      <w:r>
        <w:rPr>
          <w:rFonts w:cs="Arial"/>
        </w:rPr>
        <w:t>Ionische Vorgänge auf der Kathodensite. Links ist ein Ausschnitt der Salz-Brücke dargestellt, rechts die Kupfer-Kathode, die in eine CuSO</w:t>
      </w:r>
      <w:r>
        <w:rPr>
          <w:rFonts w:cs="Arial"/>
          <w:vertAlign w:val="subscript"/>
        </w:rPr>
        <w:t>4</w:t>
      </w:r>
      <w:r>
        <w:rPr>
          <w:rFonts w:cs="Arial"/>
        </w:rPr>
        <w:t>-Lösung taucht.</w:t>
      </w:r>
      <w:r>
        <w:rPr>
          <w:rFonts w:cs="Arial"/>
        </w:rPr>
        <w:br/>
        <w:t xml:space="preserve">(Legende siehe </w:t>
      </w:r>
      <w:r>
        <w:rPr>
          <w:rFonts w:cs="Arial"/>
        </w:rPr>
        <w:fldChar w:fldCharType="begin"/>
      </w:r>
      <w:r>
        <w:rPr>
          <w:rFonts w:cs="Arial"/>
        </w:rPr>
        <w:instrText xml:space="preserve"> REF _Ref47079247 \h </w:instrText>
      </w:r>
      <w:r>
        <w:rPr>
          <w:rFonts w:cs="Arial"/>
        </w:rPr>
      </w:r>
      <w:r>
        <w:rPr>
          <w:rFonts w:cs="Arial"/>
        </w:rPr>
        <w:fldChar w:fldCharType="separate"/>
      </w:r>
      <w:r w:rsidR="00C81C15">
        <w:t xml:space="preserve">Abb. </w:t>
      </w:r>
      <w:r w:rsidR="00C81C15">
        <w:rPr>
          <w:noProof/>
        </w:rPr>
        <w:t>3</w:t>
      </w:r>
      <w:r>
        <w:rPr>
          <w:rFonts w:cs="Arial"/>
        </w:rPr>
        <w:fldChar w:fldCharType="end"/>
      </w:r>
      <w:r>
        <w:rPr>
          <w:rFonts w:cs="Arial"/>
        </w:rPr>
        <w:t>).</w:t>
      </w:r>
    </w:p>
    <w:p w:rsidR="00C81C15" w:rsidRDefault="00C81C15" w:rsidP="00C81C15">
      <w:pPr>
        <w:pStyle w:val="Zusammenfassung"/>
      </w:pPr>
      <w:r w:rsidRPr="00C81C15">
        <w:rPr>
          <w:b/>
        </w:rPr>
        <w:t>Zusammenfassung</w:t>
      </w:r>
      <w:r>
        <w:t>: fehlt.</w:t>
      </w:r>
    </w:p>
    <w:p w:rsidR="00C81C15" w:rsidRPr="00C81C15" w:rsidRDefault="00C81C15" w:rsidP="00C81C15"/>
    <w:p w:rsidR="00C81C15" w:rsidRDefault="00C81C15" w:rsidP="00C81C15">
      <w:pPr>
        <w:pStyle w:val="EinstiegAbschluss"/>
      </w:pPr>
      <w:r w:rsidRPr="00C81C15">
        <w:rPr>
          <w:b/>
        </w:rPr>
        <w:t>Abschluss</w:t>
      </w:r>
      <w:r>
        <w:t>: fehlt.</w:t>
      </w:r>
    </w:p>
    <w:p w:rsidR="00C81C15" w:rsidRDefault="00C81C15" w:rsidP="00C81C15">
      <w:bookmarkStart w:id="7" w:name="_GoBack"/>
      <w:bookmarkEnd w:id="7"/>
    </w:p>
    <w:p w:rsidR="00931B30" w:rsidRPr="000E61E0" w:rsidRDefault="00931B30" w:rsidP="00931B30">
      <w:pPr>
        <w:rPr>
          <w:b/>
          <w:bCs/>
        </w:rPr>
      </w:pPr>
      <w:r w:rsidRPr="000E61E0">
        <w:rPr>
          <w:b/>
          <w:bCs/>
        </w:rPr>
        <w:t>Quellen:</w:t>
      </w:r>
    </w:p>
    <w:p w:rsidR="007864C5" w:rsidRPr="007864C5" w:rsidRDefault="007864C5" w:rsidP="007864C5">
      <w:pPr>
        <w:pStyle w:val="AufzhlungStandard"/>
        <w:rPr>
          <w:lang w:eastAsia="de-DE"/>
        </w:rPr>
      </w:pPr>
      <w:bookmarkStart w:id="8" w:name="_Ref47077124"/>
      <w:proofErr w:type="spellStart"/>
      <w:r w:rsidRPr="007864C5">
        <w:rPr>
          <w:lang w:eastAsia="de-DE"/>
        </w:rPr>
        <w:t>Gelius</w:t>
      </w:r>
      <w:proofErr w:type="spellEnd"/>
      <w:r w:rsidRPr="007864C5">
        <w:rPr>
          <w:lang w:eastAsia="de-DE"/>
        </w:rPr>
        <w:t>, Rolf: Historische Experimente in Chemie und chemischer Technik. ChiuZ, Heft 4, 1997, S. 162-167.</w:t>
      </w:r>
      <w:bookmarkEnd w:id="8"/>
    </w:p>
    <w:p w:rsidR="007864C5" w:rsidRPr="007864C5" w:rsidRDefault="007864C5" w:rsidP="007864C5">
      <w:pPr>
        <w:pStyle w:val="AufzhlungStandard"/>
        <w:rPr>
          <w:lang w:eastAsia="de-DE"/>
        </w:rPr>
      </w:pPr>
      <w:bookmarkStart w:id="9" w:name="_Ref47078278"/>
      <w:r w:rsidRPr="007864C5">
        <w:rPr>
          <w:lang w:eastAsia="de-DE"/>
        </w:rPr>
        <w:t>Hamann, Carl H. &amp; Vielstich, Wolf: Elektrochemie, Wiley/VCH Verlag, Weinheim, 1998.</w:t>
      </w:r>
      <w:bookmarkEnd w:id="9"/>
    </w:p>
    <w:p w:rsidR="007864C5" w:rsidRPr="007864C5" w:rsidRDefault="007864C5" w:rsidP="007864C5">
      <w:pPr>
        <w:pStyle w:val="AufzhlungStandard"/>
        <w:rPr>
          <w:lang w:eastAsia="de-DE"/>
        </w:rPr>
      </w:pPr>
      <w:bookmarkStart w:id="10" w:name="_Ref47078283"/>
      <w:r w:rsidRPr="007864C5">
        <w:rPr>
          <w:lang w:eastAsia="de-DE"/>
        </w:rPr>
        <w:t>Bergmann, Ludwig &amp; Schaefer, Clemens: Lehrbuch der Experimentalphysik, de Gruyter, Berlin, 2006.</w:t>
      </w:r>
      <w:bookmarkEnd w:id="10"/>
      <w:r w:rsidRPr="007864C5">
        <w:rPr>
          <w:lang w:eastAsia="de-DE"/>
        </w:rPr>
        <w:t xml:space="preserve"> </w:t>
      </w:r>
    </w:p>
    <w:p w:rsidR="007864C5" w:rsidRPr="007864C5" w:rsidRDefault="007864C5" w:rsidP="007864C5">
      <w:pPr>
        <w:pStyle w:val="AufzhlungStandard"/>
        <w:rPr>
          <w:lang w:eastAsia="de-DE"/>
        </w:rPr>
      </w:pPr>
      <w:bookmarkStart w:id="11" w:name="_Ref47078288"/>
      <w:r w:rsidRPr="007864C5">
        <w:rPr>
          <w:lang w:eastAsia="de-DE"/>
        </w:rPr>
        <w:t>Atkins, Peter W. &amp; de Paula, Julio: Physikalische Chemie, Wiley/VCH, Weinheim, 2006.</w:t>
      </w:r>
      <w:bookmarkEnd w:id="11"/>
    </w:p>
    <w:p w:rsidR="007864C5" w:rsidRPr="007864C5" w:rsidRDefault="007864C5" w:rsidP="007864C5">
      <w:pPr>
        <w:pStyle w:val="AufzhlungStandard"/>
        <w:rPr>
          <w:lang w:eastAsia="de-DE"/>
        </w:rPr>
      </w:pPr>
      <w:bookmarkStart w:id="12" w:name="_Ref47078295"/>
      <w:r w:rsidRPr="007864C5">
        <w:rPr>
          <w:lang w:eastAsia="de-DE"/>
        </w:rPr>
        <w:t>Wedler, Gerd: Lehrbuch der Physikalischen Chemie, Wiley/VCH, Weinheim, 2004.</w:t>
      </w:r>
      <w:bookmarkEnd w:id="12"/>
    </w:p>
    <w:sectPr w:rsidR="007864C5" w:rsidRPr="007864C5" w:rsidSect="00931B30">
      <w:footerReference w:type="default" r:id="rId18"/>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491" w:rsidRDefault="00602491" w:rsidP="005A7DCE">
      <w:pPr>
        <w:spacing w:before="0"/>
      </w:pPr>
      <w:r>
        <w:separator/>
      </w:r>
    </w:p>
  </w:endnote>
  <w:endnote w:type="continuationSeparator" w:id="0">
    <w:p w:rsidR="00602491" w:rsidRDefault="0060249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602491" w:rsidRDefault="00602491">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602491" w:rsidRDefault="00602491">
        <w:pPr>
          <w:pStyle w:val="Fuzeile"/>
          <w:jc w:val="center"/>
        </w:pPr>
        <w:r>
          <w:fldChar w:fldCharType="begin"/>
        </w:r>
        <w:r>
          <w:instrText>PAGE    \* MERGEFORMAT</w:instrText>
        </w:r>
        <w:r>
          <w:fldChar w:fldCharType="separate"/>
        </w:r>
        <w:r w:rsidR="00C81C15">
          <w:rPr>
            <w:noProof/>
          </w:rPr>
          <w:t>4</w:t>
        </w:r>
        <w:r>
          <w:fldChar w:fldCharType="end"/>
        </w:r>
      </w:p>
    </w:sdtContent>
  </w:sdt>
  <w:p w:rsidR="00602491" w:rsidRDefault="006024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491" w:rsidRDefault="00602491" w:rsidP="005A7DCE">
      <w:pPr>
        <w:spacing w:before="0"/>
      </w:pPr>
      <w:r>
        <w:separator/>
      </w:r>
    </w:p>
  </w:footnote>
  <w:footnote w:type="continuationSeparator" w:id="0">
    <w:p w:rsidR="00602491" w:rsidRDefault="0060249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6E20183B"/>
    <w:multiLevelType w:val="multilevel"/>
    <w:tmpl w:val="A9A4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33663A"/>
    <w:rsid w:val="0036111E"/>
    <w:rsid w:val="004D0FAE"/>
    <w:rsid w:val="004D3553"/>
    <w:rsid w:val="005633FE"/>
    <w:rsid w:val="0058690D"/>
    <w:rsid w:val="005A7DCE"/>
    <w:rsid w:val="005B20AC"/>
    <w:rsid w:val="00602491"/>
    <w:rsid w:val="006C46BC"/>
    <w:rsid w:val="007161D1"/>
    <w:rsid w:val="00783295"/>
    <w:rsid w:val="007864C5"/>
    <w:rsid w:val="007B2C80"/>
    <w:rsid w:val="007F18E1"/>
    <w:rsid w:val="008117E4"/>
    <w:rsid w:val="00825BFE"/>
    <w:rsid w:val="00850560"/>
    <w:rsid w:val="00883728"/>
    <w:rsid w:val="008A524D"/>
    <w:rsid w:val="009077F8"/>
    <w:rsid w:val="00931B30"/>
    <w:rsid w:val="00945ED7"/>
    <w:rsid w:val="009710A6"/>
    <w:rsid w:val="00A21130"/>
    <w:rsid w:val="00A5383F"/>
    <w:rsid w:val="00AA5678"/>
    <w:rsid w:val="00AA5D66"/>
    <w:rsid w:val="00AB7E4B"/>
    <w:rsid w:val="00AE53F0"/>
    <w:rsid w:val="00AF7672"/>
    <w:rsid w:val="00C47CC6"/>
    <w:rsid w:val="00C6611D"/>
    <w:rsid w:val="00C81C15"/>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D6CB7B"/>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864C5"/>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table" w:styleId="Tabellenraster">
    <w:name w:val="Table Grid"/>
    <w:basedOn w:val="NormaleTabelle"/>
    <w:uiPriority w:val="39"/>
    <w:rsid w:val="00602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3758">
      <w:bodyDiv w:val="1"/>
      <w:marLeft w:val="0"/>
      <w:marRight w:val="0"/>
      <w:marTop w:val="0"/>
      <w:marBottom w:val="0"/>
      <w:divBdr>
        <w:top w:val="none" w:sz="0" w:space="0" w:color="auto"/>
        <w:left w:val="none" w:sz="0" w:space="0" w:color="auto"/>
        <w:bottom w:val="none" w:sz="0" w:space="0" w:color="auto"/>
        <w:right w:val="none" w:sz="0" w:space="0" w:color="auto"/>
      </w:divBdr>
    </w:div>
    <w:div w:id="297734755">
      <w:bodyDiv w:val="1"/>
      <w:marLeft w:val="0"/>
      <w:marRight w:val="0"/>
      <w:marTop w:val="0"/>
      <w:marBottom w:val="0"/>
      <w:divBdr>
        <w:top w:val="none" w:sz="0" w:space="0" w:color="auto"/>
        <w:left w:val="none" w:sz="0" w:space="0" w:color="auto"/>
        <w:bottom w:val="none" w:sz="0" w:space="0" w:color="auto"/>
        <w:right w:val="none" w:sz="0" w:space="0" w:color="auto"/>
      </w:divBdr>
    </w:div>
    <w:div w:id="298538537">
      <w:bodyDiv w:val="1"/>
      <w:marLeft w:val="0"/>
      <w:marRight w:val="0"/>
      <w:marTop w:val="0"/>
      <w:marBottom w:val="0"/>
      <w:divBdr>
        <w:top w:val="none" w:sz="0" w:space="0" w:color="auto"/>
        <w:left w:val="none" w:sz="0" w:space="0" w:color="auto"/>
        <w:bottom w:val="none" w:sz="0" w:space="0" w:color="auto"/>
        <w:right w:val="none" w:sz="0" w:space="0" w:color="auto"/>
      </w:divBdr>
    </w:div>
    <w:div w:id="314916975">
      <w:bodyDiv w:val="1"/>
      <w:marLeft w:val="0"/>
      <w:marRight w:val="0"/>
      <w:marTop w:val="0"/>
      <w:marBottom w:val="0"/>
      <w:divBdr>
        <w:top w:val="none" w:sz="0" w:space="0" w:color="auto"/>
        <w:left w:val="none" w:sz="0" w:space="0" w:color="auto"/>
        <w:bottom w:val="none" w:sz="0" w:space="0" w:color="auto"/>
        <w:right w:val="none" w:sz="0" w:space="0" w:color="auto"/>
      </w:divBdr>
    </w:div>
    <w:div w:id="751968586">
      <w:bodyDiv w:val="1"/>
      <w:marLeft w:val="0"/>
      <w:marRight w:val="0"/>
      <w:marTop w:val="0"/>
      <w:marBottom w:val="0"/>
      <w:divBdr>
        <w:top w:val="none" w:sz="0" w:space="0" w:color="auto"/>
        <w:left w:val="none" w:sz="0" w:space="0" w:color="auto"/>
        <w:bottom w:val="none" w:sz="0" w:space="0" w:color="auto"/>
        <w:right w:val="none" w:sz="0" w:space="0" w:color="auto"/>
      </w:divBdr>
    </w:div>
    <w:div w:id="1168400965">
      <w:bodyDiv w:val="1"/>
      <w:marLeft w:val="0"/>
      <w:marRight w:val="0"/>
      <w:marTop w:val="0"/>
      <w:marBottom w:val="0"/>
      <w:divBdr>
        <w:top w:val="none" w:sz="0" w:space="0" w:color="auto"/>
        <w:left w:val="none" w:sz="0" w:space="0" w:color="auto"/>
        <w:bottom w:val="none" w:sz="0" w:space="0" w:color="auto"/>
        <w:right w:val="none" w:sz="0" w:space="0" w:color="auto"/>
      </w:divBdr>
    </w:div>
    <w:div w:id="20077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4E4B-20B8-472F-8D67-70E64F0E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ADB153D1.dotm</Template>
  <TotalTime>0</TotalTime>
  <Pages>5</Pages>
  <Words>1007</Words>
  <Characters>6349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2020-08-14T12:07:00Z</cp:lastPrinted>
  <dcterms:created xsi:type="dcterms:W3CDTF">2020-07-31T06:33:00Z</dcterms:created>
  <dcterms:modified xsi:type="dcterms:W3CDTF">2020-08-14T12:07:00Z</dcterms:modified>
</cp:coreProperties>
</file>