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1991B0" w14:textId="77777777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42FE90C2" wp14:editId="3B0435CC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8CE75" w14:textId="77777777" w:rsidR="00724F9C" w:rsidRDefault="00724F9C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2FE90C2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ED8CE75" w14:textId="77777777" w:rsidR="00724F9C" w:rsidRDefault="00724F9C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2B90AC5A" wp14:editId="6830B8FB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53247" w14:textId="77777777" w:rsidR="00AE53F0" w:rsidRPr="00724F9C" w:rsidRDefault="00E8473B" w:rsidP="00724F9C">
      <w:pPr>
        <w:pStyle w:val="Seminar"/>
      </w:pPr>
      <w:r w:rsidRPr="00724F9C">
        <w:t>Seminar</w:t>
      </w:r>
      <w:r w:rsidR="00FD7888" w:rsidRPr="00724F9C">
        <w:t xml:space="preserve"> „Übungen im Vortragen –</w:t>
      </w:r>
      <w:r w:rsidR="00724F9C" w:rsidRPr="00724F9C">
        <w:t xml:space="preserve"> </w:t>
      </w:r>
      <w:r w:rsidR="00FD7888" w:rsidRPr="00724F9C">
        <w:t>PC“</w:t>
      </w:r>
    </w:p>
    <w:p w14:paraId="1116841F" w14:textId="77777777" w:rsidR="00E8473B" w:rsidRDefault="00724F9C" w:rsidP="005633FE">
      <w:pPr>
        <w:pStyle w:val="Titel"/>
      </w:pPr>
      <w:r>
        <w:t>Diffusion</w:t>
      </w:r>
    </w:p>
    <w:p w14:paraId="7C67B026" w14:textId="303FAA35" w:rsidR="008D5E9B" w:rsidRDefault="00724F9C" w:rsidP="00E8473B">
      <w:pPr>
        <w:pStyle w:val="Autor"/>
      </w:pPr>
      <w:r>
        <w:t xml:space="preserve">Fabian </w:t>
      </w:r>
      <w:proofErr w:type="spellStart"/>
      <w:r>
        <w:t>Kallmeier</w:t>
      </w:r>
      <w:proofErr w:type="spellEnd"/>
      <w:r>
        <w:t>, WS 13/14</w:t>
      </w:r>
      <w:r w:rsidR="00F5041A">
        <w:t xml:space="preserve">, </w:t>
      </w:r>
      <w:r w:rsidR="008D5E9B">
        <w:t>Anna-Katharina Baumgärtner SS 22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76748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DEB4E6" w14:textId="77777777" w:rsidR="006C46BC" w:rsidRPr="006C46BC" w:rsidRDefault="006C46BC" w:rsidP="006C46BC">
          <w:pPr>
            <w:pStyle w:val="Inhaltsverzeichnisberschrift"/>
          </w:pPr>
          <w:r>
            <w:t>Gliederung</w:t>
          </w:r>
        </w:p>
        <w:p w14:paraId="05CE91A8" w14:textId="380EBFD5" w:rsidR="005E280D" w:rsidRDefault="006C46BC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76026" w:history="1">
            <w:r w:rsidR="005E280D" w:rsidRPr="006476F5">
              <w:rPr>
                <w:rStyle w:val="Hyperlink"/>
                <w:noProof/>
              </w:rPr>
              <w:t>1</w:t>
            </w:r>
            <w:r w:rsidR="005E280D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E280D" w:rsidRPr="006476F5">
              <w:rPr>
                <w:rStyle w:val="Hyperlink"/>
                <w:noProof/>
              </w:rPr>
              <w:t>Versuch zur Diffusion</w:t>
            </w:r>
            <w:r w:rsidR="005E280D">
              <w:rPr>
                <w:noProof/>
                <w:webHidden/>
              </w:rPr>
              <w:tab/>
            </w:r>
            <w:r w:rsidR="005E280D">
              <w:rPr>
                <w:noProof/>
                <w:webHidden/>
              </w:rPr>
              <w:fldChar w:fldCharType="begin"/>
            </w:r>
            <w:r w:rsidR="005E280D">
              <w:rPr>
                <w:noProof/>
                <w:webHidden/>
              </w:rPr>
              <w:instrText xml:space="preserve"> PAGEREF _Toc47076026 \h </w:instrText>
            </w:r>
            <w:r w:rsidR="005E280D">
              <w:rPr>
                <w:noProof/>
                <w:webHidden/>
              </w:rPr>
            </w:r>
            <w:r w:rsidR="005E280D">
              <w:rPr>
                <w:noProof/>
                <w:webHidden/>
              </w:rPr>
              <w:fldChar w:fldCharType="separate"/>
            </w:r>
            <w:r w:rsidR="00661ABF">
              <w:rPr>
                <w:noProof/>
                <w:webHidden/>
              </w:rPr>
              <w:t>1</w:t>
            </w:r>
            <w:r w:rsidR="005E280D">
              <w:rPr>
                <w:noProof/>
                <w:webHidden/>
              </w:rPr>
              <w:fldChar w:fldCharType="end"/>
            </w:r>
          </w:hyperlink>
        </w:p>
        <w:p w14:paraId="60B6930D" w14:textId="453BDFE8" w:rsidR="005E280D" w:rsidRDefault="00661ABF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7076027" w:history="1">
            <w:r w:rsidR="005E280D" w:rsidRPr="006476F5">
              <w:rPr>
                <w:rStyle w:val="Hyperlink"/>
                <w:noProof/>
              </w:rPr>
              <w:t>2</w:t>
            </w:r>
            <w:r w:rsidR="005E280D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E280D" w:rsidRPr="006476F5">
              <w:rPr>
                <w:rStyle w:val="Hyperlink"/>
                <w:noProof/>
              </w:rPr>
              <w:t>Betrachtung auf Teilchen-Ebene</w:t>
            </w:r>
            <w:r w:rsidR="005E280D">
              <w:rPr>
                <w:noProof/>
                <w:webHidden/>
              </w:rPr>
              <w:tab/>
            </w:r>
            <w:r w:rsidR="005E280D">
              <w:rPr>
                <w:noProof/>
                <w:webHidden/>
              </w:rPr>
              <w:fldChar w:fldCharType="begin"/>
            </w:r>
            <w:r w:rsidR="005E280D">
              <w:rPr>
                <w:noProof/>
                <w:webHidden/>
              </w:rPr>
              <w:instrText xml:space="preserve"> PAGEREF _Toc47076027 \h </w:instrText>
            </w:r>
            <w:r w:rsidR="005E280D">
              <w:rPr>
                <w:noProof/>
                <w:webHidden/>
              </w:rPr>
            </w:r>
            <w:r w:rsidR="005E28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E280D">
              <w:rPr>
                <w:noProof/>
                <w:webHidden/>
              </w:rPr>
              <w:fldChar w:fldCharType="end"/>
            </w:r>
          </w:hyperlink>
        </w:p>
        <w:p w14:paraId="57343C54" w14:textId="7C1563D6" w:rsidR="005E280D" w:rsidRDefault="00661ABF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7076028" w:history="1">
            <w:r w:rsidR="005E280D" w:rsidRPr="006476F5">
              <w:rPr>
                <w:rStyle w:val="Hyperlink"/>
                <w:noProof/>
              </w:rPr>
              <w:t>3</w:t>
            </w:r>
            <w:r w:rsidR="005E280D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E280D" w:rsidRPr="006476F5">
              <w:rPr>
                <w:rStyle w:val="Hyperlink"/>
                <w:noProof/>
              </w:rPr>
              <w:t>Herleitung der Fick’schen Gesetze</w:t>
            </w:r>
            <w:r w:rsidR="005E280D">
              <w:rPr>
                <w:noProof/>
                <w:webHidden/>
              </w:rPr>
              <w:tab/>
            </w:r>
            <w:r w:rsidR="005E280D">
              <w:rPr>
                <w:noProof/>
                <w:webHidden/>
              </w:rPr>
              <w:fldChar w:fldCharType="begin"/>
            </w:r>
            <w:r w:rsidR="005E280D">
              <w:rPr>
                <w:noProof/>
                <w:webHidden/>
              </w:rPr>
              <w:instrText xml:space="preserve"> PAGEREF _Toc47076028 \h </w:instrText>
            </w:r>
            <w:r w:rsidR="005E280D">
              <w:rPr>
                <w:noProof/>
                <w:webHidden/>
              </w:rPr>
            </w:r>
            <w:r w:rsidR="005E28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E280D">
              <w:rPr>
                <w:noProof/>
                <w:webHidden/>
              </w:rPr>
              <w:fldChar w:fldCharType="end"/>
            </w:r>
          </w:hyperlink>
        </w:p>
        <w:p w14:paraId="09FB3DDB" w14:textId="4020106A" w:rsidR="005E280D" w:rsidRDefault="00661ABF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47076029" w:history="1">
            <w:r w:rsidR="005E280D" w:rsidRPr="006476F5">
              <w:rPr>
                <w:rStyle w:val="Hyperlink"/>
                <w:noProof/>
              </w:rPr>
              <w:t>4</w:t>
            </w:r>
            <w:r w:rsidR="005E280D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5E280D" w:rsidRPr="006476F5">
              <w:rPr>
                <w:rStyle w:val="Hyperlink"/>
                <w:noProof/>
              </w:rPr>
              <w:t>Modell-System Saccharose in Wasser</w:t>
            </w:r>
            <w:r w:rsidR="005E280D">
              <w:rPr>
                <w:noProof/>
                <w:webHidden/>
              </w:rPr>
              <w:tab/>
            </w:r>
            <w:r w:rsidR="005E280D">
              <w:rPr>
                <w:noProof/>
                <w:webHidden/>
              </w:rPr>
              <w:fldChar w:fldCharType="begin"/>
            </w:r>
            <w:r w:rsidR="005E280D">
              <w:rPr>
                <w:noProof/>
                <w:webHidden/>
              </w:rPr>
              <w:instrText xml:space="preserve"> PAGEREF _Toc47076029 \h </w:instrText>
            </w:r>
            <w:r w:rsidR="005E280D">
              <w:rPr>
                <w:noProof/>
                <w:webHidden/>
              </w:rPr>
            </w:r>
            <w:r w:rsidR="005E28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E280D">
              <w:rPr>
                <w:noProof/>
                <w:webHidden/>
              </w:rPr>
              <w:fldChar w:fldCharType="end"/>
            </w:r>
          </w:hyperlink>
        </w:p>
        <w:p w14:paraId="0680BE26" w14:textId="77777777" w:rsidR="006C46BC" w:rsidRDefault="006C46BC">
          <w:r>
            <w:rPr>
              <w:b/>
              <w:bCs/>
            </w:rPr>
            <w:fldChar w:fldCharType="end"/>
          </w:r>
        </w:p>
      </w:sdtContent>
    </w:sdt>
    <w:p w14:paraId="140B6524" w14:textId="77777777" w:rsidR="00FD7888" w:rsidRPr="008540FE" w:rsidRDefault="00FD7888" w:rsidP="00FD7888">
      <w:pPr>
        <w:pStyle w:val="EinstiegAbschluss"/>
      </w:pPr>
      <w:bookmarkStart w:id="1" w:name="_Überschrift_1"/>
      <w:bookmarkEnd w:id="1"/>
      <w:r w:rsidRPr="00C47CC6">
        <w:rPr>
          <w:rStyle w:val="Fett"/>
        </w:rPr>
        <w:t>Einstieg</w:t>
      </w:r>
      <w:r w:rsidR="008540FE">
        <w:rPr>
          <w:rStyle w:val="Fett"/>
        </w:rPr>
        <w:t xml:space="preserve"> 1</w:t>
      </w:r>
      <w:r>
        <w:t>:</w:t>
      </w:r>
      <w:r w:rsidR="00C47CC6">
        <w:t xml:space="preserve"> </w:t>
      </w:r>
      <w:r w:rsidR="00724F9C">
        <w:rPr>
          <w:rFonts w:cs="Arial"/>
        </w:rPr>
        <w:t>Wenn Studierende morgens um 11 Uhr durch die Stadt schlendern, darf eine Köstlichkeit nicht fehlen: der Espresso. Genauso wichtig wie der Geschmack ist die Crema. Aber wie schafft man es das italienische Heißgetränk zu süßen, ohne durch intensives Rühren die Crema zu zerstören?</w:t>
      </w:r>
    </w:p>
    <w:p w14:paraId="1433C570" w14:textId="6CDB6F11" w:rsidR="008540FE" w:rsidRDefault="008540FE" w:rsidP="00FD7888">
      <w:pPr>
        <w:pStyle w:val="EinstiegAbschluss"/>
      </w:pPr>
      <w:r>
        <w:rPr>
          <w:rStyle w:val="Fett"/>
        </w:rPr>
        <w:t>Einstieg 2:</w:t>
      </w:r>
      <w:r>
        <w:t xml:space="preserve"> </w:t>
      </w:r>
      <w:r w:rsidR="00F5041A">
        <w:t>Wenn eine Chemielehrkraft zur großen Pause aus dem Chemiesaal in Richtung Lehrerzimmer geht, kommt ihr schon von Weitem</w:t>
      </w:r>
      <w:r w:rsidR="00DE3B05">
        <w:t xml:space="preserve"> der Geruch von frisch aufgebrühtem Kaffee entgegen</w:t>
      </w:r>
      <w:r w:rsidR="00F7612C">
        <w:t xml:space="preserve">. </w:t>
      </w:r>
      <w:r w:rsidR="00F5041A">
        <w:t>Im Vortrag geht es darum, wie sich der Duft schnell und über weite Strecken in der Luft verbreiten kann.</w:t>
      </w:r>
    </w:p>
    <w:p w14:paraId="212A055F" w14:textId="5ACFBE51" w:rsidR="00E8473B" w:rsidRDefault="00724F9C" w:rsidP="008A524D">
      <w:pPr>
        <w:pStyle w:val="berschrift1"/>
      </w:pPr>
      <w:bookmarkStart w:id="2" w:name="_Toc47076026"/>
      <w:r>
        <w:t>Versuch zur Diffusion</w:t>
      </w:r>
      <w:bookmarkEnd w:id="2"/>
    </w:p>
    <w:p w14:paraId="3723159D" w14:textId="79995D25" w:rsidR="005433E0" w:rsidRPr="00D57CA9" w:rsidRDefault="005433E0" w:rsidP="005433E0">
      <w:pPr>
        <w:rPr>
          <w:b/>
          <w:bCs/>
        </w:rPr>
      </w:pPr>
      <w:r w:rsidRPr="00D57CA9">
        <w:rPr>
          <w:b/>
          <w:bCs/>
        </w:rPr>
        <w:t>Experiment</w:t>
      </w:r>
      <w:r w:rsidR="00F5041A">
        <w:rPr>
          <w:b/>
          <w:bCs/>
        </w:rPr>
        <w:t xml:space="preserve"> 1</w:t>
      </w:r>
      <w:r w:rsidRPr="00D57CA9">
        <w:rPr>
          <w:b/>
          <w:bCs/>
        </w:rPr>
        <w:t xml:space="preserve">: Diffusion </w:t>
      </w:r>
      <w:r>
        <w:rPr>
          <w:b/>
          <w:bCs/>
        </w:rPr>
        <w:t>in der Luft</w:t>
      </w:r>
    </w:p>
    <w:p w14:paraId="5800FC54" w14:textId="77777777" w:rsidR="005433E0" w:rsidRDefault="005433E0" w:rsidP="005433E0">
      <w:r>
        <w:t>Materialien:</w:t>
      </w:r>
    </w:p>
    <w:p w14:paraId="38DD099E" w14:textId="68E3D011" w:rsidR="005433E0" w:rsidRDefault="005433E0" w:rsidP="005433E0">
      <w:pPr>
        <w:pStyle w:val="Liste1Aufzhlung"/>
      </w:pPr>
      <w:r>
        <w:t>2 EL Kaffeepulver</w:t>
      </w:r>
    </w:p>
    <w:p w14:paraId="12C6C9D8" w14:textId="3E6481C4" w:rsidR="005433E0" w:rsidRDefault="005433E0" w:rsidP="005433E0">
      <w:pPr>
        <w:pStyle w:val="Liste1Aufzhlung"/>
      </w:pPr>
      <w:r>
        <w:t>Tasse</w:t>
      </w:r>
    </w:p>
    <w:p w14:paraId="6F3A15F8" w14:textId="6669AB33" w:rsidR="005433E0" w:rsidRDefault="00F5041A" w:rsidP="005433E0">
      <w:pPr>
        <w:pStyle w:val="Liste1Aufzhlung"/>
      </w:pPr>
      <w:r>
        <w:t>Heißes Trinkwasser</w:t>
      </w:r>
    </w:p>
    <w:p w14:paraId="08AC81EE" w14:textId="649CBE66" w:rsidR="005433E0" w:rsidRDefault="005433E0" w:rsidP="005433E0">
      <w:pPr>
        <w:rPr>
          <w:rFonts w:cs="Arial"/>
        </w:rPr>
      </w:pPr>
      <w:r w:rsidRPr="00724F9C">
        <w:rPr>
          <w:rStyle w:val="Fett"/>
        </w:rPr>
        <w:t>Durchführung</w:t>
      </w:r>
      <w:r>
        <w:t>: 2 EL Kaffeepulver werden in die Tasse gegeben und mit heißem Wasser übergossen.</w:t>
      </w:r>
    </w:p>
    <w:p w14:paraId="5D01317F" w14:textId="01DD87F4" w:rsidR="005433E0" w:rsidRPr="009B6BB0" w:rsidRDefault="005433E0" w:rsidP="005433E0">
      <w:r w:rsidRPr="00724F9C">
        <w:rPr>
          <w:rStyle w:val="Fett"/>
        </w:rPr>
        <w:t>Beobachtung</w:t>
      </w:r>
      <w:r>
        <w:rPr>
          <w:rFonts w:cs="Arial"/>
        </w:rPr>
        <w:t xml:space="preserve">: Nach einigen Minuten </w:t>
      </w:r>
      <w:r w:rsidR="00F676A8">
        <w:rPr>
          <w:rFonts w:cs="Arial"/>
        </w:rPr>
        <w:t>lässt sich der Kaffeegeruch im ganzen Raum wahrnehmen.</w:t>
      </w:r>
    </w:p>
    <w:p w14:paraId="26B6E517" w14:textId="243FAE99" w:rsidR="005433E0" w:rsidRDefault="005433E0" w:rsidP="005433E0">
      <w:pPr>
        <w:rPr>
          <w:rFonts w:cs="Arial"/>
        </w:rPr>
      </w:pPr>
      <w:r w:rsidRPr="00724F9C">
        <w:rPr>
          <w:rStyle w:val="Fett"/>
        </w:rPr>
        <w:t>Interpretation</w:t>
      </w:r>
      <w:r>
        <w:rPr>
          <w:rFonts w:cs="Arial"/>
        </w:rPr>
        <w:t xml:space="preserve">: </w:t>
      </w:r>
      <w:r w:rsidR="00F676A8">
        <w:rPr>
          <w:rFonts w:cs="Arial"/>
        </w:rPr>
        <w:t xml:space="preserve">Es findet eine Nettobewegung der </w:t>
      </w:r>
      <w:r>
        <w:rPr>
          <w:rFonts w:cs="Arial"/>
        </w:rPr>
        <w:t xml:space="preserve">„Kaffeeteilchen“ </w:t>
      </w:r>
      <w:r w:rsidR="00F676A8">
        <w:rPr>
          <w:rFonts w:cs="Arial"/>
        </w:rPr>
        <w:t xml:space="preserve">vom Ort hoher Konzentration zum Ort niedriger Konzentration in der Luft statt. </w:t>
      </w:r>
    </w:p>
    <w:p w14:paraId="6EC51851" w14:textId="77777777" w:rsidR="005433E0" w:rsidRPr="005433E0" w:rsidRDefault="005433E0" w:rsidP="005433E0"/>
    <w:p w14:paraId="641CE361" w14:textId="41B64EE5" w:rsidR="00724F9C" w:rsidRPr="00D57CA9" w:rsidRDefault="00724F9C" w:rsidP="00724F9C">
      <w:pPr>
        <w:rPr>
          <w:b/>
          <w:bCs/>
        </w:rPr>
      </w:pPr>
      <w:r w:rsidRPr="00D57CA9">
        <w:rPr>
          <w:b/>
          <w:bCs/>
        </w:rPr>
        <w:t>Experiment</w:t>
      </w:r>
      <w:r w:rsidR="00F5041A">
        <w:rPr>
          <w:b/>
          <w:bCs/>
        </w:rPr>
        <w:t xml:space="preserve"> 2</w:t>
      </w:r>
      <w:r w:rsidRPr="00D57CA9">
        <w:rPr>
          <w:b/>
          <w:bCs/>
        </w:rPr>
        <w:t>: Diffusion von Kaliumpermanganat in Wasser</w:t>
      </w:r>
    </w:p>
    <w:p w14:paraId="434BE039" w14:textId="069278A6" w:rsidR="00724F9C" w:rsidRDefault="00724F9C" w:rsidP="00724F9C">
      <w:r>
        <w:t>Material</w:t>
      </w:r>
      <w:r w:rsidR="00D57CA9">
        <w:t>ien</w:t>
      </w:r>
      <w:r>
        <w:t>:</w:t>
      </w:r>
    </w:p>
    <w:p w14:paraId="50E5B855" w14:textId="6FC9DA0C" w:rsidR="00724F9C" w:rsidRDefault="00F5041A" w:rsidP="00724F9C">
      <w:pPr>
        <w:pStyle w:val="Liste1Aufzhlung"/>
      </w:pPr>
      <w:r>
        <w:t>Kristallisierschale, d=</w:t>
      </w:r>
      <w:r w:rsidR="00724F9C">
        <w:t>120 mm</w:t>
      </w:r>
    </w:p>
    <w:p w14:paraId="17DD759D" w14:textId="77777777" w:rsidR="00724F9C" w:rsidRDefault="00724F9C" w:rsidP="00724F9C">
      <w:pPr>
        <w:pStyle w:val="Liste1Aufzhlung"/>
      </w:pPr>
      <w:r>
        <w:t>Pinzette</w:t>
      </w:r>
    </w:p>
    <w:p w14:paraId="2E55559A" w14:textId="04A267CD" w:rsidR="00704B28" w:rsidRDefault="003422EB" w:rsidP="00724F9C">
      <w:pPr>
        <w:pStyle w:val="Liste1Aufzhlung"/>
      </w:pPr>
      <w:r>
        <w:t>PVA-Beutel</w:t>
      </w:r>
      <w:r w:rsidR="003C4BCD">
        <w:t xml:space="preserve"> (Durchführung 2) </w:t>
      </w:r>
    </w:p>
    <w:p w14:paraId="25F5CE9F" w14:textId="77777777" w:rsidR="00724F9C" w:rsidRDefault="00724F9C" w:rsidP="00724F9C">
      <w:r>
        <w:lastRenderedPageBreak/>
        <w:t>Chemikalien:</w:t>
      </w:r>
    </w:p>
    <w:p w14:paraId="4B75666D" w14:textId="77777777" w:rsidR="00724F9C" w:rsidRDefault="00724F9C" w:rsidP="00724F9C">
      <w:pPr>
        <w:pStyle w:val="Liste1Aufzhlung"/>
        <w:rPr>
          <w:rStyle w:val="RotZchn"/>
        </w:rPr>
        <w:sectPr w:rsidR="00724F9C" w:rsidSect="00931B30">
          <w:footerReference w:type="default" r:id="rId9"/>
          <w:pgSz w:w="11906" w:h="16838"/>
          <w:pgMar w:top="851" w:right="1134" w:bottom="1134" w:left="1418" w:header="0" w:footer="0" w:gutter="0"/>
          <w:cols w:space="708"/>
          <w:titlePg/>
          <w:docGrid w:linePitch="360"/>
        </w:sectPr>
      </w:pPr>
      <w:bookmarkStart w:id="3" w:name="OLE_LINK36"/>
    </w:p>
    <w:p w14:paraId="71E72F6C" w14:textId="77777777" w:rsidR="00724F9C" w:rsidRDefault="00724F9C" w:rsidP="00724F9C">
      <w:pPr>
        <w:pStyle w:val="Liste1Aufzhlung"/>
      </w:pPr>
      <w:r w:rsidRPr="00724F9C">
        <w:rPr>
          <w:rStyle w:val="RotZchn"/>
        </w:rPr>
        <w:lastRenderedPageBreak/>
        <w:t>Kaliumpermanganat</w:t>
      </w:r>
      <w:r w:rsidRPr="000740FB">
        <w:t xml:space="preserve"> (s)</w:t>
      </w:r>
      <w:r>
        <w:tab/>
      </w:r>
      <w:r w:rsidRPr="000740FB">
        <w:br/>
      </w:r>
      <w:r w:rsidRPr="00724F9C">
        <w:rPr>
          <w:rStyle w:val="CASNrZchn"/>
        </w:rPr>
        <w:t>CAS-Nr.: 7722-64-7</w:t>
      </w:r>
      <w:r>
        <w:tab/>
      </w:r>
      <w:r w:rsidRPr="000740FB">
        <w:br/>
      </w:r>
      <w:r w:rsidRPr="000740FB">
        <w:rPr>
          <w:noProof/>
          <w:lang w:eastAsia="de-DE"/>
        </w:rPr>
        <w:drawing>
          <wp:inline distT="0" distB="0" distL="0" distR="0" wp14:anchorId="4E89CA9C" wp14:editId="172EB517">
            <wp:extent cx="358140" cy="358140"/>
            <wp:effectExtent l="0" t="0" r="3810" b="3810"/>
            <wp:docPr id="5073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0FB">
        <w:t xml:space="preserve"> </w:t>
      </w:r>
      <w:r w:rsidRPr="000740FB">
        <w:rPr>
          <w:noProof/>
          <w:lang w:eastAsia="de-DE"/>
        </w:rPr>
        <w:drawing>
          <wp:inline distT="0" distB="0" distL="0" distR="0" wp14:anchorId="75E5F4D7" wp14:editId="11EED2DF">
            <wp:extent cx="358140" cy="365760"/>
            <wp:effectExtent l="0" t="0" r="3810" b="0"/>
            <wp:docPr id="5074" name="Grafik 5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0FB">
        <w:t xml:space="preserve"> </w:t>
      </w:r>
      <w:r w:rsidRPr="000740FB">
        <w:rPr>
          <w:noProof/>
          <w:lang w:eastAsia="de-DE"/>
        </w:rPr>
        <w:drawing>
          <wp:inline distT="0" distB="0" distL="0" distR="0" wp14:anchorId="121C64BF" wp14:editId="66519B8C">
            <wp:extent cx="358140" cy="365760"/>
            <wp:effectExtent l="0" t="0" r="3810" b="0"/>
            <wp:docPr id="5075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0FB">
        <w:t xml:space="preserve"> </w:t>
      </w:r>
      <w:r w:rsidRPr="000740FB">
        <w:rPr>
          <w:noProof/>
          <w:lang w:eastAsia="de-DE"/>
        </w:rPr>
        <w:drawing>
          <wp:inline distT="0" distB="0" distL="0" distR="0" wp14:anchorId="63C9317C" wp14:editId="387C43E7">
            <wp:extent cx="358140" cy="358140"/>
            <wp:effectExtent l="0" t="0" r="3810" b="3810"/>
            <wp:docPr id="5076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0FB">
        <w:t xml:space="preserve"> Gefahr</w:t>
      </w:r>
      <w:r>
        <w:tab/>
      </w:r>
      <w:r w:rsidRPr="000740FB">
        <w:br/>
      </w:r>
      <w:r w:rsidRPr="00724F9C">
        <w:rPr>
          <w:rStyle w:val="CASNrZchn"/>
        </w:rPr>
        <w:t>H272, H302, H314, H410</w:t>
      </w:r>
      <w:r w:rsidRPr="00724F9C">
        <w:rPr>
          <w:rStyle w:val="CASNrZchn"/>
        </w:rPr>
        <w:tab/>
      </w:r>
      <w:r w:rsidRPr="00724F9C">
        <w:rPr>
          <w:rStyle w:val="CASNrZchn"/>
        </w:rPr>
        <w:br/>
        <w:t>P220, P273, P280, P305+P351+P338, P310, P501</w:t>
      </w:r>
      <w:bookmarkEnd w:id="3"/>
    </w:p>
    <w:p w14:paraId="4D133B8B" w14:textId="77777777" w:rsidR="00724F9C" w:rsidRDefault="00724F9C" w:rsidP="00724F9C">
      <w:pPr>
        <w:pStyle w:val="Rot"/>
        <w:numPr>
          <w:ilvl w:val="2"/>
          <w:numId w:val="10"/>
        </w:numPr>
        <w:ind w:left="426" w:hanging="426"/>
      </w:pPr>
      <w:r>
        <w:br w:type="column"/>
      </w:r>
      <w:r>
        <w:lastRenderedPageBreak/>
        <w:t>VE-Wasser</w:t>
      </w:r>
    </w:p>
    <w:p w14:paraId="75E02054" w14:textId="77777777" w:rsidR="00724F9C" w:rsidRDefault="00724F9C" w:rsidP="00724F9C">
      <w:pPr>
        <w:sectPr w:rsidR="00724F9C" w:rsidSect="00724F9C">
          <w:type w:val="continuous"/>
          <w:pgSz w:w="11906" w:h="16838"/>
          <w:pgMar w:top="851" w:right="1134" w:bottom="1134" w:left="1418" w:header="0" w:footer="0" w:gutter="0"/>
          <w:cols w:num="2" w:space="708"/>
          <w:titlePg/>
          <w:docGrid w:linePitch="360"/>
        </w:sectPr>
      </w:pPr>
    </w:p>
    <w:p w14:paraId="324538BE" w14:textId="30839C57" w:rsidR="00724F9C" w:rsidRDefault="00724F9C" w:rsidP="00724F9C">
      <w:pPr>
        <w:rPr>
          <w:rFonts w:cs="Arial"/>
        </w:rPr>
      </w:pPr>
      <w:r w:rsidRPr="00724F9C">
        <w:rPr>
          <w:rStyle w:val="Fett"/>
        </w:rPr>
        <w:lastRenderedPageBreak/>
        <w:t>Durchführung</w:t>
      </w:r>
      <w:r w:rsidR="003C4BCD">
        <w:rPr>
          <w:rStyle w:val="Fett"/>
        </w:rPr>
        <w:t xml:space="preserve"> 1</w:t>
      </w:r>
      <w:r>
        <w:t xml:space="preserve">: </w:t>
      </w:r>
      <w:r>
        <w:rPr>
          <w:rFonts w:cs="Arial"/>
        </w:rPr>
        <w:t>Mit der Pinzette wird ein Kristall l &lt; 1 mm in eine h = 1 cm hoch mit Wasser befüllte Kristallisierschale gegeben.</w:t>
      </w:r>
    </w:p>
    <w:p w14:paraId="4156AF69" w14:textId="7E2F9C7E" w:rsidR="004532BB" w:rsidRDefault="004532BB" w:rsidP="00724F9C">
      <w:pPr>
        <w:rPr>
          <w:rFonts w:cs="Arial"/>
        </w:rPr>
      </w:pPr>
      <w:r w:rsidRPr="00814BA5">
        <w:rPr>
          <w:rFonts w:cs="Arial"/>
          <w:b/>
          <w:bCs/>
        </w:rPr>
        <w:t>Durchführung 2:</w:t>
      </w:r>
      <w:r>
        <w:rPr>
          <w:rFonts w:cs="Arial"/>
        </w:rPr>
        <w:t xml:space="preserve"> </w:t>
      </w:r>
      <w:r w:rsidR="00814BA5">
        <w:rPr>
          <w:rFonts w:cs="Arial"/>
        </w:rPr>
        <w:t xml:space="preserve">In den PVA-Beutel wird ein Kristall l &lt; 1 mm gegeben. Der Beutel wird anschließend in die 1 cm hoch mit Wasser befüllte Kristallisierschale gegeben. </w:t>
      </w:r>
    </w:p>
    <w:p w14:paraId="249E9F2D" w14:textId="6D379D6E" w:rsidR="00724F9C" w:rsidRPr="009B6BB0" w:rsidRDefault="00724F9C" w:rsidP="00724F9C">
      <w:r w:rsidRPr="00724F9C">
        <w:rPr>
          <w:rStyle w:val="Fett"/>
        </w:rPr>
        <w:t>Beobachtung</w:t>
      </w:r>
      <w:r w:rsidR="004364D1">
        <w:rPr>
          <w:rStyle w:val="Fett"/>
        </w:rPr>
        <w:t xml:space="preserve"> 1</w:t>
      </w:r>
      <w:r>
        <w:rPr>
          <w:rFonts w:cs="Arial"/>
        </w:rPr>
        <w:t>: Ausgehend vom Kristall lassen sich Schlieren von KMnO</w:t>
      </w:r>
      <w:r>
        <w:rPr>
          <w:rFonts w:cs="Arial"/>
          <w:vertAlign w:val="subscript"/>
        </w:rPr>
        <w:t>4</w:t>
      </w:r>
      <w:r>
        <w:rPr>
          <w:rFonts w:cs="Arial"/>
        </w:rPr>
        <w:t xml:space="preserve"> beobachten. Die Intensität der Schlieren nimmt mit steigender Entfernung zu dem Kristall ab.</w:t>
      </w:r>
      <w:r w:rsidR="009B6BB0">
        <w:t xml:space="preserve"> </w:t>
      </w:r>
      <w:r w:rsidR="009B6BB0">
        <w:rPr>
          <w:rFonts w:cs="Arial"/>
        </w:rPr>
        <w:t>Nach einiger Zeit ist die gesamte Kristallisierschale gleichmäßig violett gefärbt.</w:t>
      </w:r>
    </w:p>
    <w:p w14:paraId="321A25AE" w14:textId="55A3382A" w:rsidR="004364D1" w:rsidRPr="00E17D46" w:rsidRDefault="004364D1" w:rsidP="00724F9C">
      <w:pPr>
        <w:rPr>
          <w:rFonts w:cs="Arial"/>
        </w:rPr>
      </w:pPr>
      <w:r w:rsidRPr="004364D1">
        <w:rPr>
          <w:rFonts w:cs="Arial"/>
          <w:b/>
          <w:bCs/>
        </w:rPr>
        <w:t>Beobachtung 2: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Der PVA-Beutel löst sich auf wodurch </w:t>
      </w:r>
      <w:r w:rsidR="00E17D46">
        <w:rPr>
          <w:rFonts w:cs="Arial"/>
        </w:rPr>
        <w:t xml:space="preserve">sich </w:t>
      </w:r>
      <w:r>
        <w:rPr>
          <w:rFonts w:cs="Arial"/>
        </w:rPr>
        <w:t xml:space="preserve">ausgehend vom Kristall </w:t>
      </w:r>
      <w:r w:rsidR="00E17D46">
        <w:rPr>
          <w:rFonts w:cs="Arial"/>
        </w:rPr>
        <w:t>Schlieren von KMnO</w:t>
      </w:r>
      <w:r w:rsidR="00E17D46">
        <w:rPr>
          <w:rFonts w:cs="Arial"/>
          <w:vertAlign w:val="subscript"/>
        </w:rPr>
        <w:t>4</w:t>
      </w:r>
      <w:r w:rsidR="00E17D46">
        <w:rPr>
          <w:rFonts w:cs="Arial"/>
        </w:rPr>
        <w:t xml:space="preserve"> bilden.</w:t>
      </w:r>
      <w:r w:rsidR="0081099C">
        <w:rPr>
          <w:rFonts w:cs="Arial"/>
        </w:rPr>
        <w:t xml:space="preserve"> Der Beutel bewirkt, dass das Wasser möglichst bewegungslos ist, um das Phänomen der Konvektion ausschließen zu können</w:t>
      </w:r>
      <w:r w:rsidR="00EA2F29">
        <w:rPr>
          <w:rFonts w:cs="Arial"/>
        </w:rPr>
        <w:t>.</w:t>
      </w:r>
      <w:r w:rsidR="00433C24">
        <w:rPr>
          <w:rFonts w:cs="Arial"/>
        </w:rPr>
        <w:t xml:space="preserve"> Rest siehe Beobachtung 1. </w:t>
      </w:r>
    </w:p>
    <w:p w14:paraId="3244103C" w14:textId="1F8C95A2" w:rsidR="003C4BCD" w:rsidRDefault="00724F9C" w:rsidP="00724F9C">
      <w:pPr>
        <w:rPr>
          <w:rFonts w:cs="Arial"/>
        </w:rPr>
      </w:pPr>
      <w:r w:rsidRPr="00724F9C">
        <w:rPr>
          <w:rStyle w:val="Fett"/>
        </w:rPr>
        <w:t>Interpretation</w:t>
      </w:r>
      <w:r>
        <w:rPr>
          <w:rFonts w:cs="Arial"/>
        </w:rPr>
        <w:t>: Es findet eine Nettobewegung von KMnO</w:t>
      </w:r>
      <w:r>
        <w:rPr>
          <w:rFonts w:cs="Arial"/>
          <w:vertAlign w:val="subscript"/>
        </w:rPr>
        <w:t>4</w:t>
      </w:r>
      <w:r>
        <w:rPr>
          <w:rFonts w:cs="Arial"/>
        </w:rPr>
        <w:t xml:space="preserve"> von Bereichen hoher Konzentration zu Bereichen niedriger Konzentration statt.</w:t>
      </w:r>
    </w:p>
    <w:p w14:paraId="53885673" w14:textId="261342F6" w:rsidR="00724F9C" w:rsidRDefault="00724F9C" w:rsidP="00724F9C">
      <w:pPr>
        <w:pStyle w:val="berschrift1"/>
      </w:pPr>
      <w:bookmarkStart w:id="4" w:name="_Toc47076027"/>
      <w:r>
        <w:t>Betrachtung auf Teilchen-Ebene</w:t>
      </w:r>
      <w:bookmarkEnd w:id="4"/>
    </w:p>
    <w:p w14:paraId="54BC5A6E" w14:textId="4BFCB028" w:rsidR="00724F9C" w:rsidRPr="00D21E89" w:rsidRDefault="00A844B4" w:rsidP="00D21E89">
      <w:pPr>
        <w:rPr>
          <w:rFonts w:cs="Arial"/>
        </w:rPr>
      </w:pPr>
      <w:r>
        <w:rPr>
          <w:rFonts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5E5DD15" wp14:editId="671C71EF">
            <wp:simplePos x="0" y="0"/>
            <wp:positionH relativeFrom="column">
              <wp:posOffset>775970</wp:posOffset>
            </wp:positionH>
            <wp:positionV relativeFrom="paragraph">
              <wp:posOffset>715645</wp:posOffset>
            </wp:positionV>
            <wp:extent cx="4487545" cy="2305050"/>
            <wp:effectExtent l="0" t="0" r="8255" b="0"/>
            <wp:wrapTopAndBottom/>
            <wp:docPr id="6" name="Grafik 6" descr="Ein Bild, das Text, Arbeits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Arbeitstisch enthält.&#10;&#10;Automatisch generierte Beschreibu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4"/>
                    <a:stretch/>
                  </pic:blipFill>
                  <pic:spPr bwMode="auto">
                    <a:xfrm>
                      <a:off x="0" y="0"/>
                      <a:ext cx="4487545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F9C">
        <w:rPr>
          <w:rFonts w:cs="Arial"/>
        </w:rPr>
        <w:t>Die Teilchen vollführen durch ihre thermische Energie endlos viele ungerichtete Bewegungen (=random walk). Im statistischen Mittel findet zunächst keine Nettobewegung statt.</w:t>
      </w:r>
    </w:p>
    <w:p w14:paraId="58E61416" w14:textId="7D676E38" w:rsidR="00724F9C" w:rsidRDefault="00724F9C" w:rsidP="00724F9C">
      <w:pPr>
        <w:pStyle w:val="Beschriftung"/>
      </w:pPr>
      <w:r>
        <w:t xml:space="preserve">Abb. </w:t>
      </w:r>
      <w:r w:rsidR="00661ABF">
        <w:fldChar w:fldCharType="begin"/>
      </w:r>
      <w:r w:rsidR="00661ABF">
        <w:instrText xml:space="preserve"> SEQ Abb. \* ARABIC </w:instrText>
      </w:r>
      <w:r w:rsidR="00661ABF">
        <w:fldChar w:fldCharType="separate"/>
      </w:r>
      <w:r w:rsidR="00661ABF">
        <w:rPr>
          <w:noProof/>
        </w:rPr>
        <w:t>1</w:t>
      </w:r>
      <w:r w:rsidR="00661ABF">
        <w:rPr>
          <w:noProof/>
        </w:rPr>
        <w:fldChar w:fldCharType="end"/>
      </w:r>
      <w:r>
        <w:t>: random walk eines Modell-Teilchens (blau)</w:t>
      </w:r>
    </w:p>
    <w:p w14:paraId="58934117" w14:textId="77777777" w:rsidR="00794CA7" w:rsidRDefault="00794CA7">
      <w:pPr>
        <w:spacing w:before="0"/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bookmarkStart w:id="5" w:name="_Toc47076028"/>
      <w:r>
        <w:br w:type="page"/>
      </w:r>
    </w:p>
    <w:p w14:paraId="0D9D7FF0" w14:textId="661BEE56" w:rsidR="00724F9C" w:rsidRDefault="00724F9C" w:rsidP="00724F9C">
      <w:pPr>
        <w:pStyle w:val="berschrift1"/>
      </w:pPr>
      <w:r>
        <w:lastRenderedPageBreak/>
        <w:t xml:space="preserve">Herleitung der </w:t>
      </w:r>
      <w:proofErr w:type="spellStart"/>
      <w:r>
        <w:t>Fick’schen</w:t>
      </w:r>
      <w:proofErr w:type="spellEnd"/>
      <w:r>
        <w:t xml:space="preserve"> Gesetze</w:t>
      </w:r>
      <w:bookmarkEnd w:id="5"/>
    </w:p>
    <w:p w14:paraId="6E41DBE6" w14:textId="77777777" w:rsidR="00724F9C" w:rsidRDefault="00724F9C" w:rsidP="00724F9C">
      <w:r>
        <w:t>Man betrachtet zunächst ein imaginäres Fenster im fluiden Medium.</w:t>
      </w:r>
    </w:p>
    <w:p w14:paraId="6F9DEBDB" w14:textId="77777777" w:rsidR="00724F9C" w:rsidRDefault="00724F9C" w:rsidP="00724F9C">
      <w:pPr>
        <w:pStyle w:val="Bilder"/>
      </w:pPr>
      <w:r>
        <w:rPr>
          <w:lang w:eastAsia="de-DE"/>
        </w:rPr>
        <w:drawing>
          <wp:inline distT="0" distB="0" distL="0" distR="0" wp14:anchorId="7E3137DD" wp14:editId="41390F39">
            <wp:extent cx="1904365" cy="269621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eastAsia="de-DE"/>
        </w:rPr>
        <w:drawing>
          <wp:inline distT="0" distB="0" distL="0" distR="0" wp14:anchorId="4509D3F3" wp14:editId="2514EDBE">
            <wp:extent cx="1904365" cy="269621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E2094" w14:textId="4DBC9CCE" w:rsidR="00724F9C" w:rsidRDefault="00724F9C" w:rsidP="00724F9C">
      <w:pPr>
        <w:pStyle w:val="Beschriftung"/>
      </w:pPr>
      <w:bookmarkStart w:id="6" w:name="_Ref47075330"/>
      <w:r>
        <w:t xml:space="preserve">Abb. </w:t>
      </w:r>
      <w:r w:rsidR="00661ABF">
        <w:fldChar w:fldCharType="begin"/>
      </w:r>
      <w:r w:rsidR="00661ABF">
        <w:instrText xml:space="preserve"> SEQ Abb. \* ARABIC </w:instrText>
      </w:r>
      <w:r w:rsidR="00661ABF">
        <w:fldChar w:fldCharType="separate"/>
      </w:r>
      <w:r w:rsidR="00661ABF">
        <w:rPr>
          <w:noProof/>
        </w:rPr>
        <w:t>2</w:t>
      </w:r>
      <w:r w:rsidR="00661ABF">
        <w:rPr>
          <w:noProof/>
        </w:rPr>
        <w:fldChar w:fldCharType="end"/>
      </w:r>
      <w:bookmarkEnd w:id="6"/>
      <w:r>
        <w:t>: Schematisch Darstellung der Diffusion durch ein imaginäres Fenster</w:t>
      </w:r>
    </w:p>
    <w:p w14:paraId="53E49685" w14:textId="2C277D2E" w:rsidR="00724F9C" w:rsidRPr="00724F9C" w:rsidRDefault="00724F9C" w:rsidP="00724F9C">
      <w:pPr>
        <w:rPr>
          <w:lang w:eastAsia="de-DE"/>
        </w:rPr>
      </w:pPr>
      <w:r w:rsidRPr="00724F9C">
        <w:rPr>
          <w:lang w:eastAsia="de-DE"/>
        </w:rPr>
        <w:t xml:space="preserve">Links und rechts des Fensters liegen unterschiedliche Konzentrationen des gelösten Stoffes vor. Dies führt zu dem Nettofluss </w:t>
      </w:r>
      <w:r>
        <w:rPr>
          <w:lang w:eastAsia="de-DE"/>
        </w:rPr>
        <w:t>„</w:t>
      </w:r>
      <w:r w:rsidRPr="00724F9C">
        <w:rPr>
          <w:lang w:eastAsia="de-DE"/>
        </w:rPr>
        <w:t>J</w:t>
      </w:r>
      <w:r>
        <w:rPr>
          <w:lang w:eastAsia="de-DE"/>
        </w:rPr>
        <w:t>“</w:t>
      </w:r>
      <w:r w:rsidRPr="00724F9C">
        <w:rPr>
          <w:lang w:eastAsia="de-DE"/>
        </w:rPr>
        <w:t xml:space="preserve"> (kurz: Fluss); </w:t>
      </w:r>
      <w:r w:rsidRPr="00724F9C">
        <w:rPr>
          <w:i/>
          <w:iCs/>
          <w:lang w:eastAsia="de-DE"/>
        </w:rPr>
        <w:t>siehe blauer Pfeil in</w:t>
      </w:r>
      <w:r w:rsidRPr="00724F9C">
        <w:rPr>
          <w:lang w:eastAsia="de-DE"/>
        </w:rPr>
        <w:t xml:space="preserve"> </w:t>
      </w:r>
      <w:r>
        <w:rPr>
          <w:b/>
          <w:bCs/>
          <w:lang w:eastAsia="de-DE"/>
        </w:rPr>
        <w:fldChar w:fldCharType="begin"/>
      </w:r>
      <w:r>
        <w:rPr>
          <w:lang w:eastAsia="de-DE"/>
        </w:rPr>
        <w:instrText xml:space="preserve"> REF _Ref47075330 \h </w:instrText>
      </w:r>
      <w:r>
        <w:rPr>
          <w:b/>
          <w:bCs/>
          <w:lang w:eastAsia="de-DE"/>
        </w:rPr>
      </w:r>
      <w:r>
        <w:rPr>
          <w:b/>
          <w:bCs/>
          <w:lang w:eastAsia="de-DE"/>
        </w:rPr>
        <w:fldChar w:fldCharType="separate"/>
      </w:r>
      <w:r w:rsidR="00661ABF">
        <w:t xml:space="preserve">Abb. </w:t>
      </w:r>
      <w:r w:rsidR="00661ABF">
        <w:rPr>
          <w:noProof/>
        </w:rPr>
        <w:t>2</w:t>
      </w:r>
      <w:r>
        <w:rPr>
          <w:b/>
          <w:bCs/>
          <w:lang w:eastAsia="de-DE"/>
        </w:rPr>
        <w:fldChar w:fldCharType="end"/>
      </w:r>
      <w:r w:rsidRPr="00724F9C">
        <w:rPr>
          <w:lang w:eastAsia="de-DE"/>
        </w:rPr>
        <w:t xml:space="preserve">. Dabei gilt, dass der Fluss proportional zu dem Konzentrationsgradienten </w:t>
      </w:r>
      <w:r w:rsidRPr="00724F9C">
        <w:t>∂c/∂x</w:t>
      </w:r>
      <w:r w:rsidRPr="00724F9C">
        <w:rPr>
          <w:lang w:eastAsia="de-DE"/>
        </w:rPr>
        <w:t xml:space="preserve"> ist. Dabei ist c</w:t>
      </w:r>
      <w:r w:rsidR="00275090">
        <w:rPr>
          <w:lang w:eastAsia="de-DE"/>
        </w:rPr>
        <w:t> </w:t>
      </w:r>
      <w:r w:rsidRPr="00724F9C">
        <w:rPr>
          <w:lang w:eastAsia="de-DE"/>
        </w:rPr>
        <w:t>=</w:t>
      </w:r>
      <w:r w:rsidR="00275090">
        <w:rPr>
          <w:lang w:eastAsia="de-DE"/>
        </w:rPr>
        <w:t> </w:t>
      </w:r>
      <w:r w:rsidRPr="00724F9C">
        <w:rPr>
          <w:lang w:eastAsia="de-DE"/>
        </w:rPr>
        <w:t>molare Konzentration, x</w:t>
      </w:r>
      <w:r w:rsidR="00275090">
        <w:rPr>
          <w:lang w:eastAsia="de-DE"/>
        </w:rPr>
        <w:t> </w:t>
      </w:r>
      <w:r w:rsidRPr="00724F9C">
        <w:rPr>
          <w:lang w:eastAsia="de-DE"/>
        </w:rPr>
        <w:t>=</w:t>
      </w:r>
      <w:r w:rsidR="00275090">
        <w:rPr>
          <w:lang w:eastAsia="de-DE"/>
        </w:rPr>
        <w:t> </w:t>
      </w:r>
      <w:r w:rsidRPr="00724F9C">
        <w:rPr>
          <w:lang w:eastAsia="de-DE"/>
        </w:rPr>
        <w:t xml:space="preserve">Ort. Der Proportionalitätsfaktor wird Diffusionskonstante </w:t>
      </w:r>
      <w:r w:rsidR="00275090">
        <w:rPr>
          <w:lang w:eastAsia="de-DE"/>
        </w:rPr>
        <w:t>„</w:t>
      </w:r>
      <w:r w:rsidRPr="00724F9C">
        <w:rPr>
          <w:lang w:eastAsia="de-DE"/>
        </w:rPr>
        <w:t>D</w:t>
      </w:r>
      <w:r w:rsidR="00275090">
        <w:rPr>
          <w:lang w:eastAsia="de-DE"/>
        </w:rPr>
        <w:t>“</w:t>
      </w:r>
      <w:r w:rsidRPr="00724F9C">
        <w:rPr>
          <w:lang w:eastAsia="de-DE"/>
        </w:rPr>
        <w:t xml:space="preserve"> genannt. </w:t>
      </w:r>
    </w:p>
    <w:p w14:paraId="036F5479" w14:textId="72B575F2" w:rsidR="00724F9C" w:rsidRPr="00724F9C" w:rsidRDefault="00724F9C" w:rsidP="00724F9C">
      <w:pPr>
        <w:rPr>
          <w:lang w:eastAsia="de-DE"/>
        </w:rPr>
      </w:pPr>
      <w:r w:rsidRPr="00724F9C">
        <w:rPr>
          <w:lang w:eastAsia="de-DE"/>
        </w:rPr>
        <w:t>Damit gilt [</w:t>
      </w:r>
      <w:r w:rsidR="00275090">
        <w:rPr>
          <w:lang w:eastAsia="de-DE"/>
        </w:rPr>
        <w:fldChar w:fldCharType="begin"/>
      </w:r>
      <w:r w:rsidR="00275090">
        <w:rPr>
          <w:lang w:eastAsia="de-DE"/>
        </w:rPr>
        <w:instrText xml:space="preserve"> REF _Ref47075593 \r \h </w:instrText>
      </w:r>
      <w:r w:rsidR="00275090">
        <w:rPr>
          <w:lang w:eastAsia="de-DE"/>
        </w:rPr>
      </w:r>
      <w:r w:rsidR="00275090">
        <w:rPr>
          <w:lang w:eastAsia="de-DE"/>
        </w:rPr>
        <w:fldChar w:fldCharType="separate"/>
      </w:r>
      <w:r w:rsidR="00661ABF">
        <w:rPr>
          <w:lang w:eastAsia="de-DE"/>
        </w:rPr>
        <w:t>1</w:t>
      </w:r>
      <w:r w:rsidR="00275090">
        <w:rPr>
          <w:lang w:eastAsia="de-DE"/>
        </w:rPr>
        <w:fldChar w:fldCharType="end"/>
      </w:r>
      <w:r w:rsidRPr="00724F9C">
        <w:rPr>
          <w:lang w:eastAsia="de-DE"/>
        </w:rPr>
        <w:t>]:</w:t>
      </w:r>
    </w:p>
    <w:p w14:paraId="61084580" w14:textId="77777777" w:rsidR="00724F9C" w:rsidRPr="00275090" w:rsidRDefault="00275090" w:rsidP="00275090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J = -D *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m:t>∂c</m:t>
              </m:r>
            </m:num>
            <m:den>
              <m:r>
                <m:rPr>
                  <m:nor/>
                </m:rPr>
                <m:t>∂x</m:t>
              </m:r>
            </m:den>
          </m:f>
          <m:r>
            <m:rPr>
              <m:nor/>
            </m:rPr>
            <m:t xml:space="preserve">  (1. Fick'sches Gesetz)</m:t>
          </m:r>
        </m:oMath>
      </m:oMathPara>
    </w:p>
    <w:p w14:paraId="6A07B75E" w14:textId="77777777" w:rsidR="00275090" w:rsidRDefault="00275090" w:rsidP="00275090">
      <w:pPr>
        <w:pStyle w:val="berschrift1"/>
      </w:pPr>
      <w:bookmarkStart w:id="7" w:name="_Ref47076002"/>
      <w:bookmarkStart w:id="8" w:name="_Toc47076029"/>
      <w:r>
        <w:t>Modell-System Saccharose in Wasser</w:t>
      </w:r>
      <w:bookmarkEnd w:id="7"/>
      <w:bookmarkEnd w:id="8"/>
    </w:p>
    <w:p w14:paraId="451293C0" w14:textId="77777777" w:rsidR="00275090" w:rsidRDefault="00275090" w:rsidP="00275090">
      <w:r>
        <w:t>Folgende Formel stellt einen Zusammenhang zwischen der Zeit „t“ und der zurückgelegten Strecke der diffundierenden Teilchen her (man spricht hier von der mittleren quadratischen Verschiebung „d“):</w:t>
      </w:r>
    </w:p>
    <w:p w14:paraId="74BAF73A" w14:textId="77777777" w:rsidR="00275090" w:rsidRPr="00275090" w:rsidRDefault="00275090" w:rsidP="00275090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 xml:space="preserve">d=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2 * D * t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m:t>1</m:t>
                  </m:r>
                </m:num>
                <m:den>
                  <m:r>
                    <m:rPr>
                      <m:nor/>
                    </m:rPr>
                    <m:t>2</m:t>
                  </m:r>
                </m:den>
              </m:f>
            </m:sup>
          </m:sSup>
        </m:oMath>
      </m:oMathPara>
    </w:p>
    <w:p w14:paraId="2E551581" w14:textId="7F1F8643" w:rsidR="00275090" w:rsidRDefault="00275090" w:rsidP="00275090">
      <w:r>
        <w:t>Will man nun berechnen</w:t>
      </w:r>
      <w:r w:rsidR="00E22F62">
        <w:t>,</w:t>
      </w:r>
      <w:r>
        <w:t xml:space="preserve"> wie lang ein Molekül Saccharose im Eingangsbeispiel im quadratischen Mittel benötigt</w:t>
      </w:r>
      <w:r w:rsidR="00E73ED1">
        <w:t xml:space="preserve">, </w:t>
      </w:r>
      <w:r>
        <w:t>um vom Boden der Tasse bis zur Oberfläche (d soll im Beispiel 5 cm betragen) zu diffundieren, muss man die Gleichung nach der Zeit umstellen.</w:t>
      </w:r>
    </w:p>
    <w:p w14:paraId="1126BFBF" w14:textId="77777777" w:rsidR="00275090" w:rsidRPr="00675245" w:rsidRDefault="00275090" w:rsidP="00275090">
      <w:pPr>
        <w:pStyle w:val="Formeln"/>
        <w:rPr>
          <w:rFonts w:eastAsiaTheme="minorEastAsia"/>
          <w:lang w:val="en-US"/>
        </w:rPr>
      </w:pPr>
      <m:oMathPara>
        <m:oMath>
          <m:r>
            <m:rPr>
              <m:nor/>
            </m:rPr>
            <w:rPr>
              <w:lang w:val="en-US"/>
            </w:rPr>
            <m:t>t 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d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nor/>
                </m:rPr>
                <w:rPr>
                  <w:lang w:val="en-US"/>
                </w:rPr>
                <m:t>2D</m:t>
              </m:r>
            </m:den>
          </m:f>
          <m:r>
            <m:rPr>
              <m:nor/>
            </m:rPr>
            <w:rPr>
              <w:lang w:val="en-US"/>
            </w:rPr>
            <m:t xml:space="preserve"> 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5cm</m:t>
                      </m:r>
                    </m:e>
                  </m:d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nor/>
                </m:rPr>
                <w:rPr>
                  <w:lang w:val="en-US"/>
                </w:rPr>
                <m:t>2 * 0,522*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-9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lang w:val="en-US"/>
                    </w:rPr>
                    <m:t>s</m:t>
                  </m:r>
                </m:den>
              </m:f>
            </m:den>
          </m:f>
          <m:r>
            <m:rPr>
              <m:nor/>
            </m:rPr>
            <w:rPr>
              <w:lang w:val="en-US"/>
            </w:rPr>
            <m:t xml:space="preserve"> 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lang w:val="en-US"/>
                </w:rPr>
                <m:t>0,0025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m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nor/>
                </m:rPr>
                <w:rPr>
                  <w:lang w:val="en-US"/>
                </w:rPr>
                <m:t>2 * 0,522*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en-US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lang w:val="en-US"/>
                    </w:rPr>
                    <m:t>-9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lang w:val="en-US"/>
                    </w:rPr>
                    <m:t>s</m:t>
                  </m:r>
                </m:den>
              </m:f>
            </m:den>
          </m:f>
          <m:r>
            <m:rPr>
              <m:nor/>
            </m:rPr>
            <w:rPr>
              <w:lang w:val="en-US"/>
            </w:rPr>
            <m:t xml:space="preserve"> ≈ 2.394.636s ≈ 27,7d</m:t>
          </m:r>
        </m:oMath>
      </m:oMathPara>
    </w:p>
    <w:p w14:paraId="48D3596C" w14:textId="46AE590F" w:rsidR="00275090" w:rsidRDefault="00275090" w:rsidP="00275090">
      <w:pPr>
        <w:pStyle w:val="Zusammenfassung"/>
      </w:pPr>
      <w:r>
        <w:rPr>
          <w:b/>
          <w:bCs/>
        </w:rPr>
        <w:t xml:space="preserve">Zusammenfassung. </w:t>
      </w:r>
      <w:r>
        <w:t>Den Prozess der Fortbewegung von Molekülen in einem Fluid</w:t>
      </w:r>
      <w:r w:rsidR="006C3B28">
        <w:t xml:space="preserve"> oder der Luft</w:t>
      </w:r>
      <w:r>
        <w:t xml:space="preserve"> nennt man </w:t>
      </w:r>
      <w:r>
        <w:rPr>
          <w:b/>
          <w:bCs/>
        </w:rPr>
        <w:t>Diffusion</w:t>
      </w:r>
      <w:r>
        <w:t xml:space="preserve">. Werden die Moleküle durch Bewegungen des gesamten Fluids bewegt (umrühren in der Espresso Tasse), spricht man von </w:t>
      </w:r>
      <w:r>
        <w:rPr>
          <w:b/>
          <w:bCs/>
        </w:rPr>
        <w:t>Konvektion</w:t>
      </w:r>
      <w:r>
        <w:t>.</w:t>
      </w:r>
    </w:p>
    <w:p w14:paraId="6F1A61BE" w14:textId="77777777" w:rsidR="00675245" w:rsidRDefault="00675245" w:rsidP="00675245"/>
    <w:p w14:paraId="6224AA3C" w14:textId="1EBAFAA5" w:rsidR="00275090" w:rsidRDefault="00275090" w:rsidP="00275090">
      <w:pPr>
        <w:pStyle w:val="EinstiegAbschluss"/>
      </w:pPr>
      <w:r>
        <w:rPr>
          <w:b/>
          <w:bCs/>
        </w:rPr>
        <w:lastRenderedPageBreak/>
        <w:t>Abschluss</w:t>
      </w:r>
      <w:r w:rsidR="008540FE">
        <w:rPr>
          <w:b/>
          <w:bCs/>
        </w:rPr>
        <w:t xml:space="preserve"> 1</w:t>
      </w:r>
      <w:r>
        <w:t xml:space="preserve">. Wie durch die Rechnung in </w:t>
      </w:r>
      <w:r>
        <w:rPr>
          <w:b/>
          <w:bCs/>
        </w:rPr>
        <w:fldChar w:fldCharType="begin"/>
      </w:r>
      <w:r>
        <w:instrText xml:space="preserve"> REF _Ref47076002 \r \h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61ABF">
        <w:t>4</w:t>
      </w:r>
      <w:r>
        <w:rPr>
          <w:b/>
          <w:bCs/>
        </w:rPr>
        <w:fldChar w:fldCharType="end"/>
      </w:r>
      <w:r w:rsidR="00BB4246">
        <w:rPr>
          <w:b/>
          <w:bCs/>
        </w:rPr>
        <w:t>.</w:t>
      </w:r>
      <w:r>
        <w:t xml:space="preserve"> gezeigt werden konnte, muss man die Zerstörung der Crema wohl </w:t>
      </w:r>
      <w:r w:rsidR="005E280D">
        <w:t>hinnehmen,</w:t>
      </w:r>
      <w:r>
        <w:t xml:space="preserve"> wenn man den Espresso nicht erst in einem Monat trinken möchte.</w:t>
      </w:r>
    </w:p>
    <w:p w14:paraId="33A3B583" w14:textId="490AFD24" w:rsidR="008540FE" w:rsidRDefault="008540FE" w:rsidP="00275090">
      <w:pPr>
        <w:pStyle w:val="EinstiegAbschluss"/>
      </w:pPr>
      <w:r>
        <w:rPr>
          <w:b/>
          <w:bCs/>
        </w:rPr>
        <w:t>Abschluss 2</w:t>
      </w:r>
      <w:r w:rsidRPr="008540FE">
        <w:t>:</w:t>
      </w:r>
      <w:r w:rsidR="00785B52">
        <w:t xml:space="preserve"> Diffusion kann </w:t>
      </w:r>
      <w:r w:rsidR="00607548">
        <w:t xml:space="preserve">also sowohl </w:t>
      </w:r>
      <w:r w:rsidR="00785B52">
        <w:t xml:space="preserve">in flüssigen, </w:t>
      </w:r>
      <w:r w:rsidR="00607548">
        <w:t>als</w:t>
      </w:r>
      <w:r w:rsidR="00785B52">
        <w:t xml:space="preserve"> auch in gasförmigen Medien stattfinden. </w:t>
      </w:r>
      <w:r w:rsidR="00607548">
        <w:t>Für euren Lehreralltag bedeutet das, dass i</w:t>
      </w:r>
      <w:r w:rsidR="00590C78">
        <w:t xml:space="preserve">hr später </w:t>
      </w:r>
      <w:r w:rsidR="00DE3B05">
        <w:t xml:space="preserve">besonders </w:t>
      </w:r>
      <w:r w:rsidR="00233D85">
        <w:t>schnell</w:t>
      </w:r>
      <w:r w:rsidR="00DE3B05">
        <w:t xml:space="preserve"> beim Nehmen</w:t>
      </w:r>
      <w:r w:rsidR="00947CFE">
        <w:t xml:space="preserve"> des Kaffees sein</w:t>
      </w:r>
      <w:r w:rsidR="00607548">
        <w:t xml:space="preserve"> solltet</w:t>
      </w:r>
      <w:r w:rsidR="00DE3B05">
        <w:t>, bevor alle</w:t>
      </w:r>
      <w:r w:rsidR="00947CFE">
        <w:t xml:space="preserve"> Kollegen</w:t>
      </w:r>
      <w:r w:rsidR="00DE3B05">
        <w:t xml:space="preserve"> bemerkt haben, dass es frischen Kaffee gibt</w:t>
      </w:r>
      <w:r w:rsidR="00590C78">
        <w:t xml:space="preserve">. </w:t>
      </w:r>
    </w:p>
    <w:p w14:paraId="2A7723C7" w14:textId="77777777" w:rsidR="00675245" w:rsidRPr="00275090" w:rsidRDefault="00675245" w:rsidP="00675245"/>
    <w:p w14:paraId="37A4642F" w14:textId="77777777" w:rsidR="00931B30" w:rsidRPr="000E61E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14:paraId="38A41F37" w14:textId="77777777" w:rsidR="00724F9C" w:rsidRDefault="00724F9C" w:rsidP="00724F9C">
      <w:pPr>
        <w:pStyle w:val="AufzhlungStandard"/>
      </w:pPr>
      <w:bookmarkStart w:id="9" w:name="_Ref47075593"/>
      <w:r>
        <w:t xml:space="preserve">P. W. Atkins, J. de Paula: Kurzlehrbuch der physikalischen Chemie, Wiley-VCH, 4. </w:t>
      </w:r>
      <w:r w:rsidR="005E280D">
        <w:t>Auflage</w:t>
      </w:r>
      <w:r>
        <w:t>, Weinheim 2008</w:t>
      </w:r>
      <w:bookmarkEnd w:id="9"/>
    </w:p>
    <w:p w14:paraId="0B4E470B" w14:textId="77777777" w:rsidR="00724F9C" w:rsidRPr="00675245" w:rsidRDefault="00661ABF" w:rsidP="00724F9C">
      <w:pPr>
        <w:pStyle w:val="AufzhlungStandard"/>
        <w:rPr>
          <w:lang w:val="en-US"/>
        </w:rPr>
      </w:pPr>
      <w:hyperlink r:id="rId17" w:tgtFrame="_blank" w:history="1">
        <w:r w:rsidR="00724F9C" w:rsidRPr="00675245">
          <w:rPr>
            <w:rStyle w:val="Hyperlink"/>
            <w:rFonts w:cs="Arial"/>
            <w:lang w:val="en-US"/>
          </w:rPr>
          <w:t>http://de.wikipedia.org/wiki/Diffusionskoeffizient</w:t>
        </w:r>
      </w:hyperlink>
      <w:r w:rsidR="00724F9C" w:rsidRPr="00675245">
        <w:rPr>
          <w:lang w:val="en-US"/>
        </w:rPr>
        <w:t>, Stand 16.12.2013</w:t>
      </w:r>
    </w:p>
    <w:sectPr w:rsidR="00724F9C" w:rsidRPr="00675245" w:rsidSect="00724F9C">
      <w:type w:val="continuous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70A42" w14:textId="77777777" w:rsidR="000413E5" w:rsidRDefault="000413E5" w:rsidP="005A7DCE">
      <w:pPr>
        <w:spacing w:before="0"/>
      </w:pPr>
      <w:r>
        <w:separator/>
      </w:r>
    </w:p>
  </w:endnote>
  <w:endnote w:type="continuationSeparator" w:id="0">
    <w:p w14:paraId="0799D640" w14:textId="77777777" w:rsidR="000413E5" w:rsidRDefault="000413E5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5D14F7D9" w14:textId="77777777" w:rsidR="00724F9C" w:rsidRDefault="00724F9C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2EF14B0C" wp14:editId="79D8C799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50425A8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87520DE" w14:textId="485828A0" w:rsidR="00724F9C" w:rsidRDefault="00724F9C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61ABF">
          <w:rPr>
            <w:noProof/>
          </w:rPr>
          <w:t>4</w:t>
        </w:r>
        <w:r>
          <w:fldChar w:fldCharType="end"/>
        </w:r>
      </w:p>
    </w:sdtContent>
  </w:sdt>
  <w:p w14:paraId="107AA0BF" w14:textId="77777777" w:rsidR="00724F9C" w:rsidRDefault="00724F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B8F85" w14:textId="77777777" w:rsidR="000413E5" w:rsidRDefault="000413E5" w:rsidP="005A7DCE">
      <w:pPr>
        <w:spacing w:before="0"/>
      </w:pPr>
      <w:r>
        <w:separator/>
      </w:r>
    </w:p>
  </w:footnote>
  <w:footnote w:type="continuationSeparator" w:id="0">
    <w:p w14:paraId="58306506" w14:textId="77777777" w:rsidR="000413E5" w:rsidRDefault="000413E5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1B6C7644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C081815"/>
    <w:multiLevelType w:val="multilevel"/>
    <w:tmpl w:val="8E8E4274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2C8F1B47"/>
    <w:multiLevelType w:val="multilevel"/>
    <w:tmpl w:val="8A069CFE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7" w15:restartNumberingAfterBreak="0">
    <w:nsid w:val="31276AE2"/>
    <w:multiLevelType w:val="multilevel"/>
    <w:tmpl w:val="166A5566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D36"/>
    <w:multiLevelType w:val="multilevel"/>
    <w:tmpl w:val="92BEFC64"/>
    <w:lvl w:ilvl="0">
      <w:start w:val="1"/>
      <w:numFmt w:val="bullet"/>
      <w:pStyle w:val="Liste1Aufzhlung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20251B7"/>
    <w:multiLevelType w:val="multilevel"/>
    <w:tmpl w:val="4312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3" w15:restartNumberingAfterBreak="0">
    <w:nsid w:val="749D0A51"/>
    <w:multiLevelType w:val="multilevel"/>
    <w:tmpl w:val="3A0071A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5"/>
  </w:num>
  <w:num w:numId="20">
    <w:abstractNumId w:val="13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color w:val="000000" w:themeColor="text1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B%4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28"/>
        </w:rPr>
      </w:lvl>
    </w:lvlOverride>
    <w:lvlOverride w:ilvl="4">
      <w:lvl w:ilvl="4">
        <w:start w:val="1"/>
        <w:numFmt w:val="decimal"/>
        <w:lvlText w:val="E%5"/>
        <w:lvlJc w:val="left"/>
        <w:pPr>
          <w:ind w:left="567" w:hanging="567"/>
        </w:pPr>
        <w:rPr>
          <w:rFonts w:ascii="Arial" w:hAnsi="Arial" w:hint="default"/>
          <w:b/>
          <w:i w:val="0"/>
          <w:color w:val="FF9600"/>
          <w:sz w:val="32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709" w:hanging="425"/>
        </w:pPr>
        <w:rPr>
          <w:rFonts w:ascii="Wingdings" w:hAnsi="Wingdings" w:hint="default"/>
          <w:b/>
          <w:i w:val="0"/>
          <w:color w:val="FF9600"/>
          <w:sz w:val="28"/>
        </w:rPr>
      </w:lvl>
    </w:lvlOverride>
    <w:lvlOverride w:ilvl="6">
      <w:lvl w:ilvl="6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25" w:hanging="425"/>
        </w:pPr>
        <w:rPr>
          <w:rFonts w:hint="default"/>
        </w:rPr>
      </w:lvl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17BAD"/>
    <w:rsid w:val="000256A8"/>
    <w:rsid w:val="000413E5"/>
    <w:rsid w:val="00045EDE"/>
    <w:rsid w:val="000712A2"/>
    <w:rsid w:val="00074491"/>
    <w:rsid w:val="000D4A1C"/>
    <w:rsid w:val="000E61E0"/>
    <w:rsid w:val="0015543D"/>
    <w:rsid w:val="00196A58"/>
    <w:rsid w:val="001D6942"/>
    <w:rsid w:val="002005EF"/>
    <w:rsid w:val="00216E43"/>
    <w:rsid w:val="00233D85"/>
    <w:rsid w:val="00253D40"/>
    <w:rsid w:val="00275090"/>
    <w:rsid w:val="00291F2F"/>
    <w:rsid w:val="0033663A"/>
    <w:rsid w:val="003422EB"/>
    <w:rsid w:val="0036111E"/>
    <w:rsid w:val="00364E90"/>
    <w:rsid w:val="003B5F5F"/>
    <w:rsid w:val="003C4BCD"/>
    <w:rsid w:val="003E3FDB"/>
    <w:rsid w:val="00433C24"/>
    <w:rsid w:val="004364D1"/>
    <w:rsid w:val="004532BB"/>
    <w:rsid w:val="00483343"/>
    <w:rsid w:val="004D0FAE"/>
    <w:rsid w:val="0050218F"/>
    <w:rsid w:val="005433E0"/>
    <w:rsid w:val="005633FE"/>
    <w:rsid w:val="0058690D"/>
    <w:rsid w:val="00590C78"/>
    <w:rsid w:val="005A7DCE"/>
    <w:rsid w:val="005E280D"/>
    <w:rsid w:val="00607548"/>
    <w:rsid w:val="00661ABF"/>
    <w:rsid w:val="00675245"/>
    <w:rsid w:val="006C3B28"/>
    <w:rsid w:val="006C46BC"/>
    <w:rsid w:val="006F7275"/>
    <w:rsid w:val="00704B28"/>
    <w:rsid w:val="007161D1"/>
    <w:rsid w:val="00724F9C"/>
    <w:rsid w:val="00783295"/>
    <w:rsid w:val="00785B52"/>
    <w:rsid w:val="00794CA7"/>
    <w:rsid w:val="007A5979"/>
    <w:rsid w:val="007B2C80"/>
    <w:rsid w:val="007F18E1"/>
    <w:rsid w:val="0081099C"/>
    <w:rsid w:val="008117E4"/>
    <w:rsid w:val="00814BA5"/>
    <w:rsid w:val="00825BFE"/>
    <w:rsid w:val="00850560"/>
    <w:rsid w:val="008540FE"/>
    <w:rsid w:val="00883728"/>
    <w:rsid w:val="008A524D"/>
    <w:rsid w:val="008D5E9B"/>
    <w:rsid w:val="009174EE"/>
    <w:rsid w:val="00931B30"/>
    <w:rsid w:val="00945ED7"/>
    <w:rsid w:val="00947CFE"/>
    <w:rsid w:val="00955F46"/>
    <w:rsid w:val="009710A6"/>
    <w:rsid w:val="009A4D67"/>
    <w:rsid w:val="009B6BB0"/>
    <w:rsid w:val="00A21130"/>
    <w:rsid w:val="00A44590"/>
    <w:rsid w:val="00A5383F"/>
    <w:rsid w:val="00A844B4"/>
    <w:rsid w:val="00AA5678"/>
    <w:rsid w:val="00AA5D66"/>
    <w:rsid w:val="00AB53E9"/>
    <w:rsid w:val="00AB7E4B"/>
    <w:rsid w:val="00AE53F0"/>
    <w:rsid w:val="00AF7672"/>
    <w:rsid w:val="00B04F6D"/>
    <w:rsid w:val="00BB3F5E"/>
    <w:rsid w:val="00BB4246"/>
    <w:rsid w:val="00BE324B"/>
    <w:rsid w:val="00C43344"/>
    <w:rsid w:val="00C47CC6"/>
    <w:rsid w:val="00C6611D"/>
    <w:rsid w:val="00D21E89"/>
    <w:rsid w:val="00D42D15"/>
    <w:rsid w:val="00D57CA9"/>
    <w:rsid w:val="00D97908"/>
    <w:rsid w:val="00DB7964"/>
    <w:rsid w:val="00DE09F8"/>
    <w:rsid w:val="00DE3B05"/>
    <w:rsid w:val="00DF23E5"/>
    <w:rsid w:val="00E14DE1"/>
    <w:rsid w:val="00E17D46"/>
    <w:rsid w:val="00E20AF3"/>
    <w:rsid w:val="00E22F62"/>
    <w:rsid w:val="00E37534"/>
    <w:rsid w:val="00E46BE8"/>
    <w:rsid w:val="00E54A99"/>
    <w:rsid w:val="00E73ED1"/>
    <w:rsid w:val="00E8473B"/>
    <w:rsid w:val="00EA2F29"/>
    <w:rsid w:val="00F0263F"/>
    <w:rsid w:val="00F17205"/>
    <w:rsid w:val="00F5041A"/>
    <w:rsid w:val="00F676A8"/>
    <w:rsid w:val="00F7612C"/>
    <w:rsid w:val="00F76D18"/>
    <w:rsid w:val="00FD7888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F408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15543D"/>
    <w:pPr>
      <w:numPr>
        <w:numId w:val="12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F0263F"/>
    <w:pPr>
      <w:numPr>
        <w:numId w:val="17"/>
      </w:numPr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15543D"/>
  </w:style>
  <w:style w:type="character" w:customStyle="1" w:styleId="AufzhlungStandardZchn">
    <w:name w:val="Aufzählung Standard Zchn"/>
    <w:basedOn w:val="ListenabsatzZchn"/>
    <w:link w:val="AufzhlungStandard"/>
    <w:rsid w:val="00F0263F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E46BE8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56A8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C46B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46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46BC"/>
    <w:pPr>
      <w:spacing w:after="100"/>
      <w:ind w:left="480"/>
    </w:pPr>
  </w:style>
  <w:style w:type="character" w:styleId="SchwacheHervorhebung">
    <w:name w:val="Subtle Emphasis"/>
    <w:basedOn w:val="Absatz-Standardschriftart"/>
    <w:uiPriority w:val="19"/>
    <w:rsid w:val="00DB7964"/>
    <w:rPr>
      <w:i/>
      <w:iCs/>
      <w:color w:val="auto"/>
    </w:rPr>
  </w:style>
  <w:style w:type="character" w:styleId="Fett">
    <w:name w:val="Strong"/>
    <w:basedOn w:val="Absatz-Standardschriftart"/>
    <w:uiPriority w:val="22"/>
    <w:rsid w:val="00C47CC6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C6611D"/>
    <w:pPr>
      <w:numPr>
        <w:ilvl w:val="1"/>
      </w:numPr>
      <w:spacing w:after="160"/>
      <w:jc w:val="center"/>
    </w:pPr>
    <w:rPr>
      <w:rFonts w:asciiTheme="minorHAnsi" w:eastAsiaTheme="minorEastAsia" w:hAnsiTheme="minorHAnsi"/>
      <w:color w:val="000000" w:themeColor="text1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11D"/>
    <w:rPr>
      <w:rFonts w:asciiTheme="minorHAnsi" w:eastAsiaTheme="minorEastAsia" w:hAnsiTheme="minorHAnsi"/>
      <w:color w:val="000000" w:themeColor="text1"/>
      <w:spacing w:val="15"/>
      <w:sz w:val="36"/>
    </w:rPr>
  </w:style>
  <w:style w:type="paragraph" w:customStyle="1" w:styleId="CASNr">
    <w:name w:val="CASNr"/>
    <w:basedOn w:val="AufzhlungStandard"/>
    <w:link w:val="CASNrZchn"/>
    <w:qFormat/>
    <w:rsid w:val="00E37534"/>
    <w:pPr>
      <w:ind w:left="425" w:hanging="425"/>
    </w:pPr>
    <w:rPr>
      <w:sz w:val="20"/>
      <w:szCs w:val="20"/>
    </w:rPr>
  </w:style>
  <w:style w:type="character" w:customStyle="1" w:styleId="CASNrZchn">
    <w:name w:val="CASNr Zchn"/>
    <w:basedOn w:val="AufzhlungStandardZchn"/>
    <w:link w:val="CASNr"/>
    <w:rsid w:val="00E37534"/>
    <w:rPr>
      <w:sz w:val="20"/>
      <w:szCs w:val="20"/>
    </w:rPr>
  </w:style>
  <w:style w:type="paragraph" w:customStyle="1" w:styleId="Formeln">
    <w:name w:val="Formeln"/>
    <w:basedOn w:val="Standard"/>
    <w:qFormat/>
    <w:rsid w:val="00E37534"/>
    <w:pPr>
      <w:spacing w:before="240" w:after="240"/>
      <w:jc w:val="center"/>
    </w:pPr>
    <w:rPr>
      <w:iCs/>
      <w:sz w:val="28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724F9C"/>
    <w:rPr>
      <w:color w:val="0000FF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750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de.wikipedia.org/wiki/Diffusionskoeffizie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Did Chemie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91D3-880A-4362-B680-638F2A49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42</cp:revision>
  <cp:lastPrinted>2022-07-20T08:27:00Z</cp:lastPrinted>
  <dcterms:created xsi:type="dcterms:W3CDTF">2022-04-14T09:31:00Z</dcterms:created>
  <dcterms:modified xsi:type="dcterms:W3CDTF">2022-07-20T08:27:00Z</dcterms:modified>
</cp:coreProperties>
</file>