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EAD" w:rsidRDefault="00BC2EA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C2EAD" w:rsidRDefault="00BC2EA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465E22" w:rsidRDefault="00E8473B" w:rsidP="00465E22">
      <w:pPr>
        <w:pStyle w:val="Seminar"/>
      </w:pPr>
      <w:r w:rsidRPr="00465E22">
        <w:t>Seminar</w:t>
      </w:r>
      <w:r w:rsidR="00FD7888" w:rsidRPr="00465E22">
        <w:t xml:space="preserve"> „Übungen im Vortragen –</w:t>
      </w:r>
      <w:r w:rsidR="00465E22" w:rsidRPr="00465E22">
        <w:t xml:space="preserve"> </w:t>
      </w:r>
      <w:r w:rsidR="00FD7888" w:rsidRPr="00465E22">
        <w:t>PC“</w:t>
      </w:r>
    </w:p>
    <w:p w:rsidR="00E8473B" w:rsidRDefault="00465E22" w:rsidP="005633FE">
      <w:pPr>
        <w:pStyle w:val="Titel"/>
      </w:pPr>
      <w:r>
        <w:t xml:space="preserve">Die </w:t>
      </w:r>
      <w:proofErr w:type="spellStart"/>
      <w:r>
        <w:t>Clausius</w:t>
      </w:r>
      <w:proofErr w:type="spellEnd"/>
      <w:r>
        <w:t>-</w:t>
      </w:r>
      <w:proofErr w:type="spellStart"/>
      <w:r>
        <w:t>Clapeyron</w:t>
      </w:r>
      <w:proofErr w:type="spellEnd"/>
      <w:r>
        <w:t>-Gleichung</w:t>
      </w:r>
    </w:p>
    <w:p w:rsidR="00E8473B" w:rsidRDefault="00465E22" w:rsidP="00E8473B">
      <w:pPr>
        <w:pStyle w:val="Autor"/>
      </w:pPr>
      <w:r>
        <w:t>Isabelle Jung, SS 06</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2D10D0"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2D10D0" w:rsidRPr="007F59ED">
            <w:rPr>
              <w:rStyle w:val="Hyperlink"/>
              <w:noProof/>
            </w:rPr>
            <w:fldChar w:fldCharType="begin"/>
          </w:r>
          <w:r w:rsidR="002D10D0" w:rsidRPr="007F59ED">
            <w:rPr>
              <w:rStyle w:val="Hyperlink"/>
              <w:noProof/>
            </w:rPr>
            <w:instrText xml:space="preserve"> </w:instrText>
          </w:r>
          <w:r w:rsidR="002D10D0">
            <w:rPr>
              <w:noProof/>
            </w:rPr>
            <w:instrText>HYPERLINK \l "_Toc48143444"</w:instrText>
          </w:r>
          <w:r w:rsidR="002D10D0" w:rsidRPr="007F59ED">
            <w:rPr>
              <w:rStyle w:val="Hyperlink"/>
              <w:noProof/>
            </w:rPr>
            <w:instrText xml:space="preserve"> </w:instrText>
          </w:r>
          <w:r w:rsidR="002D10D0" w:rsidRPr="007F59ED">
            <w:rPr>
              <w:rStyle w:val="Hyperlink"/>
              <w:noProof/>
            </w:rPr>
          </w:r>
          <w:r w:rsidR="002D10D0" w:rsidRPr="007F59ED">
            <w:rPr>
              <w:rStyle w:val="Hyperlink"/>
              <w:noProof/>
            </w:rPr>
            <w:fldChar w:fldCharType="separate"/>
          </w:r>
          <w:r w:rsidR="002D10D0" w:rsidRPr="007F59ED">
            <w:rPr>
              <w:rStyle w:val="Hyperlink"/>
              <w:noProof/>
            </w:rPr>
            <w:t>1</w:t>
          </w:r>
          <w:r w:rsidR="002D10D0">
            <w:rPr>
              <w:rFonts w:asciiTheme="minorHAnsi" w:eastAsiaTheme="minorEastAsia" w:hAnsiTheme="minorHAnsi"/>
              <w:noProof/>
              <w:sz w:val="22"/>
              <w:lang w:eastAsia="de-DE"/>
            </w:rPr>
            <w:tab/>
          </w:r>
          <w:r w:rsidR="002D10D0" w:rsidRPr="007F59ED">
            <w:rPr>
              <w:rStyle w:val="Hyperlink"/>
              <w:noProof/>
            </w:rPr>
            <w:t>Biographische Daten</w:t>
          </w:r>
          <w:r w:rsidR="002D10D0">
            <w:rPr>
              <w:noProof/>
              <w:webHidden/>
            </w:rPr>
            <w:tab/>
          </w:r>
          <w:r w:rsidR="002D10D0">
            <w:rPr>
              <w:noProof/>
              <w:webHidden/>
            </w:rPr>
            <w:fldChar w:fldCharType="begin"/>
          </w:r>
          <w:r w:rsidR="002D10D0">
            <w:rPr>
              <w:noProof/>
              <w:webHidden/>
            </w:rPr>
            <w:instrText xml:space="preserve"> PAGEREF _Toc48143444 \h </w:instrText>
          </w:r>
          <w:r w:rsidR="002D10D0">
            <w:rPr>
              <w:noProof/>
              <w:webHidden/>
            </w:rPr>
          </w:r>
          <w:r w:rsidR="002D10D0">
            <w:rPr>
              <w:noProof/>
              <w:webHidden/>
            </w:rPr>
            <w:fldChar w:fldCharType="separate"/>
          </w:r>
          <w:r w:rsidR="002D10D0">
            <w:rPr>
              <w:noProof/>
              <w:webHidden/>
            </w:rPr>
            <w:t>1</w:t>
          </w:r>
          <w:r w:rsidR="002D10D0">
            <w:rPr>
              <w:noProof/>
              <w:webHidden/>
            </w:rPr>
            <w:fldChar w:fldCharType="end"/>
          </w:r>
          <w:r w:rsidR="002D10D0" w:rsidRPr="007F59ED">
            <w:rPr>
              <w:rStyle w:val="Hyperlink"/>
              <w:noProof/>
            </w:rPr>
            <w:fldChar w:fldCharType="end"/>
          </w:r>
        </w:p>
        <w:p w:rsidR="002D10D0" w:rsidRDefault="002D10D0">
          <w:pPr>
            <w:pStyle w:val="Verzeichnis2"/>
            <w:tabs>
              <w:tab w:val="left" w:pos="880"/>
              <w:tab w:val="right" w:leader="dot" w:pos="9344"/>
            </w:tabs>
            <w:rPr>
              <w:rFonts w:asciiTheme="minorHAnsi" w:eastAsiaTheme="minorEastAsia" w:hAnsiTheme="minorHAnsi"/>
              <w:noProof/>
              <w:sz w:val="22"/>
              <w:lang w:eastAsia="de-DE"/>
            </w:rPr>
          </w:pPr>
          <w:hyperlink w:anchor="_Toc48143445" w:history="1">
            <w:r w:rsidRPr="007F59ED">
              <w:rPr>
                <w:rStyle w:val="Hyperlink"/>
                <w:noProof/>
              </w:rPr>
              <w:t>1.1</w:t>
            </w:r>
            <w:r>
              <w:rPr>
                <w:rFonts w:asciiTheme="minorHAnsi" w:eastAsiaTheme="minorEastAsia" w:hAnsiTheme="minorHAnsi"/>
                <w:noProof/>
                <w:sz w:val="22"/>
                <w:lang w:eastAsia="de-DE"/>
              </w:rPr>
              <w:tab/>
            </w:r>
            <w:r w:rsidRPr="007F59ED">
              <w:rPr>
                <w:rStyle w:val="Hyperlink"/>
                <w:noProof/>
              </w:rPr>
              <w:t>Benoit Pierre Émile Clapeyron</w:t>
            </w:r>
            <w:r>
              <w:rPr>
                <w:noProof/>
                <w:webHidden/>
              </w:rPr>
              <w:tab/>
            </w:r>
            <w:r>
              <w:rPr>
                <w:noProof/>
                <w:webHidden/>
              </w:rPr>
              <w:fldChar w:fldCharType="begin"/>
            </w:r>
            <w:r>
              <w:rPr>
                <w:noProof/>
                <w:webHidden/>
              </w:rPr>
              <w:instrText xml:space="preserve"> PAGEREF _Toc48143445 \h </w:instrText>
            </w:r>
            <w:r>
              <w:rPr>
                <w:noProof/>
                <w:webHidden/>
              </w:rPr>
            </w:r>
            <w:r>
              <w:rPr>
                <w:noProof/>
                <w:webHidden/>
              </w:rPr>
              <w:fldChar w:fldCharType="separate"/>
            </w:r>
            <w:r>
              <w:rPr>
                <w:noProof/>
                <w:webHidden/>
              </w:rPr>
              <w:t>1</w:t>
            </w:r>
            <w:r>
              <w:rPr>
                <w:noProof/>
                <w:webHidden/>
              </w:rPr>
              <w:fldChar w:fldCharType="end"/>
            </w:r>
          </w:hyperlink>
        </w:p>
        <w:p w:rsidR="002D10D0" w:rsidRDefault="002D10D0">
          <w:pPr>
            <w:pStyle w:val="Verzeichnis2"/>
            <w:tabs>
              <w:tab w:val="left" w:pos="880"/>
              <w:tab w:val="right" w:leader="dot" w:pos="9344"/>
            </w:tabs>
            <w:rPr>
              <w:rFonts w:asciiTheme="minorHAnsi" w:eastAsiaTheme="minorEastAsia" w:hAnsiTheme="minorHAnsi"/>
              <w:noProof/>
              <w:sz w:val="22"/>
              <w:lang w:eastAsia="de-DE"/>
            </w:rPr>
          </w:pPr>
          <w:hyperlink w:anchor="_Toc48143446" w:history="1">
            <w:r w:rsidRPr="007F59ED">
              <w:rPr>
                <w:rStyle w:val="Hyperlink"/>
                <w:noProof/>
              </w:rPr>
              <w:t>1.2</w:t>
            </w:r>
            <w:r>
              <w:rPr>
                <w:rFonts w:asciiTheme="minorHAnsi" w:eastAsiaTheme="minorEastAsia" w:hAnsiTheme="minorHAnsi"/>
                <w:noProof/>
                <w:sz w:val="22"/>
                <w:lang w:eastAsia="de-DE"/>
              </w:rPr>
              <w:tab/>
            </w:r>
            <w:r w:rsidRPr="007F59ED">
              <w:rPr>
                <w:rStyle w:val="Hyperlink"/>
                <w:noProof/>
              </w:rPr>
              <w:t>Rudolf Julius Emanuel Clausius</w:t>
            </w:r>
            <w:r>
              <w:rPr>
                <w:noProof/>
                <w:webHidden/>
              </w:rPr>
              <w:tab/>
            </w:r>
            <w:r>
              <w:rPr>
                <w:noProof/>
                <w:webHidden/>
              </w:rPr>
              <w:fldChar w:fldCharType="begin"/>
            </w:r>
            <w:r>
              <w:rPr>
                <w:noProof/>
                <w:webHidden/>
              </w:rPr>
              <w:instrText xml:space="preserve"> PAGEREF _Toc48143446 \h </w:instrText>
            </w:r>
            <w:r>
              <w:rPr>
                <w:noProof/>
                <w:webHidden/>
              </w:rPr>
            </w:r>
            <w:r>
              <w:rPr>
                <w:noProof/>
                <w:webHidden/>
              </w:rPr>
              <w:fldChar w:fldCharType="separate"/>
            </w:r>
            <w:r>
              <w:rPr>
                <w:noProof/>
                <w:webHidden/>
              </w:rPr>
              <w:t>2</w:t>
            </w:r>
            <w:r>
              <w:rPr>
                <w:noProof/>
                <w:webHidden/>
              </w:rPr>
              <w:fldChar w:fldCharType="end"/>
            </w:r>
          </w:hyperlink>
        </w:p>
        <w:p w:rsidR="002D10D0" w:rsidRDefault="002D10D0">
          <w:pPr>
            <w:pStyle w:val="Verzeichnis1"/>
            <w:tabs>
              <w:tab w:val="left" w:pos="480"/>
              <w:tab w:val="right" w:leader="dot" w:pos="9344"/>
            </w:tabs>
            <w:rPr>
              <w:rFonts w:asciiTheme="minorHAnsi" w:eastAsiaTheme="minorEastAsia" w:hAnsiTheme="minorHAnsi"/>
              <w:noProof/>
              <w:sz w:val="22"/>
              <w:lang w:eastAsia="de-DE"/>
            </w:rPr>
          </w:pPr>
          <w:hyperlink w:anchor="_Toc48143447" w:history="1">
            <w:r w:rsidRPr="007F59ED">
              <w:rPr>
                <w:rStyle w:val="Hyperlink"/>
                <w:noProof/>
              </w:rPr>
              <w:t>2</w:t>
            </w:r>
            <w:r>
              <w:rPr>
                <w:rFonts w:asciiTheme="minorHAnsi" w:eastAsiaTheme="minorEastAsia" w:hAnsiTheme="minorHAnsi"/>
                <w:noProof/>
                <w:sz w:val="22"/>
                <w:lang w:eastAsia="de-DE"/>
              </w:rPr>
              <w:tab/>
            </w:r>
            <w:r w:rsidRPr="007F59ED">
              <w:rPr>
                <w:rStyle w:val="Hyperlink"/>
                <w:noProof/>
              </w:rPr>
              <w:t>Erläuterungen zum Phasen-Diagramm</w:t>
            </w:r>
            <w:r>
              <w:rPr>
                <w:noProof/>
                <w:webHidden/>
              </w:rPr>
              <w:tab/>
            </w:r>
            <w:r>
              <w:rPr>
                <w:noProof/>
                <w:webHidden/>
              </w:rPr>
              <w:fldChar w:fldCharType="begin"/>
            </w:r>
            <w:r>
              <w:rPr>
                <w:noProof/>
                <w:webHidden/>
              </w:rPr>
              <w:instrText xml:space="preserve"> PAGEREF _Toc48143447 \h </w:instrText>
            </w:r>
            <w:r>
              <w:rPr>
                <w:noProof/>
                <w:webHidden/>
              </w:rPr>
            </w:r>
            <w:r>
              <w:rPr>
                <w:noProof/>
                <w:webHidden/>
              </w:rPr>
              <w:fldChar w:fldCharType="separate"/>
            </w:r>
            <w:r>
              <w:rPr>
                <w:noProof/>
                <w:webHidden/>
              </w:rPr>
              <w:t>3</w:t>
            </w:r>
            <w:r>
              <w:rPr>
                <w:noProof/>
                <w:webHidden/>
              </w:rPr>
              <w:fldChar w:fldCharType="end"/>
            </w:r>
          </w:hyperlink>
        </w:p>
        <w:p w:rsidR="002D10D0" w:rsidRDefault="002D10D0">
          <w:pPr>
            <w:pStyle w:val="Verzeichnis1"/>
            <w:tabs>
              <w:tab w:val="left" w:pos="480"/>
              <w:tab w:val="right" w:leader="dot" w:pos="9344"/>
            </w:tabs>
            <w:rPr>
              <w:rFonts w:asciiTheme="minorHAnsi" w:eastAsiaTheme="minorEastAsia" w:hAnsiTheme="minorHAnsi"/>
              <w:noProof/>
              <w:sz w:val="22"/>
              <w:lang w:eastAsia="de-DE"/>
            </w:rPr>
          </w:pPr>
          <w:hyperlink w:anchor="_Toc48143448" w:history="1">
            <w:r w:rsidRPr="007F59ED">
              <w:rPr>
                <w:rStyle w:val="Hyperlink"/>
                <w:noProof/>
              </w:rPr>
              <w:t>3</w:t>
            </w:r>
            <w:r>
              <w:rPr>
                <w:rFonts w:asciiTheme="minorHAnsi" w:eastAsiaTheme="minorEastAsia" w:hAnsiTheme="minorHAnsi"/>
                <w:noProof/>
                <w:sz w:val="22"/>
                <w:lang w:eastAsia="de-DE"/>
              </w:rPr>
              <w:tab/>
            </w:r>
            <w:r w:rsidRPr="007F59ED">
              <w:rPr>
                <w:rStyle w:val="Hyperlink"/>
                <w:noProof/>
              </w:rPr>
              <w:t>Herleitung der Clausius-Clapeyron-Gleichung</w:t>
            </w:r>
            <w:r>
              <w:rPr>
                <w:noProof/>
                <w:webHidden/>
              </w:rPr>
              <w:tab/>
            </w:r>
            <w:r>
              <w:rPr>
                <w:noProof/>
                <w:webHidden/>
              </w:rPr>
              <w:fldChar w:fldCharType="begin"/>
            </w:r>
            <w:r>
              <w:rPr>
                <w:noProof/>
                <w:webHidden/>
              </w:rPr>
              <w:instrText xml:space="preserve"> PAGEREF _Toc48143448 \h </w:instrText>
            </w:r>
            <w:r>
              <w:rPr>
                <w:noProof/>
                <w:webHidden/>
              </w:rPr>
            </w:r>
            <w:r>
              <w:rPr>
                <w:noProof/>
                <w:webHidden/>
              </w:rPr>
              <w:fldChar w:fldCharType="separate"/>
            </w:r>
            <w:r>
              <w:rPr>
                <w:noProof/>
                <w:webHidden/>
              </w:rPr>
              <w:t>3</w:t>
            </w:r>
            <w:r>
              <w:rPr>
                <w:noProof/>
                <w:webHidden/>
              </w:rPr>
              <w:fldChar w:fldCharType="end"/>
            </w:r>
          </w:hyperlink>
        </w:p>
        <w:p w:rsidR="006C46BC" w:rsidRDefault="006C46BC">
          <w:r>
            <w:rPr>
              <w:b/>
              <w:bCs/>
            </w:rPr>
            <w:fldChar w:fldCharType="end"/>
          </w:r>
        </w:p>
      </w:sdtContent>
    </w:sdt>
    <w:p w:rsidR="002D10D0" w:rsidRDefault="002D10D0" w:rsidP="002D10D0">
      <w:pPr>
        <w:pStyle w:val="EinstiegAbschluss"/>
      </w:pPr>
      <w:bookmarkStart w:id="1" w:name="_Überschrift_1"/>
      <w:bookmarkEnd w:id="1"/>
      <w:r w:rsidRPr="002D10D0">
        <w:rPr>
          <w:b/>
        </w:rPr>
        <w:t>Einstieg</w:t>
      </w:r>
      <w:r>
        <w:t xml:space="preserve">: </w:t>
      </w:r>
      <w:r>
        <w:t>Einen CO</w:t>
      </w:r>
      <w:r>
        <w:rPr>
          <w:vertAlign w:val="subscript"/>
        </w:rPr>
        <w:t>2</w:t>
      </w:r>
      <w:r>
        <w:t>-Feuerlöscher auf ein (farbiges) Taschentuch entleeren. Dabei das Tuch festhalten, oder befestigen, damit es beim kräftigen löschen nicht wegfliegt. Im Feuerlöscher befindet sich flüssiges Kohlendioxid (hörbar, wenn man den halb geleerten Löscher schüttelt). Beim „Löschvorgang“ strömt das Kohlendioxid als Gas aus, wobei es sich abkühlt (Joule-Thomson-Effekt) und am Tuch Trockeneis bildet, das bei Raumtemperatur und Umgebungsdruck sublimiert. Dadurch sind alle drei Phasen des CO</w:t>
      </w:r>
      <w:r>
        <w:rPr>
          <w:vertAlign w:val="subscript"/>
        </w:rPr>
        <w:t>2</w:t>
      </w:r>
      <w:r>
        <w:t>, fest, gasförmig und flüssig, sichtbar (hörbar) und die Vorgänge können am Phasendiagramm erklärt werden.</w:t>
      </w:r>
    </w:p>
    <w:p w:rsidR="00E8473B" w:rsidRDefault="002D10D0" w:rsidP="008A524D">
      <w:pPr>
        <w:pStyle w:val="berschrift1"/>
      </w:pPr>
      <w:bookmarkStart w:id="2" w:name="_Toc48143444"/>
      <w:r>
        <w:t>Biographische Daten</w:t>
      </w:r>
      <w:bookmarkEnd w:id="2"/>
    </w:p>
    <w:p w:rsidR="00465E22" w:rsidRDefault="00465E22" w:rsidP="00465E22">
      <w:pPr>
        <w:pStyle w:val="berschrift2"/>
      </w:pPr>
      <w:bookmarkStart w:id="3" w:name="_Toc48143445"/>
      <w:r>
        <w:t xml:space="preserve">Benoit Pierre Émile </w:t>
      </w:r>
      <w:proofErr w:type="spellStart"/>
      <w:r>
        <w:t>Clapeyron</w:t>
      </w:r>
      <w:bookmarkEnd w:id="3"/>
      <w:proofErr w:type="spellEnd"/>
    </w:p>
    <w:p w:rsidR="00465E22" w:rsidRDefault="00465E22" w:rsidP="00465E22">
      <w:r>
        <w:t xml:space="preserve">* Paris 21.02.1799, † Paris 28.01.1864 Frz. Ingenieur; war 1820 - 1830 in Sankt Petersburg als Ingenieur und Dozent tätig. Maßgeblich an Planung und Ausführung der ersten frz. Eisenbahnlinien beteiligt. Bedeutender Konstrukteur von Eisenbahnbrücken. Professor an der </w:t>
      </w:r>
      <w:proofErr w:type="spellStart"/>
      <w:r>
        <w:t>École</w:t>
      </w:r>
      <w:proofErr w:type="spellEnd"/>
      <w:r>
        <w:t xml:space="preserve"> des </w:t>
      </w:r>
      <w:proofErr w:type="spellStart"/>
      <w:r>
        <w:t>ponts</w:t>
      </w:r>
      <w:proofErr w:type="spellEnd"/>
      <w:r>
        <w:t xml:space="preserve"> et </w:t>
      </w:r>
      <w:proofErr w:type="spellStart"/>
      <w:r>
        <w:t>chaussées</w:t>
      </w:r>
      <w:proofErr w:type="spellEnd"/>
      <w:r>
        <w:t xml:space="preserve">; 1858 Mitglied der </w:t>
      </w:r>
      <w:proofErr w:type="spellStart"/>
      <w:r>
        <w:t>Académie</w:t>
      </w:r>
      <w:proofErr w:type="spellEnd"/>
      <w:r>
        <w:t xml:space="preserve"> des </w:t>
      </w:r>
      <w:proofErr w:type="spellStart"/>
      <w:r>
        <w:t>sciences</w:t>
      </w:r>
      <w:proofErr w:type="spellEnd"/>
      <w:r>
        <w:t>. Beiträge zur Elastizitätstheorie, Statik, Wärmelehre, mathematische und graphische Darstellung des Carnot-Prozesses und Zustandsgleichung idealer Gase. [</w:t>
      </w:r>
      <w:r>
        <w:fldChar w:fldCharType="begin"/>
      </w:r>
      <w:r>
        <w:instrText xml:space="preserve"> REF _Ref46910307 \r \h </w:instrText>
      </w:r>
      <w:r>
        <w:fldChar w:fldCharType="separate"/>
      </w:r>
      <w:r w:rsidR="002D10D0">
        <w:t>10</w:t>
      </w:r>
      <w:r>
        <w:fldChar w:fldCharType="end"/>
      </w:r>
      <w:r>
        <w:t>]</w:t>
      </w:r>
    </w:p>
    <w:p w:rsidR="00465E22" w:rsidRDefault="00465E22" w:rsidP="00465E22">
      <w:pPr>
        <w:pStyle w:val="Bilder"/>
      </w:pPr>
      <w:r>
        <w:rPr>
          <w:lang w:eastAsia="de-DE"/>
        </w:rPr>
        <w:drawing>
          <wp:inline distT="0" distB="0" distL="0" distR="0">
            <wp:extent cx="1984531"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531" cy="2880000"/>
                    </a:xfrm>
                    <a:prstGeom prst="rect">
                      <a:avLst/>
                    </a:prstGeom>
                    <a:noFill/>
                    <a:ln>
                      <a:noFill/>
                    </a:ln>
                  </pic:spPr>
                </pic:pic>
              </a:graphicData>
            </a:graphic>
          </wp:inline>
        </w:drawing>
      </w:r>
    </w:p>
    <w:p w:rsidR="00465E22" w:rsidRPr="002D10D0" w:rsidRDefault="00465E22" w:rsidP="00465E22">
      <w:pPr>
        <w:pStyle w:val="Beschriftung"/>
        <w:rPr>
          <w:rFonts w:cs="Arial"/>
          <w:lang w:val="en-US"/>
        </w:rPr>
      </w:pPr>
      <w:r w:rsidRPr="002D10D0">
        <w:rPr>
          <w:lang w:val="en-US"/>
        </w:rPr>
        <w:t xml:space="preserve">Abb. </w:t>
      </w:r>
      <w:r w:rsidR="002D10D0">
        <w:fldChar w:fldCharType="begin"/>
      </w:r>
      <w:r w:rsidR="002D10D0" w:rsidRPr="002D10D0">
        <w:rPr>
          <w:lang w:val="en-US"/>
        </w:rPr>
        <w:instrText xml:space="preserve"> SEQ Abb. \* ARABIC </w:instrText>
      </w:r>
      <w:r w:rsidR="002D10D0">
        <w:fldChar w:fldCharType="separate"/>
      </w:r>
      <w:r w:rsidR="002D10D0">
        <w:rPr>
          <w:noProof/>
          <w:lang w:val="en-US"/>
        </w:rPr>
        <w:t>1</w:t>
      </w:r>
      <w:r w:rsidR="002D10D0">
        <w:rPr>
          <w:noProof/>
        </w:rPr>
        <w:fldChar w:fldCharType="end"/>
      </w:r>
      <w:r w:rsidRPr="002D10D0">
        <w:rPr>
          <w:lang w:val="en-US"/>
        </w:rPr>
        <w:t xml:space="preserve">: </w:t>
      </w:r>
      <w:r w:rsidRPr="002D10D0">
        <w:rPr>
          <w:rFonts w:cs="Arial"/>
          <w:lang w:val="en-US"/>
        </w:rPr>
        <w:t xml:space="preserve">Benoit Pierre </w:t>
      </w:r>
      <w:proofErr w:type="spellStart"/>
      <w:r w:rsidRPr="002D10D0">
        <w:rPr>
          <w:rFonts w:cs="Arial"/>
          <w:lang w:val="en-US"/>
        </w:rPr>
        <w:t>Émile</w:t>
      </w:r>
      <w:proofErr w:type="spellEnd"/>
      <w:r w:rsidRPr="002D10D0">
        <w:rPr>
          <w:rFonts w:cs="Arial"/>
          <w:lang w:val="en-US"/>
        </w:rPr>
        <w:t xml:space="preserve"> </w:t>
      </w:r>
      <w:proofErr w:type="spellStart"/>
      <w:r w:rsidRPr="002D10D0">
        <w:rPr>
          <w:rFonts w:cs="Arial"/>
          <w:lang w:val="en-US"/>
        </w:rPr>
        <w:t>Clapeyron</w:t>
      </w:r>
      <w:proofErr w:type="spellEnd"/>
      <w:r w:rsidRPr="002D10D0">
        <w:rPr>
          <w:rFonts w:cs="Arial"/>
          <w:lang w:val="en-US"/>
        </w:rPr>
        <w:t xml:space="preserve"> [</w:t>
      </w:r>
      <w:r>
        <w:rPr>
          <w:rFonts w:cs="Arial"/>
        </w:rPr>
        <w:fldChar w:fldCharType="begin"/>
      </w:r>
      <w:r w:rsidRPr="002D10D0">
        <w:rPr>
          <w:rFonts w:cs="Arial"/>
          <w:lang w:val="en-US"/>
        </w:rPr>
        <w:instrText xml:space="preserve"> REF _Ref46910351 \r \h </w:instrText>
      </w:r>
      <w:r>
        <w:rPr>
          <w:rFonts w:cs="Arial"/>
        </w:rPr>
      </w:r>
      <w:r>
        <w:rPr>
          <w:rFonts w:cs="Arial"/>
        </w:rPr>
        <w:fldChar w:fldCharType="separate"/>
      </w:r>
      <w:r w:rsidR="002D10D0">
        <w:rPr>
          <w:rFonts w:cs="Arial"/>
          <w:lang w:val="en-US"/>
        </w:rPr>
        <w:t>9</w:t>
      </w:r>
      <w:r>
        <w:rPr>
          <w:rFonts w:cs="Arial"/>
        </w:rPr>
        <w:fldChar w:fldCharType="end"/>
      </w:r>
      <w:r w:rsidRPr="002D10D0">
        <w:rPr>
          <w:rFonts w:cs="Arial"/>
          <w:lang w:val="en-US"/>
        </w:rPr>
        <w:t>]</w:t>
      </w:r>
    </w:p>
    <w:p w:rsidR="00465E22" w:rsidRDefault="00465E22" w:rsidP="00465E22">
      <w:pPr>
        <w:pStyle w:val="berschrift2"/>
      </w:pPr>
      <w:bookmarkStart w:id="4" w:name="_Toc48143446"/>
      <w:r>
        <w:lastRenderedPageBreak/>
        <w:t xml:space="preserve">Rudolf Julius Emanuel </w:t>
      </w:r>
      <w:proofErr w:type="spellStart"/>
      <w:r>
        <w:t>Clausius</w:t>
      </w:r>
      <w:bookmarkEnd w:id="4"/>
      <w:proofErr w:type="spellEnd"/>
    </w:p>
    <w:p w:rsidR="00465E22" w:rsidRDefault="00465E22" w:rsidP="00465E22">
      <w:r>
        <w:t xml:space="preserve">*Köslin 02.01.1822, † Bonn 24.08.1888 Deutscher Physiker; Prof. an der ETH Zürich, in Würzburg und ab 1869 in Bonn. Begründer der mechanischen Wärmetheorie; Einführung der Entropie als thermodynamische Zustandsgröße und Formulierung des 2. Hauptsatzes der Thermodynamik. Ausbau der kinetischen Gastheorie; er gilt als Begründer der statistischen Mechanik und hat die </w:t>
      </w:r>
      <w:proofErr w:type="spellStart"/>
      <w:r>
        <w:t>Clapeyron</w:t>
      </w:r>
      <w:proofErr w:type="spellEnd"/>
      <w:r>
        <w:t>-Gleichung verallgemeinert. [</w:t>
      </w:r>
      <w:r>
        <w:fldChar w:fldCharType="begin"/>
      </w:r>
      <w:r>
        <w:instrText xml:space="preserve"> REF _Ref46910549 \r \h </w:instrText>
      </w:r>
      <w:r>
        <w:fldChar w:fldCharType="separate"/>
      </w:r>
      <w:r w:rsidR="002D10D0">
        <w:t>8</w:t>
      </w:r>
      <w:r>
        <w:fldChar w:fldCharType="end"/>
      </w:r>
      <w:r>
        <w:t>]</w:t>
      </w:r>
    </w:p>
    <w:p w:rsidR="00465E22" w:rsidRDefault="00465E22" w:rsidP="00465E22">
      <w:pPr>
        <w:pStyle w:val="Bilder"/>
      </w:pPr>
      <w:r>
        <w:rPr>
          <w:lang w:eastAsia="de-DE"/>
        </w:rPr>
        <w:drawing>
          <wp:inline distT="0" distB="0" distL="0" distR="0">
            <wp:extent cx="185191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910" cy="2880000"/>
                    </a:xfrm>
                    <a:prstGeom prst="rect">
                      <a:avLst/>
                    </a:prstGeom>
                    <a:noFill/>
                    <a:ln>
                      <a:noFill/>
                    </a:ln>
                  </pic:spPr>
                </pic:pic>
              </a:graphicData>
            </a:graphic>
          </wp:inline>
        </w:drawing>
      </w:r>
    </w:p>
    <w:p w:rsidR="00465E22" w:rsidRPr="002D10D0" w:rsidRDefault="00465E22" w:rsidP="00465E22">
      <w:pPr>
        <w:pStyle w:val="Beschriftung"/>
        <w:rPr>
          <w:lang w:val="en-US"/>
        </w:rPr>
      </w:pPr>
      <w:r w:rsidRPr="002D10D0">
        <w:rPr>
          <w:lang w:val="en-US"/>
        </w:rPr>
        <w:t xml:space="preserve">Abb. </w:t>
      </w:r>
      <w:r w:rsidR="002D10D0">
        <w:fldChar w:fldCharType="begin"/>
      </w:r>
      <w:r w:rsidR="002D10D0" w:rsidRPr="002D10D0">
        <w:rPr>
          <w:lang w:val="en-US"/>
        </w:rPr>
        <w:instrText xml:space="preserve"> SEQ Abb. \* ARABIC </w:instrText>
      </w:r>
      <w:r w:rsidR="002D10D0">
        <w:fldChar w:fldCharType="separate"/>
      </w:r>
      <w:r w:rsidR="002D10D0">
        <w:rPr>
          <w:noProof/>
          <w:lang w:val="en-US"/>
        </w:rPr>
        <w:t>2</w:t>
      </w:r>
      <w:r w:rsidR="002D10D0">
        <w:rPr>
          <w:noProof/>
        </w:rPr>
        <w:fldChar w:fldCharType="end"/>
      </w:r>
      <w:r w:rsidRPr="002D10D0">
        <w:rPr>
          <w:lang w:val="en-US"/>
        </w:rPr>
        <w:t xml:space="preserve">: Rudolf Julius Emanuel </w:t>
      </w:r>
      <w:proofErr w:type="spellStart"/>
      <w:r w:rsidRPr="002D10D0">
        <w:rPr>
          <w:lang w:val="en-US"/>
        </w:rPr>
        <w:t>Clausius</w:t>
      </w:r>
      <w:proofErr w:type="spellEnd"/>
      <w:r w:rsidRPr="002D10D0">
        <w:rPr>
          <w:lang w:val="en-US"/>
        </w:rPr>
        <w:t xml:space="preserve"> [</w:t>
      </w:r>
      <w:r>
        <w:fldChar w:fldCharType="begin"/>
      </w:r>
      <w:r w:rsidRPr="002D10D0">
        <w:rPr>
          <w:lang w:val="en-US"/>
        </w:rPr>
        <w:instrText xml:space="preserve"> REF _Ref46910537 \r \h </w:instrText>
      </w:r>
      <w:r>
        <w:fldChar w:fldCharType="separate"/>
      </w:r>
      <w:r w:rsidR="002D10D0">
        <w:rPr>
          <w:lang w:val="en-US"/>
        </w:rPr>
        <w:t>11</w:t>
      </w:r>
      <w:r>
        <w:fldChar w:fldCharType="end"/>
      </w:r>
      <w:r w:rsidRPr="002D10D0">
        <w:rPr>
          <w:lang w:val="en-US"/>
        </w:rPr>
        <w:t>]</w:t>
      </w:r>
    </w:p>
    <w:p w:rsidR="00465E22" w:rsidRDefault="00465E22" w:rsidP="00465E22">
      <w:pPr>
        <w:pStyle w:val="berschrift1"/>
      </w:pPr>
      <w:bookmarkStart w:id="5" w:name="_Toc48143447"/>
      <w:r>
        <w:t>Erläuterungen zum Phasen-Diagramm</w:t>
      </w:r>
      <w:bookmarkEnd w:id="5"/>
    </w:p>
    <w:p w:rsidR="00465E22" w:rsidRDefault="00465E22" w:rsidP="00465E22">
      <w:pPr>
        <w:pStyle w:val="Bilder"/>
      </w:pPr>
      <w:r>
        <w:rPr>
          <w:lang w:eastAsia="de-DE"/>
        </w:rPr>
        <w:drawing>
          <wp:inline distT="0" distB="0" distL="0" distR="0">
            <wp:extent cx="4157503"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503" cy="2880000"/>
                    </a:xfrm>
                    <a:prstGeom prst="rect">
                      <a:avLst/>
                    </a:prstGeom>
                    <a:noFill/>
                    <a:ln>
                      <a:noFill/>
                    </a:ln>
                  </pic:spPr>
                </pic:pic>
              </a:graphicData>
            </a:graphic>
          </wp:inline>
        </w:drawing>
      </w:r>
    </w:p>
    <w:p w:rsidR="00465E22" w:rsidRDefault="00465E22" w:rsidP="00465E22">
      <w:pPr>
        <w:pStyle w:val="Beschriftung"/>
      </w:pPr>
      <w:r>
        <w:t xml:space="preserve">Abb. </w:t>
      </w:r>
      <w:r w:rsidR="002D10D0">
        <w:fldChar w:fldCharType="begin"/>
      </w:r>
      <w:r w:rsidR="002D10D0">
        <w:instrText xml:space="preserve"> SEQ Abb. \* ARABIC </w:instrText>
      </w:r>
      <w:r w:rsidR="002D10D0">
        <w:fldChar w:fldCharType="separate"/>
      </w:r>
      <w:r w:rsidR="002D10D0">
        <w:rPr>
          <w:noProof/>
        </w:rPr>
        <w:t>3</w:t>
      </w:r>
      <w:r w:rsidR="002D10D0">
        <w:rPr>
          <w:noProof/>
        </w:rPr>
        <w:fldChar w:fldCharType="end"/>
      </w:r>
      <w:r>
        <w:t>: Phasen-Diagramm von CO</w:t>
      </w:r>
      <w:r>
        <w:rPr>
          <w:vertAlign w:val="subscript"/>
        </w:rPr>
        <w:t>2</w:t>
      </w:r>
      <w:r>
        <w:t xml:space="preserve"> [</w:t>
      </w:r>
      <w:r>
        <w:fldChar w:fldCharType="begin"/>
      </w:r>
      <w:r>
        <w:instrText xml:space="preserve"> REF _Ref46910625 \r \h </w:instrText>
      </w:r>
      <w:r>
        <w:fldChar w:fldCharType="separate"/>
      </w:r>
      <w:r w:rsidR="002D10D0">
        <w:t>3</w:t>
      </w:r>
      <w:r>
        <w:fldChar w:fldCharType="end"/>
      </w:r>
      <w:r>
        <w:t>]</w:t>
      </w:r>
    </w:p>
    <w:p w:rsidR="00465E22" w:rsidRDefault="00465E22" w:rsidP="00465E22">
      <w:r>
        <w:t>Das Phasen-Diagramm zeigt, dass der Dampfdruck von CO</w:t>
      </w:r>
      <w:r>
        <w:rPr>
          <w:vertAlign w:val="subscript"/>
        </w:rPr>
        <w:t>2</w:t>
      </w:r>
      <w:r>
        <w:t xml:space="preserve"> am Tripelpunkt deutlich größer als der Atmosphären-Druck „p“ (10</w:t>
      </w:r>
      <w:r>
        <w:rPr>
          <w:vertAlign w:val="superscript"/>
        </w:rPr>
        <w:t>5</w:t>
      </w:r>
      <w:r>
        <w:t>Pa). Bei Atmosphären-Druck und einer Temperatur von 194,7 K steht die feste mit der gasförmigen Phase im Gleichgewicht. Wird die Temperatur bei gleichbleibenden Druck erhöht so geht festes CO</w:t>
      </w:r>
      <w:r>
        <w:rPr>
          <w:vertAlign w:val="subscript"/>
        </w:rPr>
        <w:t>2</w:t>
      </w:r>
      <w:r>
        <w:t xml:space="preserve"> direkt in die Gas-Phase über, ohne „Umweg“ über die flüssige Phase. Aus diesem Grund wird es Trockeneis genannt und eignet sich gut als Kühlmittel. Die flüssige Phase beginnt bei 216,8 K am Tripelpunkt, bei einem Druck größer als 5 p. Bei der Standard-Temperatur 298,2 K ergibt sich ein Dampfdruck von 67 p. Deshalb liegt CO</w:t>
      </w:r>
      <w:r>
        <w:rPr>
          <w:vertAlign w:val="subscript"/>
        </w:rPr>
        <w:t>2</w:t>
      </w:r>
      <w:r>
        <w:t xml:space="preserve"> in Druckgas-Flaschen als (inkompressibles) Flüssig-Gas vor. Das dynamische Gleichgewicht zwischen flüssiger und gasförmiger Phase hält den Dampfdruck bis zur vollständigen Entleerung konstant. Im Phasen-Diagramm herrscht also entlang der Phasen-Grenzlinien immer ein Gleichgewicht zwischen den beiden aneinandergrenzenden Phasen z. B. flüssig (</w:t>
      </w:r>
      <w:r>
        <w:rPr>
          <w:rFonts w:cs="Arial"/>
        </w:rPr>
        <w:t>α</w:t>
      </w:r>
      <w:r>
        <w:t>) und gasförmig (</w:t>
      </w:r>
      <w:r>
        <w:rPr>
          <w:rFonts w:cs="Arial"/>
        </w:rPr>
        <w:t>β</w:t>
      </w:r>
      <w:r>
        <w:t>). [</w:t>
      </w:r>
      <w:r>
        <w:fldChar w:fldCharType="begin"/>
      </w:r>
      <w:r>
        <w:instrText xml:space="preserve"> REF _Ref46910625 \r \h </w:instrText>
      </w:r>
      <w:r>
        <w:fldChar w:fldCharType="separate"/>
      </w:r>
      <w:r w:rsidR="002D10D0">
        <w:t>3</w:t>
      </w:r>
      <w:r>
        <w:fldChar w:fldCharType="end"/>
      </w:r>
      <w:r>
        <w:t>]</w:t>
      </w:r>
    </w:p>
    <w:p w:rsidR="00465E22" w:rsidRDefault="00465E22" w:rsidP="00465E22">
      <w:pPr>
        <w:pStyle w:val="berschrift1"/>
      </w:pPr>
      <w:bookmarkStart w:id="6" w:name="_Toc48143448"/>
      <w:r>
        <w:t xml:space="preserve">Herleitung der </w:t>
      </w:r>
      <w:proofErr w:type="spellStart"/>
      <w:r>
        <w:t>Clausius</w:t>
      </w:r>
      <w:proofErr w:type="spellEnd"/>
      <w:r>
        <w:t>-</w:t>
      </w:r>
      <w:proofErr w:type="spellStart"/>
      <w:r>
        <w:t>Clapeyron</w:t>
      </w:r>
      <w:proofErr w:type="spellEnd"/>
      <w:r>
        <w:t>-Gleichung</w:t>
      </w:r>
      <w:bookmarkEnd w:id="6"/>
    </w:p>
    <w:p w:rsidR="00465E22" w:rsidRDefault="00465E22" w:rsidP="00465E22">
      <w:pPr>
        <w:rPr>
          <w:rFonts w:cs="Arial"/>
        </w:rPr>
      </w:pPr>
      <w:r>
        <w:rPr>
          <w:rFonts w:cs="Arial"/>
        </w:rPr>
        <w:t xml:space="preserve">Die partielle molare freie Enthalpie „G“ wird auch chemisches Potenzial (griechisch) „μ“ genannt. Das chemische Potenzial ist ein Maß für die Fähigkeit der Substanz physikalische oder chemische Prozesse auszulösen. In einem Gleichgewicht, wie es entlang der Koexistenz-Kurven im Phasen-Diagramm herrscht, gilt deshalb: μ (Phase α) = μ (Phase β) und somit </w:t>
      </w:r>
      <w:proofErr w:type="spellStart"/>
      <w:r>
        <w:rPr>
          <w:rFonts w:cs="Arial"/>
        </w:rPr>
        <w:t>Δμ</w:t>
      </w:r>
      <w:proofErr w:type="spellEnd"/>
      <w:r>
        <w:rPr>
          <w:rFonts w:cs="Arial"/>
        </w:rPr>
        <w:t xml:space="preserve"> = 0. Man kann schreiben: G = n*μ oder</w:t>
      </w:r>
    </w:p>
    <w:p w:rsidR="00465E22" w:rsidRPr="00465E22" w:rsidRDefault="00465E22" w:rsidP="00465E22">
      <w:pPr>
        <w:pStyle w:val="Formeln"/>
        <w:rPr>
          <w:rFonts w:eastAsiaTheme="minorEastAsia"/>
        </w:rPr>
      </w:pPr>
      <m:oMathPara>
        <m:oMath>
          <m:r>
            <m:rPr>
              <m:nor/>
            </m:rPr>
            <m:t xml:space="preserve">μ = </m:t>
          </m:r>
          <m:f>
            <m:fPr>
              <m:ctrlPr>
                <w:rPr>
                  <w:rFonts w:ascii="Cambria Math" w:hAnsi="Cambria Math"/>
                </w:rPr>
              </m:ctrlPr>
            </m:fPr>
            <m:num>
              <m:r>
                <m:rPr>
                  <m:nor/>
                </m:rPr>
                <m:t>G</m:t>
              </m:r>
            </m:num>
            <m:den>
              <m:r>
                <m:rPr>
                  <m:nor/>
                </m:rPr>
                <m:t>n</m:t>
              </m:r>
            </m:den>
          </m:f>
        </m:oMath>
      </m:oMathPara>
    </w:p>
    <w:p w:rsidR="00465E22" w:rsidRDefault="00465E22" w:rsidP="00465E22">
      <w:pPr>
        <w:rPr>
          <w:rFonts w:cs="Arial"/>
        </w:rPr>
      </w:pPr>
      <w:r>
        <w:rPr>
          <w:rFonts w:cs="Arial"/>
        </w:rPr>
        <w:t xml:space="preserve">Darauf beruht die </w:t>
      </w:r>
      <w:proofErr w:type="spellStart"/>
      <w:r>
        <w:rPr>
          <w:rFonts w:cs="Arial"/>
        </w:rPr>
        <w:t>Clausius</w:t>
      </w:r>
      <w:proofErr w:type="spellEnd"/>
      <w:r>
        <w:rPr>
          <w:rFonts w:cs="Arial"/>
        </w:rPr>
        <w:t>-</w:t>
      </w:r>
      <w:proofErr w:type="spellStart"/>
      <w:r>
        <w:rPr>
          <w:rFonts w:cs="Arial"/>
        </w:rPr>
        <w:t>Clapeyron</w:t>
      </w:r>
      <w:proofErr w:type="spellEnd"/>
      <w:r>
        <w:rPr>
          <w:rFonts w:cs="Arial"/>
        </w:rPr>
        <w:t xml:space="preserve">-Gleichung. Entlang der Koexistenz-Kurven gilt für jede kleine Änderung </w:t>
      </w:r>
      <w:proofErr w:type="spellStart"/>
      <w:r>
        <w:rPr>
          <w:rFonts w:cs="Arial"/>
        </w:rPr>
        <w:t>Δp</w:t>
      </w:r>
      <w:proofErr w:type="spellEnd"/>
      <w:r>
        <w:rPr>
          <w:rFonts w:cs="Arial"/>
        </w:rPr>
        <w:t xml:space="preserve"> und ΔT :</w:t>
      </w:r>
    </w:p>
    <w:p w:rsidR="00465E22" w:rsidRPr="00465E22" w:rsidRDefault="00465E22" w:rsidP="00465E22">
      <w:pPr>
        <w:pStyle w:val="Formeln"/>
        <w:rPr>
          <w:rFonts w:eastAsiaTheme="minorEastAsia"/>
        </w:rPr>
      </w:pPr>
      <w:proofErr w:type="spellStart"/>
      <m:oMathPara>
        <m:oMath>
          <m:r>
            <m:rPr>
              <m:nor/>
            </m:rPr>
            <m:t>Δμ</m:t>
          </m:r>
          <w:proofErr w:type="spellEnd"/>
          <m:r>
            <m:rPr>
              <m:nor/>
            </m:rPr>
            <m:t xml:space="preserve">(α) = </m:t>
          </m:r>
          <w:proofErr w:type="spellStart"/>
          <m:r>
            <m:rPr>
              <m:nor/>
            </m:rPr>
            <m:t>Δμ</m:t>
          </m:r>
          <w:proofErr w:type="spellEnd"/>
          <m:r>
            <m:rPr>
              <m:nor/>
            </m:rPr>
            <m:t>(β)  oder ΔG(α) = ΔG(β)</m:t>
          </m:r>
        </m:oMath>
      </m:oMathPara>
    </w:p>
    <w:p w:rsidR="00465E22" w:rsidRDefault="00465E22" w:rsidP="00465E22">
      <w:pPr>
        <w:rPr>
          <w:rFonts w:cs="Arial"/>
        </w:rPr>
      </w:pPr>
      <w:r>
        <w:rPr>
          <w:rFonts w:cs="Arial"/>
        </w:rPr>
        <w:t>„G“ ist definiert als: G = H – TS. Bei einer Veränderung am System um einen infinitesimalen Betrag ändern sich auch Enthalpie, Temperatur und Entropie zu H + ΔH, T + ΔT, usw. es folgt:</w:t>
      </w:r>
    </w:p>
    <w:p w:rsidR="00465E22" w:rsidRPr="00564EDE" w:rsidRDefault="00564EDE" w:rsidP="00564EDE">
      <w:pPr>
        <w:pStyle w:val="Formeln"/>
        <w:rPr>
          <w:rFonts w:eastAsiaTheme="minorEastAsia"/>
        </w:rPr>
      </w:pPr>
      <m:oMathPara>
        <m:oMath>
          <m:r>
            <m:rPr>
              <m:nor/>
            </m:rPr>
            <w:lastRenderedPageBreak/>
            <m:t>G + ΔG = H+ ΔH -</m:t>
          </m:r>
          <m:r>
            <m:rPr>
              <m:sty m:val="p"/>
            </m:rPr>
            <w:rPr>
              <w:rFonts w:ascii="Cambria Math" w:hAnsi="Cambria Math"/>
            </w:rPr>
            <m:t xml:space="preserve"> </m:t>
          </m:r>
          <m:d>
            <m:dPr>
              <m:ctrlPr>
                <w:rPr>
                  <w:rFonts w:ascii="Cambria Math" w:hAnsi="Cambria Math"/>
                </w:rPr>
              </m:ctrlPr>
            </m:dPr>
            <m:e>
              <m:r>
                <m:rPr>
                  <m:nor/>
                </m:rPr>
                <m:t>T + ΔT</m:t>
              </m:r>
            </m:e>
          </m:d>
          <m:d>
            <m:dPr>
              <m:ctrlPr>
                <w:rPr>
                  <w:rFonts w:ascii="Cambria Math" w:hAnsi="Cambria Math"/>
                </w:rPr>
              </m:ctrlPr>
            </m:dPr>
            <m:e>
              <m:r>
                <m:rPr>
                  <m:nor/>
                </m:rPr>
                <m:t>S + ΔS</m:t>
              </m:r>
            </m:e>
          </m:d>
          <m:r>
            <m:rPr>
              <m:nor/>
            </m:rPr>
            <m:t xml:space="preserve"> = H - TS + ΔH - TΔS - SΔT - ΔTΔS</m:t>
          </m:r>
        </m:oMath>
      </m:oMathPara>
    </w:p>
    <w:p w:rsidR="00564EDE" w:rsidRPr="00564EDE" w:rsidRDefault="00564EDE" w:rsidP="00564EDE">
      <w:pPr>
        <w:pStyle w:val="Formeln"/>
        <w:rPr>
          <w:rFonts w:eastAsiaTheme="minorEastAsia"/>
        </w:rPr>
      </w:pPr>
      <m:oMathPara>
        <m:oMath>
          <m:r>
            <m:rPr>
              <m:nor/>
            </m:rPr>
            <m:t>H - TS = G und ΔTΔS</m:t>
          </m:r>
        </m:oMath>
      </m:oMathPara>
    </w:p>
    <w:p w:rsidR="00564EDE" w:rsidRDefault="00564EDE" w:rsidP="00564EDE">
      <w:r>
        <w:t>kann vernachlässigt werden, woraus sich</w:t>
      </w:r>
    </w:p>
    <w:p w:rsidR="00564EDE" w:rsidRPr="00564EDE" w:rsidRDefault="00564EDE" w:rsidP="00564EDE">
      <w:pPr>
        <w:pStyle w:val="Formeln"/>
        <w:rPr>
          <w:rFonts w:eastAsiaTheme="minorEastAsia"/>
        </w:rPr>
      </w:pPr>
      <m:oMathPara>
        <m:oMath>
          <m:r>
            <m:rPr>
              <m:nor/>
            </m:rPr>
            <m:t>ΔG = ΔH - TΔS - SΔT</m:t>
          </m:r>
        </m:oMath>
      </m:oMathPara>
    </w:p>
    <w:p w:rsidR="00564EDE" w:rsidRPr="00564EDE" w:rsidRDefault="00564EDE" w:rsidP="00564EDE">
      <w:r>
        <w:t>ergibt.</w:t>
      </w:r>
    </w:p>
    <w:p w:rsidR="00465E22" w:rsidRDefault="00564EDE" w:rsidP="00465E22">
      <w:r>
        <w:rPr>
          <w:rFonts w:cs="Arial"/>
        </w:rPr>
        <w:t>Δ</w:t>
      </w:r>
      <w:r>
        <w:t xml:space="preserve">H ist definiert als </w:t>
      </w:r>
      <w:r>
        <w:rPr>
          <w:rFonts w:cs="Arial"/>
        </w:rPr>
        <w:t>Δ</w:t>
      </w:r>
      <w:r>
        <w:t xml:space="preserve">H = </w:t>
      </w:r>
      <w:r>
        <w:rPr>
          <w:rFonts w:cs="Arial"/>
        </w:rPr>
        <w:t>Δ</w:t>
      </w:r>
      <w:r>
        <w:t xml:space="preserve">U + </w:t>
      </w:r>
      <w:proofErr w:type="spellStart"/>
      <w:r>
        <w:t>p</w:t>
      </w:r>
      <w:r>
        <w:rPr>
          <w:rFonts w:cs="Arial"/>
        </w:rPr>
        <w:t>Δ</w:t>
      </w:r>
      <w:r>
        <w:t>V</w:t>
      </w:r>
      <w:proofErr w:type="spellEnd"/>
      <w:r>
        <w:t xml:space="preserve"> + </w:t>
      </w:r>
      <w:proofErr w:type="spellStart"/>
      <w:r>
        <w:t>V</w:t>
      </w:r>
      <w:r>
        <w:rPr>
          <w:rFonts w:cs="Arial"/>
        </w:rPr>
        <w:t>Δ</w:t>
      </w:r>
      <w:r>
        <w:t>p</w:t>
      </w:r>
      <w:proofErr w:type="spellEnd"/>
      <w:r>
        <w:t xml:space="preserve"> und </w:t>
      </w:r>
      <w:r>
        <w:rPr>
          <w:rFonts w:cs="Arial"/>
        </w:rPr>
        <w:t>Δ</w:t>
      </w:r>
      <w:r>
        <w:t xml:space="preserve">U = </w:t>
      </w:r>
      <w:proofErr w:type="spellStart"/>
      <w:r>
        <w:rPr>
          <w:rFonts w:cs="Arial"/>
        </w:rPr>
        <w:t>Δ</w:t>
      </w:r>
      <w:r>
        <w:t>w</w:t>
      </w:r>
      <w:proofErr w:type="spellEnd"/>
      <w:r>
        <w:t xml:space="preserve"> + </w:t>
      </w:r>
      <w:proofErr w:type="spellStart"/>
      <w:r>
        <w:rPr>
          <w:rFonts w:cs="Arial"/>
        </w:rPr>
        <w:t>Δ</w:t>
      </w:r>
      <w:r>
        <w:t>q</w:t>
      </w:r>
      <w:proofErr w:type="spellEnd"/>
    </w:p>
    <w:p w:rsidR="00564EDE" w:rsidRDefault="00564EDE" w:rsidP="00465E22">
      <w:r>
        <w:t>Eingesetzt in die Gleichung ergibt sich:</w:t>
      </w:r>
    </w:p>
    <w:p w:rsidR="00564EDE" w:rsidRPr="00564EDE" w:rsidRDefault="00564EDE" w:rsidP="00564EDE">
      <w:pPr>
        <w:pStyle w:val="Formeln"/>
        <w:rPr>
          <w:rFonts w:eastAsiaTheme="minorEastAsia"/>
        </w:rPr>
      </w:pPr>
      <m:oMathPara>
        <m:oMath>
          <m:r>
            <m:rPr>
              <m:nor/>
            </m:rPr>
            <m:t xml:space="preserve">ΔG = ΔU + </m:t>
          </m:r>
          <w:proofErr w:type="spellStart"/>
          <m:r>
            <m:rPr>
              <m:nor/>
            </m:rPr>
            <m:t>pΔV</m:t>
          </m:r>
          <w:proofErr w:type="spellEnd"/>
          <m:r>
            <m:rPr>
              <m:nor/>
            </m:rPr>
            <m:t xml:space="preserve"> + </m:t>
          </m:r>
          <w:proofErr w:type="spellStart"/>
          <m:r>
            <m:rPr>
              <m:nor/>
            </m:rPr>
            <m:t>VΔp</m:t>
          </m:r>
          <w:proofErr w:type="spellEnd"/>
          <m:r>
            <m:rPr>
              <m:nor/>
            </m:rPr>
            <m:t xml:space="preserve"> - TΔS - SΔT</m:t>
          </m:r>
        </m:oMath>
      </m:oMathPara>
    </w:p>
    <w:p w:rsidR="00564EDE" w:rsidRPr="00564EDE" w:rsidRDefault="00564EDE" w:rsidP="00564EDE">
      <w:pPr>
        <w:pStyle w:val="Formeln"/>
        <w:rPr>
          <w:rFonts w:eastAsiaTheme="minorEastAsia"/>
        </w:rPr>
      </w:pPr>
      <m:oMathPara>
        <m:oMath>
          <m:r>
            <m:rPr>
              <m:nor/>
            </m:rPr>
            <m:t xml:space="preserve">ΔG = </m:t>
          </m:r>
          <w:proofErr w:type="spellStart"/>
          <m:r>
            <m:rPr>
              <m:nor/>
            </m:rPr>
            <m:t>dw</m:t>
          </m:r>
          <w:proofErr w:type="spellEnd"/>
          <m:r>
            <m:rPr>
              <m:nor/>
            </m:rPr>
            <m:t xml:space="preserve"> + </m:t>
          </m:r>
          <w:proofErr w:type="spellStart"/>
          <m:r>
            <m:rPr>
              <m:nor/>
            </m:rPr>
            <m:t>dq</m:t>
          </m:r>
          <w:proofErr w:type="spellEnd"/>
          <m:r>
            <m:rPr>
              <m:nor/>
            </m:rPr>
            <m:t xml:space="preserve"> + </m:t>
          </m:r>
          <w:proofErr w:type="spellStart"/>
          <m:r>
            <m:rPr>
              <m:nor/>
            </m:rPr>
            <m:t>pΔV</m:t>
          </m:r>
          <w:proofErr w:type="spellEnd"/>
          <m:r>
            <m:rPr>
              <m:nor/>
            </m:rPr>
            <m:t xml:space="preserve"> + </m:t>
          </m:r>
          <w:proofErr w:type="spellStart"/>
          <m:r>
            <m:rPr>
              <m:nor/>
            </m:rPr>
            <m:t>VΔp</m:t>
          </m:r>
          <w:proofErr w:type="spellEnd"/>
          <m:r>
            <m:rPr>
              <m:nor/>
            </m:rPr>
            <m:t xml:space="preserve"> - TΔS - SΔT</m:t>
          </m:r>
        </m:oMath>
      </m:oMathPara>
    </w:p>
    <w:p w:rsidR="00564EDE" w:rsidRDefault="00564EDE" w:rsidP="00564EDE">
      <w:r>
        <w:t>Da es sich hier um ein dynamisches Gleichgewicht handelt, der Vorgang also reversibel ist gilt:</w:t>
      </w:r>
    </w:p>
    <w:p w:rsidR="00564EDE" w:rsidRPr="00564EDE" w:rsidRDefault="00564EDE" w:rsidP="00564EDE">
      <w:pPr>
        <w:pStyle w:val="Formeln"/>
        <w:rPr>
          <w:rFonts w:eastAsiaTheme="minorEastAsia"/>
        </w:rPr>
      </w:pPr>
      <w:proofErr w:type="spellStart"/>
      <m:oMathPara>
        <m:oMath>
          <m:r>
            <m:rPr>
              <m:nor/>
            </m:rPr>
            <m:t>Δq</m:t>
          </m:r>
          <w:proofErr w:type="spellEnd"/>
          <m:r>
            <m:rPr>
              <m:nor/>
            </m:rPr>
            <m:t xml:space="preserve"> = TΔS und </m:t>
          </m:r>
          <w:proofErr w:type="spellStart"/>
          <m:r>
            <m:rPr>
              <m:nor/>
            </m:rPr>
            <m:t>dw</m:t>
          </m:r>
          <w:proofErr w:type="spellEnd"/>
          <m:r>
            <m:rPr>
              <m:nor/>
            </m:rPr>
            <m:t xml:space="preserve"> = -</m:t>
          </m:r>
          <w:proofErr w:type="spellStart"/>
          <m:r>
            <m:rPr>
              <m:nor/>
            </m:rPr>
            <m:t>pΔV</m:t>
          </m:r>
        </m:oMath>
      </m:oMathPara>
      <w:proofErr w:type="spellEnd"/>
    </w:p>
    <w:p w:rsidR="00564EDE" w:rsidRDefault="00564EDE" w:rsidP="00564EDE">
      <w:r>
        <w:t>Eine reversible Veränderung führt also zu:</w:t>
      </w:r>
    </w:p>
    <w:p w:rsidR="00564EDE" w:rsidRPr="00564EDE" w:rsidRDefault="00564EDE" w:rsidP="00564EDE">
      <w:pPr>
        <w:pStyle w:val="Formeln"/>
        <w:rPr>
          <w:rFonts w:eastAsiaTheme="minorEastAsia"/>
        </w:rPr>
      </w:pPr>
      <m:oMathPara>
        <m:oMath>
          <m:r>
            <m:rPr>
              <m:nor/>
            </m:rPr>
            <m:t xml:space="preserve">ΔG = </m:t>
          </m:r>
          <w:proofErr w:type="spellStart"/>
          <m:r>
            <m:rPr>
              <m:nor/>
            </m:rPr>
            <m:t>VΔp</m:t>
          </m:r>
          <w:proofErr w:type="spellEnd"/>
          <m:r>
            <m:rPr>
              <m:nor/>
            </m:rPr>
            <m:t xml:space="preserve"> - SΔT</m:t>
          </m:r>
        </m:oMath>
      </m:oMathPara>
    </w:p>
    <w:p w:rsidR="00564EDE" w:rsidRDefault="00564EDE" w:rsidP="00564EDE">
      <w:r>
        <w:t>Da „G“ eine Zustandsgröße ist, spielt es keine Rolle auf welche Art und Weise eine (beliebig kleine) Änderung hervorgerufen wird. Es gilt also für alle infinitesimalen Änderungen:</w:t>
      </w:r>
    </w:p>
    <w:p w:rsidR="00564EDE" w:rsidRPr="00564EDE" w:rsidRDefault="00564EDE" w:rsidP="00564EDE">
      <w:pPr>
        <w:pStyle w:val="Formeln"/>
        <w:rPr>
          <w:rFonts w:eastAsiaTheme="minorEastAsia"/>
        </w:rPr>
      </w:pPr>
      <m:oMathPara>
        <m:oMath>
          <m:r>
            <m:rPr>
              <m:nor/>
            </m:rPr>
            <m:t xml:space="preserve">ΔG = </m:t>
          </m:r>
          <w:proofErr w:type="spellStart"/>
          <m:r>
            <m:rPr>
              <m:nor/>
            </m:rPr>
            <m:t>VΔp</m:t>
          </m:r>
          <w:proofErr w:type="spellEnd"/>
          <m:r>
            <m:rPr>
              <m:nor/>
            </m:rPr>
            <m:t xml:space="preserve"> - SΔT</m:t>
          </m:r>
        </m:oMath>
      </m:oMathPara>
    </w:p>
    <w:p w:rsidR="00564EDE" w:rsidRPr="00564EDE" w:rsidRDefault="00564EDE" w:rsidP="00564EDE">
      <w:pPr>
        <w:pStyle w:val="Formeln"/>
        <w:rPr>
          <w:rFonts w:eastAsiaTheme="minorEastAsia"/>
        </w:rPr>
      </w:pPr>
      <m:oMathPara>
        <m:oMath>
          <m:r>
            <m:rPr>
              <m:nor/>
            </m:rPr>
            <m:t>ΔG(α) = ΔG(β)</m:t>
          </m:r>
        </m:oMath>
      </m:oMathPara>
    </w:p>
    <w:p w:rsidR="00564EDE" w:rsidRPr="007C51C7" w:rsidRDefault="007C51C7" w:rsidP="007C51C7">
      <w:pPr>
        <w:pStyle w:val="Formeln"/>
        <w:rPr>
          <w:rFonts w:eastAsiaTheme="minorEastAsia"/>
        </w:rPr>
      </w:pPr>
      <m:oMathPara>
        <m:oMath>
          <m:r>
            <m:rPr>
              <m:nor/>
            </m:rPr>
            <m:t>Vα</m:t>
          </m:r>
          <w:proofErr w:type="spellStart"/>
          <m:r>
            <m:rPr>
              <m:nor/>
            </m:rPr>
            <m:t>Δp</m:t>
          </m:r>
          <w:proofErr w:type="spellEnd"/>
          <m:r>
            <m:rPr>
              <m:nor/>
            </m:rPr>
            <m:t xml:space="preserve"> - SαΔT = VβΔT - SβΔT</m:t>
          </m:r>
        </m:oMath>
      </m:oMathPara>
    </w:p>
    <w:p w:rsidR="007C51C7" w:rsidRPr="007C51C7" w:rsidRDefault="002D10D0" w:rsidP="007C51C7">
      <w:pPr>
        <w:pStyle w:val="Formeln"/>
        <w:rPr>
          <w:rFonts w:eastAsiaTheme="minorEastAsia"/>
        </w:rPr>
      </w:pPr>
      <m:oMathPara>
        <m:oMath>
          <m:d>
            <m:dPr>
              <m:ctrlPr>
                <w:rPr>
                  <w:rFonts w:ascii="Cambria Math" w:hAnsi="Cambria Math"/>
                </w:rPr>
              </m:ctrlPr>
            </m:dPr>
            <m:e>
              <m:r>
                <m:rPr>
                  <m:nor/>
                </m:rPr>
                <m:t>Vα - Vβ</m:t>
              </m:r>
            </m:e>
          </m:d>
          <w:proofErr w:type="spellStart"/>
          <m:r>
            <m:rPr>
              <m:nor/>
            </m:rPr>
            <m:t>Δp</m:t>
          </m:r>
          <w:proofErr w:type="spellEnd"/>
          <m:r>
            <m:rPr>
              <m:nor/>
            </m:rPr>
            <m:t xml:space="preserve"> = (Sα - Sβ)ΔT</m:t>
          </m:r>
        </m:oMath>
      </m:oMathPara>
    </w:p>
    <w:p w:rsidR="007C51C7" w:rsidRPr="007C51C7" w:rsidRDefault="002D10D0" w:rsidP="007C51C7">
      <w:pPr>
        <w:pStyle w:val="Formeln"/>
        <w:rPr>
          <w:rFonts w:eastAsiaTheme="minorEastAsia"/>
          <w:sz w:val="48"/>
          <w:szCs w:val="48"/>
        </w:rPr>
      </w:pPr>
      <m:oMathPara>
        <m:oMath>
          <m:f>
            <m:fPr>
              <m:ctrlPr>
                <w:rPr>
                  <w:rFonts w:ascii="Cambria Math" w:hAnsi="Cambria Math"/>
                  <w:sz w:val="48"/>
                  <w:szCs w:val="48"/>
                </w:rPr>
              </m:ctrlPr>
            </m:fPr>
            <m:num>
              <m:r>
                <m:rPr>
                  <m:nor/>
                </m:rPr>
                <w:rPr>
                  <w:sz w:val="48"/>
                  <w:szCs w:val="48"/>
                </w:rPr>
                <m:t>Δp</m:t>
              </m:r>
            </m:num>
            <m:den>
              <m:r>
                <m:rPr>
                  <m:nor/>
                </m:rPr>
                <w:rPr>
                  <w:sz w:val="48"/>
                  <w:szCs w:val="48"/>
                </w:rPr>
                <m:t>ΔT</m:t>
              </m:r>
            </m:den>
          </m:f>
          <m:r>
            <m:rPr>
              <m:nor/>
            </m:rPr>
            <w:rPr>
              <w:sz w:val="48"/>
              <w:szCs w:val="48"/>
            </w:rPr>
            <m:t xml:space="preserve"> = </m:t>
          </m:r>
          <m:f>
            <m:fPr>
              <m:ctrlPr>
                <w:rPr>
                  <w:rFonts w:ascii="Cambria Math" w:hAnsi="Cambria Math"/>
                  <w:sz w:val="48"/>
                  <w:szCs w:val="48"/>
                </w:rPr>
              </m:ctrlPr>
            </m:fPr>
            <m:num>
              <m:r>
                <m:rPr>
                  <m:nor/>
                </m:rPr>
                <w:rPr>
                  <w:sz w:val="48"/>
                  <w:szCs w:val="48"/>
                </w:rPr>
                <m:t>ΔS</m:t>
              </m:r>
            </m:num>
            <m:den>
              <m:r>
                <m:rPr>
                  <m:nor/>
                </m:rPr>
                <w:rPr>
                  <w:sz w:val="48"/>
                  <w:szCs w:val="48"/>
                </w:rPr>
                <m:t>ΔV</m:t>
              </m:r>
            </m:den>
          </m:f>
        </m:oMath>
      </m:oMathPara>
    </w:p>
    <w:p w:rsidR="007C51C7" w:rsidRDefault="007C51C7" w:rsidP="007C51C7">
      <w:pPr>
        <w:pStyle w:val="Beschriftung"/>
      </w:pPr>
      <w:r>
        <w:t xml:space="preserve">Gleichung </w:t>
      </w:r>
      <w:r w:rsidR="002D10D0">
        <w:fldChar w:fldCharType="begin"/>
      </w:r>
      <w:r w:rsidR="002D10D0">
        <w:instrText xml:space="preserve"> SEQ Gleichung \* ARABIC </w:instrText>
      </w:r>
      <w:r w:rsidR="002D10D0">
        <w:fldChar w:fldCharType="separate"/>
      </w:r>
      <w:r w:rsidR="002D10D0">
        <w:rPr>
          <w:noProof/>
        </w:rPr>
        <w:t>1</w:t>
      </w:r>
      <w:r w:rsidR="002D10D0">
        <w:rPr>
          <w:noProof/>
        </w:rPr>
        <w:fldChar w:fldCharType="end"/>
      </w:r>
      <w:r>
        <w:t xml:space="preserve">: </w:t>
      </w:r>
      <w:proofErr w:type="spellStart"/>
      <w:r>
        <w:t>Clapeyron</w:t>
      </w:r>
      <w:proofErr w:type="spellEnd"/>
      <w:r>
        <w:t>-Gleichung</w:t>
      </w:r>
    </w:p>
    <w:p w:rsidR="007C51C7" w:rsidRPr="007C51C7" w:rsidRDefault="007C51C7" w:rsidP="007C51C7">
      <w:r>
        <w:rPr>
          <w:rFonts w:cs="Arial"/>
        </w:rPr>
        <w:t xml:space="preserve">Die </w:t>
      </w:r>
      <w:proofErr w:type="spellStart"/>
      <w:r>
        <w:rPr>
          <w:rFonts w:cs="Arial"/>
        </w:rPr>
        <w:t>Clapeyron</w:t>
      </w:r>
      <w:proofErr w:type="spellEnd"/>
      <w:r>
        <w:rPr>
          <w:rFonts w:cs="Arial"/>
        </w:rPr>
        <w:t>-Gleichung drückt die Steigung (</w:t>
      </w:r>
      <w:proofErr w:type="spellStart"/>
      <w:r>
        <w:rPr>
          <w:rFonts w:cs="Arial"/>
        </w:rPr>
        <w:t>Δp</w:t>
      </w:r>
      <w:proofErr w:type="spellEnd"/>
      <w:r>
        <w:rPr>
          <w:rFonts w:cs="Arial"/>
        </w:rPr>
        <w:t>/ΔT) einer jeden Phasen-Grenzlinie über die Phasen-Übergangsentropie und das Phasen-Übergangsvolumen aus. Für den Phasenübergang flüssig/gasförmig setzen wir also Verdampfungsentropie und -volumen ein.</w:t>
      </w:r>
    </w:p>
    <w:p w:rsidR="00564EDE" w:rsidRDefault="007C51C7" w:rsidP="00564EDE">
      <w:pPr>
        <w:rPr>
          <w:rFonts w:eastAsiaTheme="minorEastAsia"/>
        </w:rPr>
      </w:pPr>
      <w:r>
        <w:rPr>
          <w:rFonts w:eastAsiaTheme="minorEastAsia"/>
        </w:rPr>
        <w:t xml:space="preserve">Für </w:t>
      </w:r>
      <w:proofErr w:type="spellStart"/>
      <w:r>
        <w:rPr>
          <w:rFonts w:eastAsiaTheme="minorEastAsia" w:cs="Arial"/>
        </w:rPr>
        <w:t>Δ</w:t>
      </w:r>
      <w:r>
        <w:rPr>
          <w:rFonts w:eastAsiaTheme="minorEastAsia"/>
        </w:rPr>
        <w:t>Sv</w:t>
      </w:r>
      <w:proofErr w:type="spellEnd"/>
      <w:r>
        <w:rPr>
          <w:rFonts w:eastAsiaTheme="minorEastAsia"/>
        </w:rPr>
        <w:t xml:space="preserve"> gilt:</w:t>
      </w:r>
    </w:p>
    <w:p w:rsidR="007C51C7" w:rsidRPr="007C51C7" w:rsidRDefault="007C51C7" w:rsidP="007C51C7">
      <w:pPr>
        <w:pStyle w:val="Formeln"/>
        <w:rPr>
          <w:rFonts w:eastAsiaTheme="minorEastAsia"/>
        </w:rPr>
      </w:pPr>
      <w:proofErr w:type="spellStart"/>
      <m:oMathPara>
        <m:oMath>
          <m:r>
            <m:rPr>
              <m:nor/>
            </m:rPr>
            <m:t>ΔSv</m:t>
          </m:r>
          <w:proofErr w:type="spellEnd"/>
          <m:r>
            <m:rPr>
              <m:nor/>
            </m:rPr>
            <m:t xml:space="preserve"> = </m:t>
          </m:r>
          <m:f>
            <m:fPr>
              <m:ctrlPr>
                <w:rPr>
                  <w:rFonts w:ascii="Cambria Math" w:hAnsi="Cambria Math"/>
                </w:rPr>
              </m:ctrlPr>
            </m:fPr>
            <m:num>
              <m:sSub>
                <m:sSubPr>
                  <m:ctrlPr>
                    <w:rPr>
                      <w:rFonts w:ascii="Cambria Math" w:hAnsi="Cambria Math"/>
                    </w:rPr>
                  </m:ctrlPr>
                </m:sSubPr>
                <m:e>
                  <m:r>
                    <m:rPr>
                      <m:nor/>
                    </m:rPr>
                    <m:t>ΔH</m:t>
                  </m:r>
                </m:e>
                <m:sub>
                  <m:r>
                    <m:rPr>
                      <m:nor/>
                    </m:rPr>
                    <m:t>v</m:t>
                  </m:r>
                </m:sub>
              </m:sSub>
            </m:num>
            <m:den>
              <m:r>
                <m:rPr>
                  <m:nor/>
                </m:rPr>
                <m:t>T</m:t>
              </m:r>
            </m:den>
          </m:f>
        </m:oMath>
      </m:oMathPara>
    </w:p>
    <w:p w:rsidR="007C51C7" w:rsidRPr="007C51C7" w:rsidRDefault="002D10D0" w:rsidP="007C51C7">
      <w:pPr>
        <w:pStyle w:val="Formeln"/>
        <w:rPr>
          <w:rFonts w:eastAsiaTheme="minorEastAsia"/>
        </w:rPr>
      </w:pPr>
      <m:oMathPara>
        <m:oMath>
          <m:f>
            <m:fPr>
              <m:ctrlPr>
                <w:rPr>
                  <w:rFonts w:ascii="Cambria Math" w:hAnsi="Cambria Math"/>
                </w:rPr>
              </m:ctrlPr>
            </m:fPr>
            <m:num>
              <m:r>
                <m:rPr>
                  <m:nor/>
                </m:rPr>
                <m:t>Δp</m:t>
              </m:r>
            </m:num>
            <m:den>
              <m:r>
                <m:rPr>
                  <m:nor/>
                </m:rPr>
                <m:t>ΔT</m:t>
              </m:r>
            </m:den>
          </m:f>
          <m:r>
            <m:rPr>
              <m:nor/>
            </m:rPr>
            <m:t xml:space="preserve"> = </m:t>
          </m:r>
          <m:f>
            <m:fPr>
              <m:ctrlPr>
                <w:rPr>
                  <w:rFonts w:ascii="Cambria Math" w:hAnsi="Cambria Math"/>
                </w:rPr>
              </m:ctrlPr>
            </m:fPr>
            <m:num>
              <m:sSub>
                <m:sSubPr>
                  <m:ctrlPr>
                    <w:rPr>
                      <w:rFonts w:ascii="Cambria Math" w:hAnsi="Cambria Math"/>
                    </w:rPr>
                  </m:ctrlPr>
                </m:sSubPr>
                <m:e>
                  <m:r>
                    <m:rPr>
                      <m:nor/>
                    </m:rPr>
                    <m:t>ΔH</m:t>
                  </m:r>
                </m:e>
                <m:sub>
                  <m:r>
                    <m:rPr>
                      <m:nor/>
                    </m:rPr>
                    <m:t>v</m:t>
                  </m:r>
                </m:sub>
              </m:sSub>
            </m:num>
            <m:den>
              <m:sSub>
                <m:sSubPr>
                  <m:ctrlPr>
                    <w:rPr>
                      <w:rFonts w:ascii="Cambria Math" w:hAnsi="Cambria Math"/>
                    </w:rPr>
                  </m:ctrlPr>
                </m:sSubPr>
                <m:e>
                  <m:r>
                    <m:rPr>
                      <m:nor/>
                    </m:rPr>
                    <m:t>TΔV</m:t>
                  </m:r>
                </m:e>
                <m:sub>
                  <m:r>
                    <m:rPr>
                      <m:nor/>
                    </m:rPr>
                    <m:t>v</m:t>
                  </m:r>
                </m:sub>
              </m:sSub>
            </m:den>
          </m:f>
        </m:oMath>
      </m:oMathPara>
    </w:p>
    <w:p w:rsidR="007C51C7" w:rsidRDefault="007C51C7" w:rsidP="007C51C7">
      <w:pPr>
        <w:rPr>
          <w:rFonts w:cs="Arial"/>
        </w:rPr>
      </w:pPr>
      <w:r>
        <w:t>da V</w:t>
      </w:r>
      <w:r>
        <w:rPr>
          <w:rFonts w:cs="Arial"/>
        </w:rPr>
        <w:t>β</w:t>
      </w:r>
      <w:r>
        <w:t xml:space="preserve"> &gt;&gt; V</w:t>
      </w:r>
      <w:r>
        <w:rPr>
          <w:rFonts w:cs="Arial"/>
        </w:rPr>
        <w:t>α</w:t>
      </w:r>
      <w:r>
        <w:t xml:space="preserve"> </w:t>
      </w:r>
      <w:r>
        <w:rPr>
          <w:rFonts w:cs="Arial"/>
        </w:rPr>
        <w:t>→</w:t>
      </w:r>
      <w:r>
        <w:t xml:space="preserve"> V</w:t>
      </w:r>
      <w:r>
        <w:rPr>
          <w:rFonts w:cs="Arial"/>
        </w:rPr>
        <w:t>β</w:t>
      </w:r>
      <w:r>
        <w:t xml:space="preserve"> </w:t>
      </w:r>
      <w:r>
        <w:rPr>
          <w:rFonts w:cs="Arial"/>
        </w:rPr>
        <w:t>- Vα ~ Vβ = RT/p</w:t>
      </w:r>
    </w:p>
    <w:p w:rsidR="007C51C7" w:rsidRPr="007C51C7" w:rsidRDefault="002D10D0" w:rsidP="007C51C7">
      <w:pPr>
        <w:pStyle w:val="Formeln"/>
        <w:rPr>
          <w:rFonts w:eastAsiaTheme="minorEastAsia"/>
        </w:rPr>
      </w:pPr>
      <m:oMathPara>
        <m:oMath>
          <m:f>
            <m:fPr>
              <m:ctrlPr>
                <w:rPr>
                  <w:rFonts w:ascii="Cambria Math" w:hAnsi="Cambria Math"/>
                </w:rPr>
              </m:ctrlPr>
            </m:fPr>
            <m:num>
              <m:r>
                <m:rPr>
                  <m:nor/>
                </m:rPr>
                <m:t>Δp</m:t>
              </m:r>
            </m:num>
            <m:den>
              <m:r>
                <m:rPr>
                  <m:nor/>
                </m:rPr>
                <m:t>ΔT</m:t>
              </m:r>
            </m:den>
          </m:f>
          <m:r>
            <m:rPr>
              <m:nor/>
            </m:rPr>
            <m:t xml:space="preserve"> = </m:t>
          </m:r>
          <m:f>
            <m:fPr>
              <m:ctrlPr>
                <w:rPr>
                  <w:rFonts w:ascii="Cambria Math" w:hAnsi="Cambria Math"/>
                </w:rPr>
              </m:ctrlPr>
            </m:fPr>
            <m:num>
              <m:r>
                <m:rPr>
                  <m:nor/>
                </m:rPr>
                <m:t>pΔ</m:t>
              </m:r>
              <m:sSub>
                <m:sSubPr>
                  <m:ctrlPr>
                    <w:rPr>
                      <w:rFonts w:ascii="Cambria Math" w:hAnsi="Cambria Math"/>
                    </w:rPr>
                  </m:ctrlPr>
                </m:sSubPr>
                <m:e>
                  <m:r>
                    <m:rPr>
                      <m:nor/>
                    </m:rPr>
                    <m:t>V</m:t>
                  </m:r>
                </m:e>
                <m:sub>
                  <m:r>
                    <m:rPr>
                      <m:nor/>
                    </m:rPr>
                    <m:t>v</m:t>
                  </m:r>
                </m:sub>
              </m:sSub>
            </m:num>
            <m:den>
              <m:sSup>
                <m:sSupPr>
                  <m:ctrlPr>
                    <w:rPr>
                      <w:rFonts w:ascii="Cambria Math" w:hAnsi="Cambria Math"/>
                    </w:rPr>
                  </m:ctrlPr>
                </m:sSupPr>
                <m:e>
                  <m:r>
                    <m:rPr>
                      <m:nor/>
                    </m:rPr>
                    <m:t>RT</m:t>
                  </m:r>
                </m:e>
                <m:sup>
                  <m:r>
                    <m:rPr>
                      <m:nor/>
                    </m:rPr>
                    <m:t>2</m:t>
                  </m:r>
                </m:sup>
              </m:sSup>
            </m:den>
          </m:f>
        </m:oMath>
      </m:oMathPara>
    </w:p>
    <w:p w:rsidR="007C51C7" w:rsidRDefault="007C51C7" w:rsidP="007C51C7">
      <w:r>
        <w:t>Dividieren durch p:</w:t>
      </w:r>
    </w:p>
    <w:p w:rsidR="007C51C7" w:rsidRPr="007C51C7" w:rsidRDefault="002D10D0" w:rsidP="007C51C7">
      <w:pPr>
        <w:pStyle w:val="Formeln"/>
        <w:rPr>
          <w:rFonts w:eastAsiaTheme="minorEastAsia"/>
        </w:rPr>
      </w:pPr>
      <m:oMathPara>
        <m:oMath>
          <m:f>
            <m:fPr>
              <m:ctrlPr>
                <w:rPr>
                  <w:rFonts w:ascii="Cambria Math" w:hAnsi="Cambria Math"/>
                </w:rPr>
              </m:ctrlPr>
            </m:fPr>
            <m:num>
              <m:r>
                <m:rPr>
                  <m:nor/>
                </m:rPr>
                <m:t>Δp</m:t>
              </m:r>
            </m:num>
            <m:den>
              <m:r>
                <m:rPr>
                  <m:nor/>
                </m:rPr>
                <m:t>pΔT</m:t>
              </m:r>
            </m:den>
          </m:f>
          <m:r>
            <m:rPr>
              <m:nor/>
            </m:rPr>
            <m:t xml:space="preserve"> = </m:t>
          </m:r>
          <m:f>
            <m:fPr>
              <m:ctrlPr>
                <w:rPr>
                  <w:rFonts w:ascii="Cambria Math" w:hAnsi="Cambria Math"/>
                </w:rPr>
              </m:ctrlPr>
            </m:fPr>
            <m:num>
              <m:sSub>
                <m:sSubPr>
                  <m:ctrlPr>
                    <w:rPr>
                      <w:rFonts w:ascii="Cambria Math" w:hAnsi="Cambria Math"/>
                    </w:rPr>
                  </m:ctrlPr>
                </m:sSubPr>
                <m:e>
                  <m:r>
                    <m:rPr>
                      <m:nor/>
                    </m:rPr>
                    <m:t>ΔV</m:t>
                  </m:r>
                </m:e>
                <m:sub>
                  <m:r>
                    <m:rPr>
                      <m:nor/>
                    </m:rPr>
                    <m:t>v</m:t>
                  </m:r>
                </m:sub>
              </m:sSub>
            </m:num>
            <m:den>
              <m:sSup>
                <m:sSupPr>
                  <m:ctrlPr>
                    <w:rPr>
                      <w:rFonts w:ascii="Cambria Math" w:hAnsi="Cambria Math"/>
                    </w:rPr>
                  </m:ctrlPr>
                </m:sSupPr>
                <m:e>
                  <m:r>
                    <m:rPr>
                      <m:nor/>
                    </m:rPr>
                    <m:t>RT</m:t>
                  </m:r>
                </m:e>
                <m:sup>
                  <m:r>
                    <m:rPr>
                      <m:nor/>
                    </m:rPr>
                    <m:t>2</m:t>
                  </m:r>
                </m:sup>
              </m:sSup>
            </m:den>
          </m:f>
        </m:oMath>
      </m:oMathPara>
    </w:p>
    <w:p w:rsidR="007C51C7" w:rsidRDefault="00BC2EAD" w:rsidP="007C51C7">
      <w:pPr>
        <w:rPr>
          <w:rFonts w:cs="Arial"/>
        </w:rPr>
      </w:pPr>
      <w:r>
        <w:rPr>
          <w:rFonts w:cs="Arial"/>
        </w:rPr>
        <w:t xml:space="preserve">und setzten die häufig verwendete mathematische Umformung </w:t>
      </w:r>
      <w:proofErr w:type="spellStart"/>
      <w:r>
        <w:rPr>
          <w:rFonts w:cs="Arial"/>
        </w:rPr>
        <w:t>Δp</w:t>
      </w:r>
      <w:proofErr w:type="spellEnd"/>
      <w:r>
        <w:rPr>
          <w:rFonts w:cs="Arial"/>
        </w:rPr>
        <w:t xml:space="preserve">/p = </w:t>
      </w:r>
      <w:proofErr w:type="spellStart"/>
      <w:r>
        <w:rPr>
          <w:rFonts w:cs="Arial"/>
        </w:rPr>
        <w:t>Δlogp</w:t>
      </w:r>
      <w:proofErr w:type="spellEnd"/>
      <w:r>
        <w:rPr>
          <w:rFonts w:cs="Arial"/>
        </w:rPr>
        <w:t xml:space="preserve"> ein, ergibt sich:</w:t>
      </w:r>
    </w:p>
    <w:p w:rsidR="00BC2EAD" w:rsidRPr="00BC2EAD" w:rsidRDefault="002D10D0" w:rsidP="00BC2EAD">
      <w:pPr>
        <w:pStyle w:val="Formeln"/>
        <w:rPr>
          <w:rFonts w:eastAsiaTheme="minorEastAsia"/>
          <w:sz w:val="48"/>
          <w:szCs w:val="48"/>
        </w:rPr>
      </w:pPr>
      <m:oMathPara>
        <m:oMath>
          <m:f>
            <m:fPr>
              <m:ctrlPr>
                <w:rPr>
                  <w:rFonts w:ascii="Cambria Math" w:hAnsi="Cambria Math" w:cstheme="majorHAnsi"/>
                  <w:sz w:val="48"/>
                  <w:szCs w:val="48"/>
                </w:rPr>
              </m:ctrlPr>
            </m:fPr>
            <m:num>
              <m:r>
                <m:rPr>
                  <m:nor/>
                </m:rPr>
                <w:rPr>
                  <w:rFonts w:asciiTheme="majorHAnsi" w:hAnsiTheme="majorHAnsi" w:cstheme="majorHAnsi"/>
                  <w:sz w:val="48"/>
                  <w:szCs w:val="48"/>
                </w:rPr>
                <m:t>Δ</m:t>
              </m:r>
              <m:func>
                <m:funcPr>
                  <m:ctrlPr>
                    <w:rPr>
                      <w:rFonts w:ascii="Cambria Math" w:hAnsi="Cambria Math" w:cstheme="majorHAnsi"/>
                      <w:sz w:val="48"/>
                      <w:szCs w:val="48"/>
                    </w:rPr>
                  </m:ctrlPr>
                </m:funcPr>
                <m:fName>
                  <m:r>
                    <m:rPr>
                      <m:nor/>
                    </m:rPr>
                    <w:rPr>
                      <w:rFonts w:asciiTheme="majorHAnsi" w:hAnsiTheme="majorHAnsi" w:cstheme="majorHAnsi"/>
                      <w:sz w:val="48"/>
                      <w:szCs w:val="48"/>
                    </w:rPr>
                    <m:t>ln</m:t>
                  </m:r>
                </m:fName>
                <m:e>
                  <m:r>
                    <m:rPr>
                      <m:nor/>
                    </m:rPr>
                    <w:rPr>
                      <w:rFonts w:asciiTheme="majorHAnsi" w:hAnsiTheme="majorHAnsi" w:cstheme="majorHAnsi"/>
                      <w:sz w:val="48"/>
                      <w:szCs w:val="48"/>
                    </w:rPr>
                    <m:t>p</m:t>
                  </m:r>
                </m:e>
              </m:func>
            </m:num>
            <m:den>
              <m:r>
                <m:rPr>
                  <m:nor/>
                </m:rPr>
                <w:rPr>
                  <w:rFonts w:asciiTheme="majorHAnsi" w:hAnsiTheme="majorHAnsi" w:cstheme="majorHAnsi"/>
                  <w:sz w:val="48"/>
                  <w:szCs w:val="48"/>
                </w:rPr>
                <m:t>ΔT</m:t>
              </m:r>
            </m:den>
          </m:f>
          <m:r>
            <m:rPr>
              <m:nor/>
            </m:rPr>
            <w:rPr>
              <w:rFonts w:asciiTheme="majorHAnsi" w:hAnsiTheme="majorHAnsi" w:cstheme="majorHAnsi"/>
              <w:sz w:val="48"/>
              <w:szCs w:val="48"/>
            </w:rPr>
            <m:t xml:space="preserve"> = </m:t>
          </m:r>
          <m:f>
            <m:fPr>
              <m:ctrlPr>
                <w:rPr>
                  <w:rFonts w:ascii="Cambria Math" w:hAnsi="Cambria Math" w:cstheme="majorHAnsi"/>
                  <w:sz w:val="48"/>
                  <w:szCs w:val="48"/>
                </w:rPr>
              </m:ctrlPr>
            </m:fPr>
            <m:num>
              <m:sSub>
                <m:sSubPr>
                  <m:ctrlPr>
                    <w:rPr>
                      <w:rFonts w:ascii="Cambria Math" w:hAnsi="Cambria Math" w:cstheme="majorHAnsi"/>
                      <w:sz w:val="48"/>
                      <w:szCs w:val="48"/>
                    </w:rPr>
                  </m:ctrlPr>
                </m:sSubPr>
                <m:e>
                  <m:r>
                    <m:rPr>
                      <m:nor/>
                    </m:rPr>
                    <w:rPr>
                      <w:rFonts w:asciiTheme="majorHAnsi" w:hAnsiTheme="majorHAnsi" w:cstheme="majorHAnsi"/>
                      <w:sz w:val="48"/>
                      <w:szCs w:val="48"/>
                    </w:rPr>
                    <m:t>ΔH</m:t>
                  </m:r>
                </m:e>
                <m:sub>
                  <m:r>
                    <m:rPr>
                      <m:nor/>
                    </m:rPr>
                    <w:rPr>
                      <w:rFonts w:asciiTheme="majorHAnsi" w:hAnsiTheme="majorHAnsi" w:cstheme="majorHAnsi"/>
                      <w:sz w:val="48"/>
                      <w:szCs w:val="48"/>
                    </w:rPr>
                    <m:t>V</m:t>
                  </m:r>
                </m:sub>
              </m:sSub>
            </m:num>
            <m:den>
              <m:sSup>
                <m:sSupPr>
                  <m:ctrlPr>
                    <w:rPr>
                      <w:rFonts w:ascii="Cambria Math" w:hAnsi="Cambria Math" w:cstheme="majorHAnsi"/>
                      <w:sz w:val="48"/>
                      <w:szCs w:val="48"/>
                    </w:rPr>
                  </m:ctrlPr>
                </m:sSupPr>
                <m:e>
                  <m:r>
                    <m:rPr>
                      <m:nor/>
                    </m:rPr>
                    <w:rPr>
                      <w:rFonts w:asciiTheme="majorHAnsi" w:hAnsiTheme="majorHAnsi" w:cstheme="majorHAnsi"/>
                      <w:sz w:val="48"/>
                      <w:szCs w:val="48"/>
                    </w:rPr>
                    <m:t>RT</m:t>
                  </m:r>
                </m:e>
                <m:sup>
                  <m:r>
                    <m:rPr>
                      <m:nor/>
                    </m:rPr>
                    <w:rPr>
                      <w:rFonts w:asciiTheme="majorHAnsi" w:hAnsiTheme="majorHAnsi" w:cstheme="majorHAnsi"/>
                      <w:sz w:val="48"/>
                      <w:szCs w:val="48"/>
                    </w:rPr>
                    <m:t>2</m:t>
                  </m:r>
                </m:sup>
              </m:sSup>
            </m:den>
          </m:f>
        </m:oMath>
      </m:oMathPara>
    </w:p>
    <w:p w:rsidR="00BC2EAD" w:rsidRDefault="00BC2EAD" w:rsidP="00BC2EAD">
      <w:pPr>
        <w:pStyle w:val="Beschriftung"/>
      </w:pPr>
      <w:r w:rsidRPr="00BC2EAD">
        <w:t xml:space="preserve">Gleichung </w:t>
      </w:r>
      <w:r w:rsidR="002D10D0">
        <w:fldChar w:fldCharType="begin"/>
      </w:r>
      <w:r w:rsidR="002D10D0">
        <w:instrText xml:space="preserve"> SEQ Gleichung \* ARABIC </w:instrText>
      </w:r>
      <w:r w:rsidR="002D10D0">
        <w:fldChar w:fldCharType="separate"/>
      </w:r>
      <w:r w:rsidR="002D10D0">
        <w:rPr>
          <w:noProof/>
        </w:rPr>
        <w:t>2</w:t>
      </w:r>
      <w:r w:rsidR="002D10D0">
        <w:rPr>
          <w:noProof/>
        </w:rPr>
        <w:fldChar w:fldCharType="end"/>
      </w:r>
      <w:r w:rsidRPr="00BC2EAD">
        <w:t xml:space="preserve">: </w:t>
      </w:r>
      <w:proofErr w:type="spellStart"/>
      <w:r w:rsidRPr="00BC2EAD">
        <w:t>Clausius</w:t>
      </w:r>
      <w:proofErr w:type="spellEnd"/>
      <w:r>
        <w:t>-</w:t>
      </w:r>
      <w:proofErr w:type="spellStart"/>
      <w:r w:rsidRPr="00BC2EAD">
        <w:t>Clapeyron</w:t>
      </w:r>
      <w:proofErr w:type="spellEnd"/>
      <w:r w:rsidRPr="00BC2EAD">
        <w:t>-Gleichung</w:t>
      </w:r>
    </w:p>
    <w:p w:rsidR="00BC2EAD" w:rsidRDefault="00BC2EAD" w:rsidP="00BC2EAD">
      <w:pPr>
        <w:rPr>
          <w:rFonts w:cs="Arial"/>
        </w:rPr>
      </w:pPr>
      <w:r>
        <w:rPr>
          <w:rFonts w:cs="Arial"/>
        </w:rPr>
        <w:t xml:space="preserve">Die </w:t>
      </w:r>
      <w:proofErr w:type="spellStart"/>
      <w:r>
        <w:rPr>
          <w:rFonts w:cs="Arial"/>
        </w:rPr>
        <w:t>Clausius</w:t>
      </w:r>
      <w:proofErr w:type="spellEnd"/>
      <w:r>
        <w:rPr>
          <w:rFonts w:cs="Arial"/>
        </w:rPr>
        <w:t>-</w:t>
      </w:r>
      <w:proofErr w:type="spellStart"/>
      <w:r>
        <w:rPr>
          <w:rFonts w:cs="Arial"/>
        </w:rPr>
        <w:t>Clapeyron</w:t>
      </w:r>
      <w:proofErr w:type="spellEnd"/>
      <w:r>
        <w:rPr>
          <w:rFonts w:cs="Arial"/>
        </w:rPr>
        <w:t>-Gleichung ist ein Ausdruck für die Temperatur-Abhängigkeit des Dampfdrucks einer Substanz. Sie gibt die Steigung der Kurve an, die man erhält, wenn der Logarithmus des Dampfdrucks der Substanz als Funktion der Temperatur aufgetragen wird. Die Steigung ist bei gegebener Temperatur proportional zum Dampfdruck der Substanz.</w:t>
      </w:r>
    </w:p>
    <w:p w:rsidR="00BC2EAD" w:rsidRDefault="00BC2EAD" w:rsidP="00BC2EAD">
      <w:pPr>
        <w:pStyle w:val="Bilder"/>
      </w:pPr>
      <w:r>
        <w:rPr>
          <w:lang w:eastAsia="de-DE"/>
        </w:rPr>
        <w:drawing>
          <wp:inline distT="0" distB="0" distL="0" distR="0">
            <wp:extent cx="2270681" cy="252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0681" cy="2520000"/>
                    </a:xfrm>
                    <a:prstGeom prst="rect">
                      <a:avLst/>
                    </a:prstGeom>
                    <a:noFill/>
                    <a:ln>
                      <a:noFill/>
                    </a:ln>
                  </pic:spPr>
                </pic:pic>
              </a:graphicData>
            </a:graphic>
          </wp:inline>
        </w:drawing>
      </w:r>
    </w:p>
    <w:p w:rsidR="00BC2EAD" w:rsidRDefault="00BC2EAD" w:rsidP="00BC2EAD">
      <w:pPr>
        <w:pStyle w:val="Beschriftung"/>
      </w:pPr>
      <w:r>
        <w:t xml:space="preserve">Abb. </w:t>
      </w:r>
      <w:r w:rsidR="002D10D0">
        <w:fldChar w:fldCharType="begin"/>
      </w:r>
      <w:r w:rsidR="002D10D0">
        <w:instrText xml:space="preserve"> SEQ Abb. \* ARABIC </w:instrText>
      </w:r>
      <w:r w:rsidR="002D10D0">
        <w:fldChar w:fldCharType="separate"/>
      </w:r>
      <w:r w:rsidR="002D10D0">
        <w:rPr>
          <w:noProof/>
        </w:rPr>
        <w:t>4</w:t>
      </w:r>
      <w:r w:rsidR="002D10D0">
        <w:rPr>
          <w:noProof/>
        </w:rPr>
        <w:fldChar w:fldCharType="end"/>
      </w:r>
      <w:r>
        <w:t xml:space="preserve">: Graph der </w:t>
      </w:r>
      <w:proofErr w:type="spellStart"/>
      <w:r>
        <w:t>Clausius</w:t>
      </w:r>
      <w:proofErr w:type="spellEnd"/>
      <w:r>
        <w:t>-</w:t>
      </w:r>
      <w:proofErr w:type="spellStart"/>
      <w:r>
        <w:t>Clapeyron</w:t>
      </w:r>
      <w:proofErr w:type="spellEnd"/>
      <w:r>
        <w:t>-Gleichung [</w:t>
      </w:r>
      <w:r>
        <w:fldChar w:fldCharType="begin"/>
      </w:r>
      <w:r>
        <w:instrText xml:space="preserve"> REF _Ref46910625 \r \h </w:instrText>
      </w:r>
      <w:r>
        <w:fldChar w:fldCharType="separate"/>
      </w:r>
      <w:r w:rsidR="002D10D0">
        <w:t>3</w:t>
      </w:r>
      <w:r>
        <w:fldChar w:fldCharType="end"/>
      </w:r>
      <w:r>
        <w:t>]</w:t>
      </w:r>
    </w:p>
    <w:p w:rsidR="00BC2EAD" w:rsidRDefault="00BC2EAD" w:rsidP="00BC2EAD">
      <w:pPr>
        <w:rPr>
          <w:rFonts w:cs="Arial"/>
        </w:rPr>
      </w:pPr>
      <w:r>
        <w:rPr>
          <w:rFonts w:cs="Arial"/>
        </w:rPr>
        <w:t xml:space="preserve">Aus der </w:t>
      </w:r>
      <w:proofErr w:type="spellStart"/>
      <w:r>
        <w:rPr>
          <w:rFonts w:cs="Arial"/>
        </w:rPr>
        <w:t>Clausius</w:t>
      </w:r>
      <w:proofErr w:type="spellEnd"/>
      <w:r>
        <w:rPr>
          <w:rFonts w:cs="Arial"/>
        </w:rPr>
        <w:t>-</w:t>
      </w:r>
      <w:proofErr w:type="spellStart"/>
      <w:r>
        <w:rPr>
          <w:rFonts w:cs="Arial"/>
        </w:rPr>
        <w:t>Clapeyron</w:t>
      </w:r>
      <w:proofErr w:type="spellEnd"/>
      <w:r>
        <w:rPr>
          <w:rFonts w:cs="Arial"/>
        </w:rPr>
        <w:t>-Gleichung kann man nach entsprechenden mathematischen Umformungen einen Ausdruck für den Dampfdruck erhalten.</w:t>
      </w:r>
    </w:p>
    <w:p w:rsidR="00BC2EAD" w:rsidRPr="00BC2EAD" w:rsidRDefault="00BC2EAD" w:rsidP="00BC2EAD">
      <w:pPr>
        <w:pStyle w:val="Formeln"/>
        <w:rPr>
          <w:rFonts w:eastAsiaTheme="minorEastAsia"/>
        </w:rPr>
      </w:pPr>
      <m:oMathPara>
        <m:oMath>
          <m:r>
            <m:rPr>
              <m:nor/>
            </m:rPr>
            <w:rPr>
              <w:rFonts w:asciiTheme="majorHAnsi" w:hAnsiTheme="majorHAnsi" w:cstheme="majorHAnsi"/>
            </w:rPr>
            <m:t>Δ</m:t>
          </m:r>
          <m:func>
            <m:funcPr>
              <m:ctrlPr>
                <w:rPr>
                  <w:rFonts w:ascii="Cambria Math" w:hAnsi="Cambria Math" w:cstheme="majorHAnsi"/>
                </w:rPr>
              </m:ctrlPr>
            </m:funcPr>
            <m:fName>
              <m:r>
                <m:rPr>
                  <m:nor/>
                </m:rPr>
                <w:rPr>
                  <w:rFonts w:asciiTheme="majorHAnsi" w:hAnsiTheme="majorHAnsi" w:cstheme="majorHAnsi"/>
                </w:rPr>
                <m:t>ln</m:t>
              </m:r>
            </m:fName>
            <m:e>
              <m:r>
                <m:rPr>
                  <m:nor/>
                </m:rPr>
                <w:rPr>
                  <w:rFonts w:asciiTheme="majorHAnsi" w:hAnsiTheme="majorHAnsi" w:cstheme="majorHAnsi"/>
                </w:rPr>
                <m:t>p</m:t>
              </m:r>
            </m:e>
          </m:func>
          <m:r>
            <m:rPr>
              <m:nor/>
            </m:rPr>
            <w:rPr>
              <w:rFonts w:asciiTheme="majorHAnsi" w:hAnsiTheme="majorHAnsi" w:cstheme="majorHAnsi"/>
            </w:rPr>
            <m:t xml:space="preserve"> =</m:t>
          </m:r>
          <m:r>
            <m:rPr>
              <m:sty m:val="p"/>
            </m:rPr>
            <w:rPr>
              <w:rFonts w:ascii="Cambria Math" w:hAnsi="Cambria Math" w:cstheme="majorHAnsi"/>
            </w:rPr>
            <m:t xml:space="preserve"> </m:t>
          </m:r>
          <m:f>
            <m:fPr>
              <m:ctrlPr>
                <w:rPr>
                  <w:rFonts w:ascii="Cambria Math" w:hAnsi="Cambria Math" w:cstheme="majorHAnsi"/>
                </w:rPr>
              </m:ctrlPr>
            </m:fPr>
            <m:num>
              <m:sSub>
                <m:sSubPr>
                  <m:ctrlPr>
                    <w:rPr>
                      <w:rFonts w:ascii="Cambria Math" w:hAnsi="Cambria Math" w:cstheme="majorHAnsi"/>
                    </w:rPr>
                  </m:ctrlPr>
                </m:sSubPr>
                <m:e>
                  <m:r>
                    <m:rPr>
                      <m:nor/>
                    </m:rPr>
                    <w:rPr>
                      <w:rFonts w:asciiTheme="majorHAnsi" w:hAnsiTheme="majorHAnsi" w:cstheme="majorHAnsi"/>
                    </w:rPr>
                    <m:t>ΔH</m:t>
                  </m:r>
                </m:e>
                <m:sub>
                  <m:r>
                    <m:rPr>
                      <m:nor/>
                    </m:rPr>
                    <w:rPr>
                      <w:rFonts w:asciiTheme="majorHAnsi" w:hAnsiTheme="majorHAnsi" w:cstheme="majorHAnsi"/>
                    </w:rPr>
                    <m:t>V</m:t>
                  </m:r>
                </m:sub>
              </m:sSub>
            </m:num>
            <m:den>
              <m:sSup>
                <m:sSupPr>
                  <m:ctrlPr>
                    <w:rPr>
                      <w:rFonts w:ascii="Cambria Math" w:hAnsi="Cambria Math" w:cstheme="majorHAnsi"/>
                    </w:rPr>
                  </m:ctrlPr>
                </m:sSupPr>
                <m:e>
                  <m:r>
                    <m:rPr>
                      <m:nor/>
                    </m:rPr>
                    <w:rPr>
                      <w:rFonts w:asciiTheme="majorHAnsi" w:hAnsiTheme="majorHAnsi" w:cstheme="majorHAnsi"/>
                    </w:rPr>
                    <m:t>RT</m:t>
                  </m:r>
                </m:e>
                <m:sup>
                  <m:r>
                    <m:rPr>
                      <m:nor/>
                    </m:rPr>
                    <w:rPr>
                      <w:rFonts w:asciiTheme="majorHAnsi" w:hAnsiTheme="majorHAnsi" w:cstheme="majorHAnsi"/>
                    </w:rPr>
                    <m:t>2</m:t>
                  </m:r>
                </m:sup>
              </m:sSup>
            </m:den>
          </m:f>
          <m:r>
            <m:rPr>
              <m:nor/>
            </m:rPr>
            <w:rPr>
              <w:rFonts w:asciiTheme="majorHAnsi" w:hAnsiTheme="majorHAnsi" w:cstheme="majorHAnsi"/>
            </w:rPr>
            <m:t>ΔT</m:t>
          </m:r>
        </m:oMath>
      </m:oMathPara>
    </w:p>
    <w:p w:rsidR="00BC2EAD" w:rsidRDefault="00BC2EAD" w:rsidP="00BC2EAD">
      <w:pPr>
        <w:rPr>
          <w:rFonts w:cs="Arial"/>
        </w:rPr>
      </w:pPr>
      <w:r>
        <w:rPr>
          <w:rFonts w:cs="Arial"/>
        </w:rPr>
        <w:t>Die Gleichung wird integriert und angenommen, dass die Temperaturen „T“ und „T‘“ und die Drücke „p“ und „p´“ herrschen.</w:t>
      </w:r>
    </w:p>
    <w:p w:rsidR="00BC2EAD" w:rsidRPr="00BC2EAD" w:rsidRDefault="002D10D0" w:rsidP="00BC2EAD">
      <w:pPr>
        <w:pStyle w:val="Formeln"/>
        <w:rPr>
          <w:rFonts w:eastAsiaTheme="minorEastAsia"/>
        </w:rPr>
      </w:pPr>
      <m:oMathPara>
        <m:oMath>
          <m:nary>
            <m:naryPr>
              <m:limLoc m:val="undOvr"/>
              <m:ctrlPr>
                <w:rPr>
                  <w:rFonts w:ascii="Cambria Math" w:hAnsi="Cambria Math"/>
                </w:rPr>
              </m:ctrlPr>
            </m:naryPr>
            <m:sub>
              <m:r>
                <m:rPr>
                  <m:nor/>
                </m:rPr>
                <m:t>p</m:t>
              </m:r>
            </m:sub>
            <m:sup>
              <m:r>
                <m:rPr>
                  <m:nor/>
                </m:rPr>
                <m:t>p'</m:t>
              </m:r>
            </m:sup>
            <m:e>
              <m:r>
                <m:rPr>
                  <m:nor/>
                </m:rPr>
                <m:t>Δ</m:t>
              </m:r>
              <m:func>
                <m:funcPr>
                  <m:ctrlPr>
                    <w:rPr>
                      <w:rFonts w:ascii="Cambria Math" w:hAnsi="Cambria Math"/>
                    </w:rPr>
                  </m:ctrlPr>
                </m:funcPr>
                <m:fName>
                  <m:r>
                    <m:rPr>
                      <m:nor/>
                    </m:rPr>
                    <w:rPr>
                      <w:rFonts w:asciiTheme="majorHAnsi" w:hAnsiTheme="majorHAnsi" w:cstheme="majorHAnsi"/>
                    </w:rPr>
                    <m:t>ln</m:t>
                  </m:r>
                </m:fName>
                <m:e>
                  <m:r>
                    <m:rPr>
                      <m:nor/>
                    </m:rPr>
                    <m:t>p</m:t>
                  </m:r>
                </m:e>
              </m:func>
            </m:e>
          </m:nary>
          <m:r>
            <m:rPr>
              <m:nor/>
            </m:rPr>
            <m:t xml:space="preserve"> =</m:t>
          </m:r>
          <m:r>
            <m:rPr>
              <m:sty m:val="p"/>
            </m:rPr>
            <w:rPr>
              <w:rFonts w:ascii="Cambria Math" w:hAnsi="Cambria Math"/>
            </w:rPr>
            <m:t xml:space="preserve"> </m:t>
          </m:r>
          <m:nary>
            <m:naryPr>
              <m:limLoc m:val="undOvr"/>
              <m:ctrlPr>
                <w:rPr>
                  <w:rFonts w:ascii="Cambria Math" w:hAnsi="Cambria Math"/>
                </w:rPr>
              </m:ctrlPr>
            </m:naryPr>
            <m:sub>
              <m:r>
                <m:rPr>
                  <m:nor/>
                </m:rPr>
                <m:t>T</m:t>
              </m:r>
            </m:sub>
            <m:sup>
              <m:r>
                <m:rPr>
                  <m:nor/>
                </m:rPr>
                <m:t>T'</m:t>
              </m:r>
            </m:sup>
            <m:e>
              <m:f>
                <m:fPr>
                  <m:ctrlPr>
                    <w:rPr>
                      <w:rFonts w:ascii="Cambria Math" w:hAnsi="Cambria Math"/>
                    </w:rPr>
                  </m:ctrlPr>
                </m:fPr>
                <m:num>
                  <m:sSub>
                    <m:sSubPr>
                      <m:ctrlPr>
                        <w:rPr>
                          <w:rFonts w:ascii="Cambria Math" w:hAnsi="Cambria Math"/>
                        </w:rPr>
                      </m:ctrlPr>
                    </m:sSubPr>
                    <m:e>
                      <m:r>
                        <m:rPr>
                          <m:nor/>
                        </m:rPr>
                        <m:t>ΔH</m:t>
                      </m:r>
                    </m:e>
                    <m:sub>
                      <m:r>
                        <m:rPr>
                          <m:nor/>
                        </m:rPr>
                        <m:t>V</m:t>
                      </m:r>
                    </m:sub>
                  </m:sSub>
                </m:num>
                <m:den>
                  <m:sSup>
                    <m:sSupPr>
                      <m:ctrlPr>
                        <w:rPr>
                          <w:rFonts w:ascii="Cambria Math" w:hAnsi="Cambria Math"/>
                        </w:rPr>
                      </m:ctrlPr>
                    </m:sSupPr>
                    <m:e>
                      <m:r>
                        <m:rPr>
                          <m:nor/>
                        </m:rPr>
                        <m:t>RT</m:t>
                      </m:r>
                    </m:e>
                    <m:sup>
                      <m:r>
                        <m:rPr>
                          <m:nor/>
                        </m:rPr>
                        <m:t>2</m:t>
                      </m:r>
                    </m:sup>
                  </m:sSup>
                </m:den>
              </m:f>
            </m:e>
          </m:nary>
          <m:r>
            <m:rPr>
              <m:nor/>
            </m:rPr>
            <m:t>ΔT</m:t>
          </m:r>
        </m:oMath>
      </m:oMathPara>
    </w:p>
    <w:p w:rsidR="00BC2EAD" w:rsidRDefault="00BC2EAD" w:rsidP="00BC2EAD">
      <w:r w:rsidRPr="00BC2EAD">
        <w:t xml:space="preserve">Das Integral auf der linken Seite ergibt sich zu </w:t>
      </w:r>
      <w:proofErr w:type="spellStart"/>
      <w:r w:rsidRPr="00BC2EAD">
        <w:t>ln</w:t>
      </w:r>
      <w:proofErr w:type="spellEnd"/>
      <w:r w:rsidRPr="00BC2EAD">
        <w:t xml:space="preserve">(p´/p), auf der rechten Seite wird </w:t>
      </w:r>
      <w:r>
        <w:t>v</w:t>
      </w:r>
      <w:r w:rsidRPr="00BC2EAD">
        <w:t xml:space="preserve">orausgesetzt, dass die Verdampfungsenthalpie konstant ist. </w:t>
      </w:r>
      <w:r>
        <w:t>„</w:t>
      </w:r>
      <w:r w:rsidRPr="00BC2EAD">
        <w:t>R</w:t>
      </w:r>
      <w:r>
        <w:t>“</w:t>
      </w:r>
      <w:r w:rsidRPr="00BC2EAD">
        <w:t xml:space="preserve"> und </w:t>
      </w:r>
      <w:r>
        <w:t>„</w:t>
      </w:r>
      <w:r w:rsidRPr="00BC2EAD">
        <w:t>H</w:t>
      </w:r>
      <w:r>
        <w:t>“</w:t>
      </w:r>
      <w:r w:rsidRPr="00BC2EAD">
        <w:t xml:space="preserve"> können somit vor das Integral gezogen werden, zur Auflösung des Integrals wird das Standard</w:t>
      </w:r>
      <w:r>
        <w:t>-I</w:t>
      </w:r>
      <w:r w:rsidRPr="00BC2EAD">
        <w:t>ntegral</w:t>
      </w:r>
      <w:r>
        <w:t>.</w:t>
      </w:r>
    </w:p>
    <w:p w:rsidR="00BC2EAD" w:rsidRPr="00BC2EAD" w:rsidRDefault="002D10D0" w:rsidP="00BC2EAD">
      <w:pPr>
        <w:pStyle w:val="Formeln"/>
        <w:rPr>
          <w:rFonts w:eastAsiaTheme="minorEastAsia"/>
        </w:rPr>
      </w:pPr>
      <m:oMathPara>
        <m:oMath>
          <m:nary>
            <m:naryPr>
              <m:limLoc m:val="undOvr"/>
              <m:subHide m:val="1"/>
              <m:supHide m:val="1"/>
              <m:ctrlPr>
                <w:rPr>
                  <w:rFonts w:ascii="Cambria Math" w:hAnsi="Cambria Math"/>
                </w:rPr>
              </m:ctrlPr>
            </m:naryPr>
            <m:sub/>
            <m:sup/>
            <m:e>
              <m:f>
                <m:fPr>
                  <m:ctrlPr>
                    <w:rPr>
                      <w:rFonts w:ascii="Cambria Math" w:hAnsi="Cambria Math"/>
                    </w:rPr>
                  </m:ctrlPr>
                </m:fPr>
                <m:num>
                  <m:r>
                    <m:rPr>
                      <m:nor/>
                    </m:rPr>
                    <m:t>Δx</m:t>
                  </m:r>
                </m:num>
                <m:den>
                  <m:sSup>
                    <m:sSupPr>
                      <m:ctrlPr>
                        <w:rPr>
                          <w:rFonts w:ascii="Cambria Math" w:hAnsi="Cambria Math"/>
                        </w:rPr>
                      </m:ctrlPr>
                    </m:sSupPr>
                    <m:e>
                      <m:r>
                        <m:rPr>
                          <m:nor/>
                        </m:rPr>
                        <m:t>x</m:t>
                      </m:r>
                    </m:e>
                    <m:sup>
                      <m:r>
                        <m:rPr>
                          <m:nor/>
                        </m:rPr>
                        <m:t>2</m:t>
                      </m:r>
                    </m:sup>
                  </m:sSup>
                </m:den>
              </m:f>
            </m:e>
          </m:nary>
          <m:r>
            <m:rPr>
              <m:nor/>
            </m:rPr>
            <m:t xml:space="preserve"> = -</m:t>
          </m:r>
          <m:f>
            <m:fPr>
              <m:ctrlPr>
                <w:rPr>
                  <w:rFonts w:ascii="Cambria Math" w:hAnsi="Cambria Math"/>
                </w:rPr>
              </m:ctrlPr>
            </m:fPr>
            <m:num>
              <m:r>
                <m:rPr>
                  <m:nor/>
                </m:rPr>
                <m:t>1</m:t>
              </m:r>
            </m:num>
            <m:den>
              <m:r>
                <m:rPr>
                  <m:nor/>
                </m:rPr>
                <m:t>x</m:t>
              </m:r>
            </m:den>
          </m:f>
          <m:r>
            <m:rPr>
              <m:nor/>
            </m:rPr>
            <m:t xml:space="preserve"> + K</m:t>
          </m:r>
        </m:oMath>
      </m:oMathPara>
    </w:p>
    <w:p w:rsidR="00BC2EAD" w:rsidRDefault="00BC2EAD" w:rsidP="00BC2EAD">
      <w:r>
        <w:t>Verwendet.</w:t>
      </w:r>
    </w:p>
    <w:p w:rsidR="00BC2EAD" w:rsidRPr="00BA618C" w:rsidRDefault="002D10D0" w:rsidP="00BA618C">
      <w:pPr>
        <w:pStyle w:val="Formeln"/>
      </w:pPr>
      <m:oMathPara>
        <m:oMath>
          <m:func>
            <m:funcPr>
              <m:ctrlPr>
                <w:rPr>
                  <w:rFonts w:ascii="Cambria Math" w:hAnsi="Cambria Math"/>
                </w:rPr>
              </m:ctrlPr>
            </m:funcPr>
            <m:fName>
              <m:r>
                <m:rPr>
                  <m:nor/>
                </m:rPr>
                <m:t>ln</m:t>
              </m:r>
            </m:fName>
            <m:e>
              <m:d>
                <m:dPr>
                  <m:ctrlPr>
                    <w:rPr>
                      <w:rFonts w:ascii="Cambria Math" w:hAnsi="Cambria Math"/>
                    </w:rPr>
                  </m:ctrlPr>
                </m:dPr>
                <m:e>
                  <m:f>
                    <m:fPr>
                      <m:ctrlPr>
                        <w:rPr>
                          <w:rFonts w:ascii="Cambria Math" w:hAnsi="Cambria Math"/>
                        </w:rPr>
                      </m:ctrlPr>
                    </m:fPr>
                    <m:num>
                      <m:r>
                        <m:rPr>
                          <m:nor/>
                        </m:rPr>
                        <m:t>p'</m:t>
                      </m:r>
                    </m:num>
                    <m:den>
                      <m:r>
                        <m:rPr>
                          <m:nor/>
                        </m:rPr>
                        <m:t>P</m:t>
                      </m:r>
                    </m:den>
                  </m:f>
                </m:e>
              </m:d>
            </m:e>
          </m:func>
          <m:r>
            <m:rPr>
              <m:nor/>
            </m:rPr>
            <m:t xml:space="preserve"> = </m:t>
          </m:r>
          <m:f>
            <m:fPr>
              <m:ctrlPr>
                <w:rPr>
                  <w:rFonts w:ascii="Cambria Math" w:hAnsi="Cambria Math"/>
                </w:rPr>
              </m:ctrlPr>
            </m:fPr>
            <m:num>
              <m:sSub>
                <m:sSubPr>
                  <m:ctrlPr>
                    <w:rPr>
                      <w:rFonts w:ascii="Cambria Math" w:hAnsi="Cambria Math"/>
                    </w:rPr>
                  </m:ctrlPr>
                </m:sSubPr>
                <m:e>
                  <m:r>
                    <m:rPr>
                      <m:nor/>
                    </m:rPr>
                    <m:t>ΔH</m:t>
                  </m:r>
                </m:e>
                <m:sub>
                  <m:r>
                    <m:rPr>
                      <m:nor/>
                    </m:rPr>
                    <m:t>V</m:t>
                  </m:r>
                </m:sub>
              </m:sSub>
            </m:num>
            <m:den>
              <m:r>
                <m:rPr>
                  <m:nor/>
                </m:rPr>
                <m:t>R</m:t>
              </m:r>
            </m:den>
          </m:f>
          <m:nary>
            <m:naryPr>
              <m:limLoc m:val="undOvr"/>
              <m:ctrlPr>
                <w:rPr>
                  <w:rFonts w:ascii="Cambria Math" w:hAnsi="Cambria Math"/>
                </w:rPr>
              </m:ctrlPr>
            </m:naryPr>
            <m:sub>
              <m:r>
                <m:rPr>
                  <m:nor/>
                </m:rPr>
                <m:t>T</m:t>
              </m:r>
            </m:sub>
            <m:sup>
              <m:r>
                <m:rPr>
                  <m:nor/>
                </m:rPr>
                <m:t>T'</m:t>
              </m:r>
            </m:sup>
            <m:e>
              <m:f>
                <m:fPr>
                  <m:ctrlPr>
                    <w:rPr>
                      <w:rFonts w:ascii="Cambria Math" w:hAnsi="Cambria Math"/>
                    </w:rPr>
                  </m:ctrlPr>
                </m:fPr>
                <m:num>
                  <m:r>
                    <m:rPr>
                      <m:nor/>
                    </m:rPr>
                    <m:t>1</m:t>
                  </m:r>
                </m:num>
                <m:den>
                  <m:sSup>
                    <m:sSupPr>
                      <m:ctrlPr>
                        <w:rPr>
                          <w:rFonts w:ascii="Cambria Math" w:hAnsi="Cambria Math"/>
                        </w:rPr>
                      </m:ctrlPr>
                    </m:sSupPr>
                    <m:e>
                      <m:r>
                        <m:rPr>
                          <m:nor/>
                        </m:rPr>
                        <m:t>T</m:t>
                      </m:r>
                    </m:e>
                    <m:sup>
                      <m:r>
                        <m:rPr>
                          <m:nor/>
                        </m:rPr>
                        <m:t>2</m:t>
                      </m:r>
                    </m:sup>
                  </m:sSup>
                </m:den>
              </m:f>
            </m:e>
          </m:nary>
          <m:r>
            <m:rPr>
              <m:nor/>
            </m:rPr>
            <m:t xml:space="preserve">ΔT = </m:t>
          </m:r>
          <m:f>
            <m:fPr>
              <m:ctrlPr>
                <w:rPr>
                  <w:rFonts w:ascii="Cambria Math" w:hAnsi="Cambria Math"/>
                </w:rPr>
              </m:ctrlPr>
            </m:fPr>
            <m:num>
              <m:sSub>
                <m:sSubPr>
                  <m:ctrlPr>
                    <w:rPr>
                      <w:rFonts w:ascii="Cambria Math" w:hAnsi="Cambria Math"/>
                    </w:rPr>
                  </m:ctrlPr>
                </m:sSubPr>
                <m:e>
                  <m:r>
                    <m:rPr>
                      <m:nor/>
                    </m:rPr>
                    <m:t>ΔH</m:t>
                  </m:r>
                </m:e>
                <m:sub>
                  <m:r>
                    <m:rPr>
                      <m:nor/>
                    </m:rPr>
                    <m:t>V</m:t>
                  </m:r>
                </m:sub>
              </m:sSub>
            </m:num>
            <m:den>
              <m:r>
                <m:rPr>
                  <m:nor/>
                </m:rPr>
                <m:t>R</m:t>
              </m:r>
            </m:den>
          </m:f>
          <m:d>
            <m:dPr>
              <m:ctrlPr>
                <w:rPr>
                  <w:rFonts w:ascii="Cambria Math" w:hAnsi="Cambria Math"/>
                </w:rPr>
              </m:ctrlPr>
            </m:dPr>
            <m:e>
              <m:f>
                <m:fPr>
                  <m:ctrlPr>
                    <w:rPr>
                      <w:rFonts w:ascii="Cambria Math" w:hAnsi="Cambria Math"/>
                    </w:rPr>
                  </m:ctrlPr>
                </m:fPr>
                <m:num>
                  <m:r>
                    <m:rPr>
                      <m:nor/>
                    </m:rPr>
                    <m:t>1</m:t>
                  </m:r>
                </m:num>
                <m:den>
                  <m:r>
                    <m:rPr>
                      <m:nor/>
                    </m:rPr>
                    <m:t>T</m:t>
                  </m:r>
                </m:den>
              </m:f>
              <m:r>
                <m:rPr>
                  <m:nor/>
                </m:rPr>
                <m:t xml:space="preserve"> - </m:t>
              </m:r>
              <m:f>
                <m:fPr>
                  <m:ctrlPr>
                    <w:rPr>
                      <w:rFonts w:ascii="Cambria Math" w:hAnsi="Cambria Math"/>
                    </w:rPr>
                  </m:ctrlPr>
                </m:fPr>
                <m:num>
                  <m:r>
                    <m:rPr>
                      <m:nor/>
                    </m:rPr>
                    <m:t>1</m:t>
                  </m:r>
                </m:num>
                <m:den>
                  <m:r>
                    <m:rPr>
                      <m:nor/>
                    </m:rPr>
                    <m:t>T'</m:t>
                  </m:r>
                </m:den>
              </m:f>
            </m:e>
          </m:d>
        </m:oMath>
      </m:oMathPara>
    </w:p>
    <w:p w:rsidR="00BA618C" w:rsidRDefault="00BA618C" w:rsidP="00BA618C">
      <w:pPr>
        <w:rPr>
          <w:rFonts w:cs="Arial"/>
        </w:rPr>
      </w:pPr>
      <w:r>
        <w:rPr>
          <w:rFonts w:cs="Arial"/>
        </w:rPr>
        <w:t xml:space="preserve">Mit dieser Gleichung kann nun der Dampfdruck einer Substanz bei einer bestimmten Temperatur berechnet werden, wenn wir ihn bei einer anderen Temperatur kennen. Sie besagt, dass die Änderung des Dampfdrucks bei gegebener Temperatur-Änderung umso größer ist, je größer die Verdampfungsenthalpie ist. Beispielsweise reagiert der Dampfdruck von Wasser wesentlich empfindlicher auf Temperatur-Änderungen als der von Benzol. Setzt man nun </w:t>
      </w:r>
      <w:proofErr w:type="spellStart"/>
      <w:r>
        <w:rPr>
          <w:rFonts w:cs="Arial"/>
        </w:rPr>
        <w:t>ln</w:t>
      </w:r>
      <w:proofErr w:type="spellEnd"/>
      <w:r>
        <w:rPr>
          <w:rFonts w:cs="Arial"/>
        </w:rPr>
        <w:t xml:space="preserve">(x) = </w:t>
      </w:r>
      <w:proofErr w:type="spellStart"/>
      <w:r>
        <w:rPr>
          <w:rFonts w:cs="Arial"/>
        </w:rPr>
        <w:t>ln</w:t>
      </w:r>
      <w:proofErr w:type="spellEnd"/>
      <w:r>
        <w:rPr>
          <w:rFonts w:cs="Arial"/>
        </w:rPr>
        <w:t xml:space="preserve">(10) * log(x), erhält man B = </w:t>
      </w:r>
      <w:proofErr w:type="spellStart"/>
      <w:r>
        <w:rPr>
          <w:rFonts w:cs="Arial"/>
        </w:rPr>
        <w:t>ΔHv</w:t>
      </w:r>
      <w:proofErr w:type="spellEnd"/>
      <w:r>
        <w:rPr>
          <w:rFonts w:cs="Arial"/>
        </w:rPr>
        <w:t>/(</w:t>
      </w:r>
      <w:proofErr w:type="spellStart"/>
      <w:r>
        <w:rPr>
          <w:rFonts w:cs="Arial"/>
        </w:rPr>
        <w:t>Rln</w:t>
      </w:r>
      <w:proofErr w:type="spellEnd"/>
      <w:r>
        <w:rPr>
          <w:rFonts w:cs="Arial"/>
        </w:rPr>
        <w:t>(10)) und kann die Gleichung auch als</w:t>
      </w:r>
    </w:p>
    <w:p w:rsidR="00BA618C" w:rsidRPr="00BA618C" w:rsidRDefault="002D10D0" w:rsidP="00BA618C">
      <w:pPr>
        <w:pStyle w:val="Formeln"/>
        <w:rPr>
          <w:rFonts w:eastAsiaTheme="minorEastAsia"/>
        </w:rPr>
      </w:pPr>
      <m:oMathPara>
        <m:oMath>
          <m:func>
            <m:funcPr>
              <m:ctrlPr>
                <w:rPr>
                  <w:rFonts w:ascii="Cambria Math" w:hAnsi="Cambria Math"/>
                </w:rPr>
              </m:ctrlPr>
            </m:funcPr>
            <m:fName>
              <m:r>
                <m:rPr>
                  <m:nor/>
                </m:rPr>
                <m:t>log</m:t>
              </m:r>
            </m:fName>
            <m:e>
              <m:d>
                <m:dPr>
                  <m:ctrlPr>
                    <w:rPr>
                      <w:rFonts w:ascii="Cambria Math" w:hAnsi="Cambria Math"/>
                    </w:rPr>
                  </m:ctrlPr>
                </m:dPr>
                <m:e>
                  <m:r>
                    <m:rPr>
                      <m:nor/>
                    </m:rPr>
                    <m:t>p</m:t>
                  </m:r>
                </m:e>
              </m:d>
            </m:e>
          </m:func>
          <m:r>
            <m:rPr>
              <m:nor/>
            </m:rPr>
            <m:t xml:space="preserve"> = A - </m:t>
          </m:r>
          <m:f>
            <m:fPr>
              <m:ctrlPr>
                <w:rPr>
                  <w:rFonts w:ascii="Cambria Math" w:hAnsi="Cambria Math"/>
                </w:rPr>
              </m:ctrlPr>
            </m:fPr>
            <m:num>
              <m:r>
                <m:rPr>
                  <m:nor/>
                </m:rPr>
                <m:t>B</m:t>
              </m:r>
            </m:num>
            <m:den>
              <m:r>
                <m:rPr>
                  <m:nor/>
                </m:rPr>
                <m:t>T</m:t>
              </m:r>
            </m:den>
          </m:f>
        </m:oMath>
      </m:oMathPara>
    </w:p>
    <w:p w:rsidR="00BA618C" w:rsidRDefault="00BA618C" w:rsidP="00BA618C">
      <w:pPr>
        <w:rPr>
          <w:rFonts w:cs="Arial"/>
        </w:rPr>
      </w:pPr>
      <w:r>
        <w:rPr>
          <w:rFonts w:cs="Arial"/>
        </w:rPr>
        <w:t>schreiben, wobei B und A stoffspezifische Konstanten sind und „A“ von der Einheit von „p“ abhängt. In dieser Form werden Dampfdrücke in Tabellen-Werken angegeben. [</w:t>
      </w:r>
      <w:r>
        <w:rPr>
          <w:rFonts w:cs="Arial"/>
        </w:rPr>
        <w:fldChar w:fldCharType="begin"/>
      </w:r>
      <w:r>
        <w:rPr>
          <w:rFonts w:cs="Arial"/>
        </w:rPr>
        <w:instrText xml:space="preserve"> REF _Ref46913303 \r \h </w:instrText>
      </w:r>
      <w:r>
        <w:rPr>
          <w:rFonts w:cs="Arial"/>
        </w:rPr>
      </w:r>
      <w:r>
        <w:rPr>
          <w:rFonts w:cs="Arial"/>
        </w:rPr>
        <w:fldChar w:fldCharType="separate"/>
      </w:r>
      <w:r w:rsidR="002D10D0">
        <w:rPr>
          <w:rFonts w:cs="Arial"/>
        </w:rPr>
        <w:t>1</w:t>
      </w:r>
      <w:r>
        <w:rPr>
          <w:rFonts w:cs="Arial"/>
        </w:rPr>
        <w:fldChar w:fldCharType="end"/>
      </w:r>
      <w:r>
        <w:rPr>
          <w:rFonts w:cs="Arial"/>
        </w:rPr>
        <w:t>, </w:t>
      </w:r>
      <w:r>
        <w:rPr>
          <w:rFonts w:cs="Arial"/>
        </w:rPr>
        <w:fldChar w:fldCharType="begin"/>
      </w:r>
      <w:r>
        <w:rPr>
          <w:rFonts w:cs="Arial"/>
        </w:rPr>
        <w:instrText xml:space="preserve"> REF _Ref46913311 \r \h </w:instrText>
      </w:r>
      <w:r>
        <w:rPr>
          <w:rFonts w:cs="Arial"/>
        </w:rPr>
      </w:r>
      <w:r>
        <w:rPr>
          <w:rFonts w:cs="Arial"/>
        </w:rPr>
        <w:fldChar w:fldCharType="separate"/>
      </w:r>
      <w:r w:rsidR="002D10D0">
        <w:rPr>
          <w:rFonts w:cs="Arial"/>
        </w:rPr>
        <w:t>6</w:t>
      </w:r>
      <w:r>
        <w:rPr>
          <w:rFonts w:cs="Arial"/>
        </w:rPr>
        <w:fldChar w:fldCharType="end"/>
      </w:r>
      <w:r>
        <w:rPr>
          <w:rFonts w:cs="Arial"/>
        </w:rPr>
        <w:t>]</w:t>
      </w:r>
    </w:p>
    <w:p w:rsidR="002D10D0" w:rsidRDefault="002D10D0" w:rsidP="002D10D0">
      <w:pPr>
        <w:pStyle w:val="Zusammenfassung"/>
      </w:pPr>
      <w:r w:rsidRPr="002D10D0">
        <w:rPr>
          <w:b/>
        </w:rPr>
        <w:t>Zusammenfassung</w:t>
      </w:r>
      <w:r>
        <w:t>: fehlt</w:t>
      </w:r>
    </w:p>
    <w:p w:rsidR="002D10D0" w:rsidRPr="00BA618C" w:rsidRDefault="002D10D0" w:rsidP="002D10D0">
      <w:pPr>
        <w:pStyle w:val="EinstiegAbschluss"/>
      </w:pPr>
      <w:r w:rsidRPr="002D10D0">
        <w:rPr>
          <w:b/>
        </w:rPr>
        <w:t>Abschluss</w:t>
      </w:r>
      <w:r>
        <w:t>: fehlt.</w:t>
      </w:r>
    </w:p>
    <w:p w:rsidR="002D10D0" w:rsidRDefault="002D10D0">
      <w:pPr>
        <w:spacing w:before="0"/>
        <w:jc w:val="left"/>
        <w:rPr>
          <w:b/>
          <w:bCs/>
        </w:rPr>
      </w:pPr>
      <w:r>
        <w:rPr>
          <w:b/>
          <w:bCs/>
        </w:rPr>
        <w:br w:type="page"/>
      </w:r>
    </w:p>
    <w:p w:rsidR="00931B30" w:rsidRPr="000E61E0" w:rsidRDefault="00931B30" w:rsidP="00931B30">
      <w:pPr>
        <w:rPr>
          <w:b/>
          <w:bCs/>
        </w:rPr>
      </w:pPr>
      <w:r w:rsidRPr="000E61E0">
        <w:rPr>
          <w:b/>
          <w:bCs/>
        </w:rPr>
        <w:t>Quellen:</w:t>
      </w:r>
    </w:p>
    <w:p w:rsidR="00465E22" w:rsidRDefault="00465E22" w:rsidP="00465E22">
      <w:pPr>
        <w:pStyle w:val="AufzhlungStandard"/>
      </w:pPr>
      <w:bookmarkStart w:id="7" w:name="_Ref46913303"/>
      <w:r>
        <w:t>Atkins, P.W.: Kurzlehrbuch Physikalische Chemie; 2001; Wiley-VCH</w:t>
      </w:r>
      <w:bookmarkEnd w:id="7"/>
    </w:p>
    <w:p w:rsidR="00465E22" w:rsidRDefault="00465E22" w:rsidP="00465E22">
      <w:pPr>
        <w:pStyle w:val="AufzhlungStandard"/>
      </w:pPr>
      <w:proofErr w:type="spellStart"/>
      <w:r>
        <w:t>Brenig</w:t>
      </w:r>
      <w:proofErr w:type="spellEnd"/>
      <w:r>
        <w:t>, W.: Statistische Theorie der Wärme, 1996; Springer-Verlag</w:t>
      </w:r>
    </w:p>
    <w:p w:rsidR="00465E22" w:rsidRDefault="00465E22" w:rsidP="00465E22">
      <w:pPr>
        <w:pStyle w:val="AufzhlungStandard"/>
      </w:pPr>
      <w:bookmarkStart w:id="8" w:name="_Ref46910625"/>
      <w:r>
        <w:t>Grundvorlesung Physikalische Chemie, 2004</w:t>
      </w:r>
      <w:bookmarkEnd w:id="8"/>
    </w:p>
    <w:p w:rsidR="00465E22" w:rsidRDefault="00465E22" w:rsidP="00465E22">
      <w:pPr>
        <w:pStyle w:val="AufzhlungStandard"/>
      </w:pPr>
      <w:r>
        <w:t>Müller, I.: Grundzüge der Thermodynamik, 1999; Springer-Verlag</w:t>
      </w:r>
    </w:p>
    <w:p w:rsidR="00465E22" w:rsidRDefault="00465E22" w:rsidP="00465E22">
      <w:pPr>
        <w:pStyle w:val="AufzhlungStandard"/>
      </w:pPr>
      <w:proofErr w:type="spellStart"/>
      <w:r>
        <w:t>Päsler</w:t>
      </w:r>
      <w:proofErr w:type="spellEnd"/>
      <w:r>
        <w:t>, M.: Phänomenologische Thermodynamik, 1975; de Gruyter</w:t>
      </w:r>
    </w:p>
    <w:p w:rsidR="00465E22" w:rsidRDefault="00465E22" w:rsidP="00465E22">
      <w:pPr>
        <w:pStyle w:val="AufzhlungStandard"/>
      </w:pPr>
      <w:bookmarkStart w:id="9" w:name="_Ref46913311"/>
      <w:r>
        <w:t>Wedler, G.: Lehrbuch der Physikalischen Chemie, 1997; Wiley-VCH</w:t>
      </w:r>
      <w:bookmarkEnd w:id="9"/>
    </w:p>
    <w:p w:rsidR="00465E22" w:rsidRDefault="002D10D0" w:rsidP="00465E22">
      <w:pPr>
        <w:pStyle w:val="AufzhlungStandard"/>
      </w:pPr>
      <w:hyperlink r:id="rId13" w:history="1">
        <w:r w:rsidR="00465E22">
          <w:rPr>
            <w:rStyle w:val="Hyperlink"/>
            <w:rFonts w:cs="Arial"/>
          </w:rPr>
          <w:t>http://de.wikipedia.org/wiki/Benoit_Clapeyron</w:t>
        </w:r>
      </w:hyperlink>
      <w:r w:rsidR="00465E22">
        <w:t>; (Stand 20.05.2006) (</w:t>
      </w:r>
      <w:r w:rsidR="00465E22" w:rsidRPr="002D10D0">
        <w:t>Quelle verschollen, 29.07.22020</w:t>
      </w:r>
      <w:r w:rsidR="00465E22">
        <w:t>)</w:t>
      </w:r>
    </w:p>
    <w:bookmarkStart w:id="10" w:name="_Ref46910549"/>
    <w:p w:rsidR="00465E22" w:rsidRPr="002D10D0" w:rsidRDefault="00465E22" w:rsidP="00465E22">
      <w:pPr>
        <w:pStyle w:val="AufzhlungStandard"/>
        <w:rPr>
          <w:lang w:val="en-US"/>
        </w:rPr>
      </w:pPr>
      <w:r>
        <w:fldChar w:fldCharType="begin"/>
      </w:r>
      <w:r w:rsidRPr="002D10D0">
        <w:rPr>
          <w:lang w:val="en-US"/>
        </w:rPr>
        <w:instrText xml:space="preserve"> HYPERLINK "http://de.wikipedia.org/wiki/Rudolf_Julius_Emanuel_Clausius" </w:instrText>
      </w:r>
      <w:r>
        <w:fldChar w:fldCharType="separate"/>
      </w:r>
      <w:r w:rsidRPr="002D10D0">
        <w:rPr>
          <w:rStyle w:val="Hyperlink"/>
          <w:rFonts w:cs="Arial"/>
          <w:lang w:val="en-US"/>
        </w:rPr>
        <w:t>http://de.wikipedia.org/wiki/Rudolf_Julius_Emanuel_Clausius</w:t>
      </w:r>
      <w:r>
        <w:fldChar w:fldCharType="end"/>
      </w:r>
      <w:r w:rsidRPr="002D10D0">
        <w:rPr>
          <w:lang w:val="en-US"/>
        </w:rPr>
        <w:t>; (Stand20.05.2006)</w:t>
      </w:r>
      <w:bookmarkEnd w:id="10"/>
    </w:p>
    <w:p w:rsidR="00465E22" w:rsidRDefault="00465E22" w:rsidP="00465E22">
      <w:pPr>
        <w:pStyle w:val="AufzhlungStandard"/>
      </w:pPr>
      <w:bookmarkStart w:id="11" w:name="_Ref46910351"/>
      <w:r>
        <w:t xml:space="preserve">Benoit </w:t>
      </w:r>
      <w:proofErr w:type="spellStart"/>
      <w:r>
        <w:t>Clapeyron</w:t>
      </w:r>
      <w:proofErr w:type="spellEnd"/>
      <w:r>
        <w:t xml:space="preserve">: </w:t>
      </w:r>
      <w:hyperlink r:id="rId14" w:history="1">
        <w:r w:rsidRPr="007220C6">
          <w:rPr>
            <w:rStyle w:val="Hyperlink"/>
          </w:rPr>
          <w:t>https://commons.wikimedia.org/wiki/File:Benoit_Clapeyron.png?uselang=de</w:t>
        </w:r>
      </w:hyperlink>
      <w:r>
        <w:t>; Lizenz: gemeinfrei; 29.07.2020</w:t>
      </w:r>
      <w:bookmarkEnd w:id="11"/>
    </w:p>
    <w:bookmarkStart w:id="12" w:name="_Ref46910307"/>
    <w:p w:rsidR="00465E22" w:rsidRDefault="00465E22" w:rsidP="00465E22">
      <w:pPr>
        <w:pStyle w:val="AufzhlungStandard"/>
      </w:pPr>
      <w:r>
        <w:fldChar w:fldCharType="begin"/>
      </w:r>
      <w:r>
        <w:instrText xml:space="preserve"> HYPERLINK "</w:instrText>
      </w:r>
      <w:r w:rsidRPr="00465E22">
        <w:instrText>https://de.wikipedia.org/wiki/%C3%89mile_Clapeyron</w:instrText>
      </w:r>
      <w:r>
        <w:instrText xml:space="preserve">" </w:instrText>
      </w:r>
      <w:r>
        <w:fldChar w:fldCharType="separate"/>
      </w:r>
      <w:r w:rsidRPr="007220C6">
        <w:rPr>
          <w:rStyle w:val="Hyperlink"/>
        </w:rPr>
        <w:t>https://de.wikipedia.org/wiki/%C3%89mile_Clapeyron</w:t>
      </w:r>
      <w:r>
        <w:fldChar w:fldCharType="end"/>
      </w:r>
      <w:r>
        <w:t>; 29.07.2020</w:t>
      </w:r>
      <w:bookmarkEnd w:id="12"/>
    </w:p>
    <w:p w:rsidR="00465E22" w:rsidRDefault="00465E22" w:rsidP="00465E22">
      <w:pPr>
        <w:pStyle w:val="AufzhlungStandard"/>
      </w:pPr>
      <w:bookmarkStart w:id="13" w:name="_Ref46910537"/>
      <w:r>
        <w:t xml:space="preserve">Rudolf </w:t>
      </w:r>
      <w:proofErr w:type="spellStart"/>
      <w:r>
        <w:t>Clausius</w:t>
      </w:r>
      <w:proofErr w:type="spellEnd"/>
      <w:r>
        <w:t xml:space="preserve">: </w:t>
      </w:r>
      <w:hyperlink r:id="rId15" w:history="1">
        <w:r w:rsidRPr="007220C6">
          <w:rPr>
            <w:rStyle w:val="Hyperlink"/>
          </w:rPr>
          <w:t>https://commons.wikimedia.org/wiki/File:Clausius-1.jpg?uselang=de</w:t>
        </w:r>
      </w:hyperlink>
      <w:r>
        <w:t>; Lizenz: gemeinfrei; 29.07.2020</w:t>
      </w:r>
      <w:bookmarkEnd w:id="13"/>
    </w:p>
    <w:sectPr w:rsidR="00465E22" w:rsidSect="00931B30">
      <w:footerReference w:type="default" r:id="rId16"/>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AD" w:rsidRDefault="00BC2EAD" w:rsidP="005A7DCE">
      <w:pPr>
        <w:spacing w:before="0"/>
      </w:pPr>
      <w:r>
        <w:separator/>
      </w:r>
    </w:p>
  </w:endnote>
  <w:endnote w:type="continuationSeparator" w:id="0">
    <w:p w:rsidR="00BC2EAD" w:rsidRDefault="00BC2EA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C2EAD" w:rsidRDefault="00BC2EA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C2EAD" w:rsidRDefault="00BC2EAD">
        <w:pPr>
          <w:pStyle w:val="Fuzeile"/>
          <w:jc w:val="center"/>
        </w:pPr>
        <w:r>
          <w:fldChar w:fldCharType="begin"/>
        </w:r>
        <w:r>
          <w:instrText>PAGE    \* MERGEFORMAT</w:instrText>
        </w:r>
        <w:r>
          <w:fldChar w:fldCharType="separate"/>
        </w:r>
        <w:r w:rsidR="002D10D0">
          <w:rPr>
            <w:noProof/>
          </w:rPr>
          <w:t>7</w:t>
        </w:r>
        <w:r>
          <w:fldChar w:fldCharType="end"/>
        </w:r>
      </w:p>
    </w:sdtContent>
  </w:sdt>
  <w:p w:rsidR="00BC2EAD" w:rsidRDefault="00BC2E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AD" w:rsidRDefault="00BC2EAD" w:rsidP="005A7DCE">
      <w:pPr>
        <w:spacing w:before="0"/>
      </w:pPr>
      <w:r>
        <w:separator/>
      </w:r>
    </w:p>
  </w:footnote>
  <w:footnote w:type="continuationSeparator" w:id="0">
    <w:p w:rsidR="00BC2EAD" w:rsidRDefault="00BC2EA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CA71F4"/>
    <w:multiLevelType w:val="multilevel"/>
    <w:tmpl w:val="F56A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D10D0"/>
    <w:rsid w:val="0033663A"/>
    <w:rsid w:val="0036111E"/>
    <w:rsid w:val="00465E22"/>
    <w:rsid w:val="004D0FAE"/>
    <w:rsid w:val="005633FE"/>
    <w:rsid w:val="00564EDE"/>
    <w:rsid w:val="0058690D"/>
    <w:rsid w:val="005A7DCE"/>
    <w:rsid w:val="006C46BC"/>
    <w:rsid w:val="007161D1"/>
    <w:rsid w:val="00783295"/>
    <w:rsid w:val="007B2C80"/>
    <w:rsid w:val="007C51C7"/>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A618C"/>
    <w:rsid w:val="00BC2EAD"/>
    <w:rsid w:val="00C47CC6"/>
    <w:rsid w:val="00C6611D"/>
    <w:rsid w:val="00D97908"/>
    <w:rsid w:val="00DB7964"/>
    <w:rsid w:val="00E14DE1"/>
    <w:rsid w:val="00E20AF3"/>
    <w:rsid w:val="00E37534"/>
    <w:rsid w:val="00E46BE8"/>
    <w:rsid w:val="00E54A99"/>
    <w:rsid w:val="00E8473B"/>
    <w:rsid w:val="00EA0E1A"/>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0FEBE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465E22"/>
    <w:rPr>
      <w:color w:val="0000FF" w:themeColor="followedHyperlink"/>
      <w:u w:val="single"/>
    </w:rPr>
  </w:style>
  <w:style w:type="character" w:customStyle="1" w:styleId="UnresolvedMention">
    <w:name w:val="Unresolved Mention"/>
    <w:basedOn w:val="Absatz-Standardschriftart"/>
    <w:uiPriority w:val="99"/>
    <w:semiHidden/>
    <w:unhideWhenUsed/>
    <w:rsid w:val="00465E22"/>
    <w:rPr>
      <w:color w:val="605E5C"/>
      <w:shd w:val="clear" w:color="auto" w:fill="E1DFDD"/>
    </w:rPr>
  </w:style>
  <w:style w:type="character" w:styleId="Platzhaltertext">
    <w:name w:val="Placeholder Text"/>
    <w:basedOn w:val="Absatz-Standardschriftart"/>
    <w:uiPriority w:val="99"/>
    <w:semiHidden/>
    <w:rsid w:val="00465E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30047">
      <w:bodyDiv w:val="1"/>
      <w:marLeft w:val="0"/>
      <w:marRight w:val="0"/>
      <w:marTop w:val="0"/>
      <w:marBottom w:val="0"/>
      <w:divBdr>
        <w:top w:val="none" w:sz="0" w:space="0" w:color="auto"/>
        <w:left w:val="none" w:sz="0" w:space="0" w:color="auto"/>
        <w:bottom w:val="none" w:sz="0" w:space="0" w:color="auto"/>
        <w:right w:val="none" w:sz="0" w:space="0" w:color="auto"/>
      </w:divBdr>
    </w:div>
    <w:div w:id="1416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wikipedia.org/wiki/Benoit_Clapeyr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commons.wikimedia.org/wiki/File:Clausius-1.jpg?uselang=d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mmons.wikimedia.org/wiki/File:Benoit_Clapeyron.pn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623D-8124-4B38-ACBB-E911C02B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94472044.dotm</Template>
  <TotalTime>0</TotalTime>
  <Pages>7</Pages>
  <Words>1247</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2020-08-12T14:50:00Z</cp:lastPrinted>
  <dcterms:created xsi:type="dcterms:W3CDTF">2020-07-29T08:12:00Z</dcterms:created>
  <dcterms:modified xsi:type="dcterms:W3CDTF">2020-08-12T14:50:00Z</dcterms:modified>
</cp:coreProperties>
</file>