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4AF74" w14:textId="77777777" w:rsidR="00E8473B" w:rsidRDefault="00E8473B" w:rsidP="00E8473B">
      <w:pPr>
        <w:pStyle w:val="Bilder"/>
      </w:pPr>
      <w:r w:rsidRPr="00716CB6">
        <w:rPr>
          <w:lang w:eastAsia="de-DE"/>
        </w:rPr>
        <mc:AlternateContent>
          <mc:Choice Requires="wpg">
            <w:drawing>
              <wp:inline distT="0" distB="0" distL="0" distR="0" wp14:anchorId="2DF2251B" wp14:editId="3D863ADA">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570B7" w14:textId="77777777" w:rsidR="0001387A" w:rsidRDefault="0001387A"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DF2251B"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037570B7" w14:textId="77777777" w:rsidR="0001387A" w:rsidRDefault="0001387A"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618C7FF4" wp14:editId="6615ADC6">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4EEBB893" w14:textId="77777777" w:rsidR="00AE53F0" w:rsidRPr="00A350F8" w:rsidRDefault="00E8473B" w:rsidP="00A350F8">
      <w:pPr>
        <w:pStyle w:val="Seminar"/>
      </w:pPr>
      <w:r w:rsidRPr="00A350F8">
        <w:t>Seminar</w:t>
      </w:r>
      <w:r w:rsidR="00FD7888" w:rsidRPr="00A350F8">
        <w:t xml:space="preserve"> „Übungen im Vortragen – AC“</w:t>
      </w:r>
    </w:p>
    <w:p w14:paraId="4414CB86" w14:textId="77777777" w:rsidR="00E8473B" w:rsidRDefault="00A350F8" w:rsidP="005633FE">
      <w:pPr>
        <w:pStyle w:val="Titel"/>
      </w:pPr>
      <w:r>
        <w:t xml:space="preserve">Vergleich der Konzepte nach </w:t>
      </w:r>
      <w:proofErr w:type="spellStart"/>
      <w:r>
        <w:rPr>
          <w:rFonts w:ascii="Arial" w:hAnsi="Arial" w:cs="Arial"/>
        </w:rPr>
        <w:t>Brønsted</w:t>
      </w:r>
      <w:proofErr w:type="spellEnd"/>
      <w:r>
        <w:rPr>
          <w:rFonts w:ascii="Arial" w:hAnsi="Arial" w:cs="Arial"/>
        </w:rPr>
        <w:t>, Lewis und Pearson anhand von Beispielen</w:t>
      </w:r>
    </w:p>
    <w:p w14:paraId="6CD0B1A3" w14:textId="28450623" w:rsidR="00E8473B" w:rsidRDefault="00A350F8" w:rsidP="00E8473B">
      <w:pPr>
        <w:pStyle w:val="Autor"/>
      </w:pPr>
      <w:r>
        <w:t xml:space="preserve">Carolin </w:t>
      </w:r>
      <w:proofErr w:type="spellStart"/>
      <w:r>
        <w:t>Lenhard</w:t>
      </w:r>
      <w:proofErr w:type="spellEnd"/>
      <w:r>
        <w:t>, WS 07/08; Nadja Schwarzer, WS 09/10; Sven Dietler, WS 19/20</w:t>
      </w:r>
      <w:r w:rsidR="00576945">
        <w:t>; Marie Enzian</w:t>
      </w:r>
      <w:r w:rsidR="0007135E">
        <w:t>,</w:t>
      </w:r>
      <w:r w:rsidR="00576945">
        <w:t xml:space="preserve"> SS 22</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14:paraId="1D3BB1E1" w14:textId="77777777" w:rsidR="006C46BC" w:rsidRPr="006C46BC" w:rsidRDefault="006C46BC" w:rsidP="006C46BC">
          <w:pPr>
            <w:pStyle w:val="Inhaltsverzeichnisberschrift"/>
          </w:pPr>
          <w:r>
            <w:t>Gliederung</w:t>
          </w:r>
          <w:bookmarkStart w:id="0" w:name="_GoBack"/>
          <w:bookmarkEnd w:id="0"/>
        </w:p>
        <w:p w14:paraId="1623BB5D" w14:textId="03EA0F10" w:rsidR="004F5AF1"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6814651" w:history="1">
            <w:r w:rsidR="004F5AF1" w:rsidRPr="00E704CF">
              <w:rPr>
                <w:rStyle w:val="Hyperlink"/>
                <w:rFonts w:cs="Arial"/>
                <w:noProof/>
              </w:rPr>
              <w:t>1</w:t>
            </w:r>
            <w:r w:rsidR="004F5AF1">
              <w:rPr>
                <w:rFonts w:asciiTheme="minorHAnsi" w:eastAsiaTheme="minorEastAsia" w:hAnsiTheme="minorHAnsi"/>
                <w:noProof/>
                <w:sz w:val="22"/>
                <w:lang w:eastAsia="de-DE"/>
              </w:rPr>
              <w:tab/>
            </w:r>
            <w:r w:rsidR="004F5AF1" w:rsidRPr="00E704CF">
              <w:rPr>
                <w:rStyle w:val="Hyperlink"/>
                <w:noProof/>
              </w:rPr>
              <w:t xml:space="preserve">Konzept nach </w:t>
            </w:r>
            <w:r w:rsidR="004F5AF1" w:rsidRPr="00E704CF">
              <w:rPr>
                <w:rStyle w:val="Hyperlink"/>
                <w:rFonts w:cs="Arial"/>
                <w:noProof/>
              </w:rPr>
              <w:t>Brønsted</w:t>
            </w:r>
            <w:r w:rsidR="004F5AF1">
              <w:rPr>
                <w:noProof/>
                <w:webHidden/>
              </w:rPr>
              <w:tab/>
            </w:r>
            <w:r w:rsidR="004F5AF1">
              <w:rPr>
                <w:noProof/>
                <w:webHidden/>
              </w:rPr>
              <w:fldChar w:fldCharType="begin"/>
            </w:r>
            <w:r w:rsidR="004F5AF1">
              <w:rPr>
                <w:noProof/>
                <w:webHidden/>
              </w:rPr>
              <w:instrText xml:space="preserve"> PAGEREF _Toc46814651 \h </w:instrText>
            </w:r>
            <w:r w:rsidR="004F5AF1">
              <w:rPr>
                <w:noProof/>
                <w:webHidden/>
              </w:rPr>
            </w:r>
            <w:r w:rsidR="004F5AF1">
              <w:rPr>
                <w:noProof/>
                <w:webHidden/>
              </w:rPr>
              <w:fldChar w:fldCharType="separate"/>
            </w:r>
            <w:r w:rsidR="00180E97">
              <w:rPr>
                <w:noProof/>
                <w:webHidden/>
              </w:rPr>
              <w:t>2</w:t>
            </w:r>
            <w:r w:rsidR="004F5AF1">
              <w:rPr>
                <w:noProof/>
                <w:webHidden/>
              </w:rPr>
              <w:fldChar w:fldCharType="end"/>
            </w:r>
          </w:hyperlink>
        </w:p>
        <w:p w14:paraId="73D7A238" w14:textId="78A5D757" w:rsidR="004F5AF1" w:rsidRDefault="00180E97">
          <w:pPr>
            <w:pStyle w:val="Verzeichnis1"/>
            <w:tabs>
              <w:tab w:val="left" w:pos="480"/>
              <w:tab w:val="right" w:leader="dot" w:pos="9344"/>
            </w:tabs>
            <w:rPr>
              <w:rFonts w:asciiTheme="minorHAnsi" w:eastAsiaTheme="minorEastAsia" w:hAnsiTheme="minorHAnsi"/>
              <w:noProof/>
              <w:sz w:val="22"/>
              <w:lang w:eastAsia="de-DE"/>
            </w:rPr>
          </w:pPr>
          <w:hyperlink w:anchor="_Toc46814652" w:history="1">
            <w:r w:rsidR="004F5AF1" w:rsidRPr="00E704CF">
              <w:rPr>
                <w:rStyle w:val="Hyperlink"/>
                <w:noProof/>
              </w:rPr>
              <w:t>2</w:t>
            </w:r>
            <w:r w:rsidR="004F5AF1">
              <w:rPr>
                <w:rFonts w:asciiTheme="minorHAnsi" w:eastAsiaTheme="minorEastAsia" w:hAnsiTheme="minorHAnsi"/>
                <w:noProof/>
                <w:sz w:val="22"/>
                <w:lang w:eastAsia="de-DE"/>
              </w:rPr>
              <w:tab/>
            </w:r>
            <w:r w:rsidR="004F5AF1" w:rsidRPr="00E704CF">
              <w:rPr>
                <w:rStyle w:val="Hyperlink"/>
                <w:noProof/>
              </w:rPr>
              <w:t>Konzept nach Lewis</w:t>
            </w:r>
            <w:r w:rsidR="004F5AF1">
              <w:rPr>
                <w:noProof/>
                <w:webHidden/>
              </w:rPr>
              <w:tab/>
            </w:r>
            <w:r w:rsidR="004F5AF1">
              <w:rPr>
                <w:noProof/>
                <w:webHidden/>
              </w:rPr>
              <w:fldChar w:fldCharType="begin"/>
            </w:r>
            <w:r w:rsidR="004F5AF1">
              <w:rPr>
                <w:noProof/>
                <w:webHidden/>
              </w:rPr>
              <w:instrText xml:space="preserve"> PAGEREF _Toc46814652 \h </w:instrText>
            </w:r>
            <w:r w:rsidR="004F5AF1">
              <w:rPr>
                <w:noProof/>
                <w:webHidden/>
              </w:rPr>
            </w:r>
            <w:r w:rsidR="004F5AF1">
              <w:rPr>
                <w:noProof/>
                <w:webHidden/>
              </w:rPr>
              <w:fldChar w:fldCharType="separate"/>
            </w:r>
            <w:r>
              <w:rPr>
                <w:noProof/>
                <w:webHidden/>
              </w:rPr>
              <w:t>3</w:t>
            </w:r>
            <w:r w:rsidR="004F5AF1">
              <w:rPr>
                <w:noProof/>
                <w:webHidden/>
              </w:rPr>
              <w:fldChar w:fldCharType="end"/>
            </w:r>
          </w:hyperlink>
        </w:p>
        <w:p w14:paraId="32772A77" w14:textId="5124453B" w:rsidR="004F5AF1" w:rsidRDefault="00180E97">
          <w:pPr>
            <w:pStyle w:val="Verzeichnis1"/>
            <w:tabs>
              <w:tab w:val="left" w:pos="480"/>
              <w:tab w:val="right" w:leader="dot" w:pos="9344"/>
            </w:tabs>
            <w:rPr>
              <w:rFonts w:asciiTheme="minorHAnsi" w:eastAsiaTheme="minorEastAsia" w:hAnsiTheme="minorHAnsi"/>
              <w:noProof/>
              <w:sz w:val="22"/>
              <w:lang w:eastAsia="de-DE"/>
            </w:rPr>
          </w:pPr>
          <w:hyperlink w:anchor="_Toc46814653" w:history="1">
            <w:r w:rsidR="004F5AF1" w:rsidRPr="00E704CF">
              <w:rPr>
                <w:rStyle w:val="Hyperlink"/>
                <w:noProof/>
              </w:rPr>
              <w:t>3</w:t>
            </w:r>
            <w:r w:rsidR="004F5AF1">
              <w:rPr>
                <w:rFonts w:asciiTheme="minorHAnsi" w:eastAsiaTheme="minorEastAsia" w:hAnsiTheme="minorHAnsi"/>
                <w:noProof/>
                <w:sz w:val="22"/>
                <w:lang w:eastAsia="de-DE"/>
              </w:rPr>
              <w:tab/>
            </w:r>
            <w:r w:rsidR="004F5AF1" w:rsidRPr="00E704CF">
              <w:rPr>
                <w:rStyle w:val="Hyperlink"/>
                <w:noProof/>
              </w:rPr>
              <w:t>Vergleich der Konzepte nach Brønsted und Lewis anhand von Beispielen</w:t>
            </w:r>
            <w:r w:rsidR="004F5AF1">
              <w:rPr>
                <w:noProof/>
                <w:webHidden/>
              </w:rPr>
              <w:tab/>
            </w:r>
            <w:r w:rsidR="004F5AF1">
              <w:rPr>
                <w:noProof/>
                <w:webHidden/>
              </w:rPr>
              <w:fldChar w:fldCharType="begin"/>
            </w:r>
            <w:r w:rsidR="004F5AF1">
              <w:rPr>
                <w:noProof/>
                <w:webHidden/>
              </w:rPr>
              <w:instrText xml:space="preserve"> PAGEREF _Toc46814653 \h </w:instrText>
            </w:r>
            <w:r w:rsidR="004F5AF1">
              <w:rPr>
                <w:noProof/>
                <w:webHidden/>
              </w:rPr>
            </w:r>
            <w:r w:rsidR="004F5AF1">
              <w:rPr>
                <w:noProof/>
                <w:webHidden/>
              </w:rPr>
              <w:fldChar w:fldCharType="separate"/>
            </w:r>
            <w:r>
              <w:rPr>
                <w:noProof/>
                <w:webHidden/>
              </w:rPr>
              <w:t>3</w:t>
            </w:r>
            <w:r w:rsidR="004F5AF1">
              <w:rPr>
                <w:noProof/>
                <w:webHidden/>
              </w:rPr>
              <w:fldChar w:fldCharType="end"/>
            </w:r>
          </w:hyperlink>
        </w:p>
        <w:p w14:paraId="20A4F545" w14:textId="3AD4A0EE" w:rsidR="004F5AF1" w:rsidRDefault="00180E97">
          <w:pPr>
            <w:pStyle w:val="Verzeichnis2"/>
            <w:tabs>
              <w:tab w:val="left" w:pos="880"/>
              <w:tab w:val="right" w:leader="dot" w:pos="9344"/>
            </w:tabs>
            <w:rPr>
              <w:rFonts w:asciiTheme="minorHAnsi" w:eastAsiaTheme="minorEastAsia" w:hAnsiTheme="minorHAnsi"/>
              <w:noProof/>
              <w:sz w:val="22"/>
              <w:lang w:eastAsia="de-DE"/>
            </w:rPr>
          </w:pPr>
          <w:hyperlink w:anchor="_Toc46814654" w:history="1">
            <w:r w:rsidR="004F5AF1" w:rsidRPr="00E704CF">
              <w:rPr>
                <w:rStyle w:val="Hyperlink"/>
                <w:noProof/>
              </w:rPr>
              <w:t>3.1</w:t>
            </w:r>
            <w:r w:rsidR="004F5AF1">
              <w:rPr>
                <w:rFonts w:asciiTheme="minorHAnsi" w:eastAsiaTheme="minorEastAsia" w:hAnsiTheme="minorHAnsi"/>
                <w:noProof/>
                <w:sz w:val="22"/>
                <w:lang w:eastAsia="de-DE"/>
              </w:rPr>
              <w:tab/>
            </w:r>
            <w:r w:rsidR="004F5AF1" w:rsidRPr="00E704CF">
              <w:rPr>
                <w:rStyle w:val="Hyperlink"/>
                <w:noProof/>
              </w:rPr>
              <w:t>Säure- und Base-Verhalten nach Brönsted und Lewis in wässriger Lösung</w:t>
            </w:r>
            <w:r w:rsidR="004F5AF1">
              <w:rPr>
                <w:noProof/>
                <w:webHidden/>
              </w:rPr>
              <w:tab/>
            </w:r>
            <w:r w:rsidR="004F5AF1">
              <w:rPr>
                <w:noProof/>
                <w:webHidden/>
              </w:rPr>
              <w:fldChar w:fldCharType="begin"/>
            </w:r>
            <w:r w:rsidR="004F5AF1">
              <w:rPr>
                <w:noProof/>
                <w:webHidden/>
              </w:rPr>
              <w:instrText xml:space="preserve"> PAGEREF _Toc46814654 \h </w:instrText>
            </w:r>
            <w:r w:rsidR="004F5AF1">
              <w:rPr>
                <w:noProof/>
                <w:webHidden/>
              </w:rPr>
            </w:r>
            <w:r w:rsidR="004F5AF1">
              <w:rPr>
                <w:noProof/>
                <w:webHidden/>
              </w:rPr>
              <w:fldChar w:fldCharType="separate"/>
            </w:r>
            <w:r>
              <w:rPr>
                <w:noProof/>
                <w:webHidden/>
              </w:rPr>
              <w:t>3</w:t>
            </w:r>
            <w:r w:rsidR="004F5AF1">
              <w:rPr>
                <w:noProof/>
                <w:webHidden/>
              </w:rPr>
              <w:fldChar w:fldCharType="end"/>
            </w:r>
          </w:hyperlink>
        </w:p>
        <w:p w14:paraId="736209F7" w14:textId="0BD09AC0" w:rsidR="004F5AF1" w:rsidRDefault="00180E97">
          <w:pPr>
            <w:pStyle w:val="Verzeichnis3"/>
            <w:tabs>
              <w:tab w:val="left" w:pos="1320"/>
              <w:tab w:val="right" w:leader="dot" w:pos="9344"/>
            </w:tabs>
            <w:rPr>
              <w:rFonts w:asciiTheme="minorHAnsi" w:eastAsiaTheme="minorEastAsia" w:hAnsiTheme="minorHAnsi"/>
              <w:noProof/>
              <w:sz w:val="22"/>
              <w:lang w:eastAsia="de-DE"/>
            </w:rPr>
          </w:pPr>
          <w:hyperlink w:anchor="_Toc46814655" w:history="1">
            <w:r w:rsidR="004F5AF1" w:rsidRPr="00E704CF">
              <w:rPr>
                <w:rStyle w:val="Hyperlink"/>
                <w:noProof/>
              </w:rPr>
              <w:t>3.1.1</w:t>
            </w:r>
            <w:r w:rsidR="004F5AF1">
              <w:rPr>
                <w:rFonts w:asciiTheme="minorHAnsi" w:eastAsiaTheme="minorEastAsia" w:hAnsiTheme="minorHAnsi"/>
                <w:noProof/>
                <w:sz w:val="22"/>
                <w:lang w:eastAsia="de-DE"/>
              </w:rPr>
              <w:tab/>
            </w:r>
            <w:r w:rsidR="004F5AF1" w:rsidRPr="00E704CF">
              <w:rPr>
                <w:rStyle w:val="Hyperlink"/>
                <w:noProof/>
              </w:rPr>
              <w:t>Säure-Verhalten in wässriger Lösung</w:t>
            </w:r>
            <w:r w:rsidR="004F5AF1">
              <w:rPr>
                <w:noProof/>
                <w:webHidden/>
              </w:rPr>
              <w:tab/>
            </w:r>
            <w:r w:rsidR="004F5AF1">
              <w:rPr>
                <w:noProof/>
                <w:webHidden/>
              </w:rPr>
              <w:fldChar w:fldCharType="begin"/>
            </w:r>
            <w:r w:rsidR="004F5AF1">
              <w:rPr>
                <w:noProof/>
                <w:webHidden/>
              </w:rPr>
              <w:instrText xml:space="preserve"> PAGEREF _Toc46814655 \h </w:instrText>
            </w:r>
            <w:r w:rsidR="004F5AF1">
              <w:rPr>
                <w:noProof/>
                <w:webHidden/>
              </w:rPr>
            </w:r>
            <w:r w:rsidR="004F5AF1">
              <w:rPr>
                <w:noProof/>
                <w:webHidden/>
              </w:rPr>
              <w:fldChar w:fldCharType="separate"/>
            </w:r>
            <w:r>
              <w:rPr>
                <w:noProof/>
                <w:webHidden/>
              </w:rPr>
              <w:t>3</w:t>
            </w:r>
            <w:r w:rsidR="004F5AF1">
              <w:rPr>
                <w:noProof/>
                <w:webHidden/>
              </w:rPr>
              <w:fldChar w:fldCharType="end"/>
            </w:r>
          </w:hyperlink>
        </w:p>
        <w:p w14:paraId="132547E3" w14:textId="4AA50878" w:rsidR="004F5AF1" w:rsidRDefault="00180E97">
          <w:pPr>
            <w:pStyle w:val="Verzeichnis3"/>
            <w:tabs>
              <w:tab w:val="left" w:pos="1320"/>
              <w:tab w:val="right" w:leader="dot" w:pos="9344"/>
            </w:tabs>
            <w:rPr>
              <w:rFonts w:asciiTheme="minorHAnsi" w:eastAsiaTheme="minorEastAsia" w:hAnsiTheme="minorHAnsi"/>
              <w:noProof/>
              <w:sz w:val="22"/>
              <w:lang w:eastAsia="de-DE"/>
            </w:rPr>
          </w:pPr>
          <w:hyperlink w:anchor="_Toc46814656" w:history="1">
            <w:r w:rsidR="004F5AF1" w:rsidRPr="00E704CF">
              <w:rPr>
                <w:rStyle w:val="Hyperlink"/>
                <w:noProof/>
              </w:rPr>
              <w:t>3.1.2</w:t>
            </w:r>
            <w:r w:rsidR="004F5AF1">
              <w:rPr>
                <w:rFonts w:asciiTheme="minorHAnsi" w:eastAsiaTheme="minorEastAsia" w:hAnsiTheme="minorHAnsi"/>
                <w:noProof/>
                <w:sz w:val="22"/>
                <w:lang w:eastAsia="de-DE"/>
              </w:rPr>
              <w:tab/>
            </w:r>
            <w:r w:rsidR="004F5AF1" w:rsidRPr="00E704CF">
              <w:rPr>
                <w:rStyle w:val="Hyperlink"/>
                <w:noProof/>
              </w:rPr>
              <w:t>Basen-Verhalten in wässriger Lösung</w:t>
            </w:r>
            <w:r w:rsidR="004F5AF1">
              <w:rPr>
                <w:noProof/>
                <w:webHidden/>
              </w:rPr>
              <w:tab/>
            </w:r>
            <w:r w:rsidR="004F5AF1">
              <w:rPr>
                <w:noProof/>
                <w:webHidden/>
              </w:rPr>
              <w:fldChar w:fldCharType="begin"/>
            </w:r>
            <w:r w:rsidR="004F5AF1">
              <w:rPr>
                <w:noProof/>
                <w:webHidden/>
              </w:rPr>
              <w:instrText xml:space="preserve"> PAGEREF _Toc46814656 \h </w:instrText>
            </w:r>
            <w:r w:rsidR="004F5AF1">
              <w:rPr>
                <w:noProof/>
                <w:webHidden/>
              </w:rPr>
            </w:r>
            <w:r w:rsidR="004F5AF1">
              <w:rPr>
                <w:noProof/>
                <w:webHidden/>
              </w:rPr>
              <w:fldChar w:fldCharType="separate"/>
            </w:r>
            <w:r>
              <w:rPr>
                <w:noProof/>
                <w:webHidden/>
              </w:rPr>
              <w:t>5</w:t>
            </w:r>
            <w:r w:rsidR="004F5AF1">
              <w:rPr>
                <w:noProof/>
                <w:webHidden/>
              </w:rPr>
              <w:fldChar w:fldCharType="end"/>
            </w:r>
          </w:hyperlink>
        </w:p>
        <w:p w14:paraId="18438C62" w14:textId="1F620C4C" w:rsidR="004F5AF1" w:rsidRDefault="00180E97">
          <w:pPr>
            <w:pStyle w:val="Verzeichnis2"/>
            <w:tabs>
              <w:tab w:val="left" w:pos="880"/>
              <w:tab w:val="right" w:leader="dot" w:pos="9344"/>
            </w:tabs>
            <w:rPr>
              <w:rFonts w:asciiTheme="minorHAnsi" w:eastAsiaTheme="minorEastAsia" w:hAnsiTheme="minorHAnsi"/>
              <w:noProof/>
              <w:sz w:val="22"/>
              <w:lang w:eastAsia="de-DE"/>
            </w:rPr>
          </w:pPr>
          <w:hyperlink w:anchor="_Toc46814657" w:history="1">
            <w:r w:rsidR="004F5AF1" w:rsidRPr="00E704CF">
              <w:rPr>
                <w:rStyle w:val="Hyperlink"/>
                <w:noProof/>
              </w:rPr>
              <w:t>3.2</w:t>
            </w:r>
            <w:r w:rsidR="004F5AF1">
              <w:rPr>
                <w:rFonts w:asciiTheme="minorHAnsi" w:eastAsiaTheme="minorEastAsia" w:hAnsiTheme="minorHAnsi"/>
                <w:noProof/>
                <w:sz w:val="22"/>
                <w:lang w:eastAsia="de-DE"/>
              </w:rPr>
              <w:tab/>
            </w:r>
            <w:r w:rsidR="004F5AF1" w:rsidRPr="00E704CF">
              <w:rPr>
                <w:rStyle w:val="Hyperlink"/>
                <w:noProof/>
              </w:rPr>
              <w:t>Reaktionsverhalten von Säuren und Basen in der Gas-Phase</w:t>
            </w:r>
            <w:r w:rsidR="004F5AF1">
              <w:rPr>
                <w:noProof/>
                <w:webHidden/>
              </w:rPr>
              <w:tab/>
            </w:r>
            <w:r w:rsidR="004F5AF1">
              <w:rPr>
                <w:noProof/>
                <w:webHidden/>
              </w:rPr>
              <w:fldChar w:fldCharType="begin"/>
            </w:r>
            <w:r w:rsidR="004F5AF1">
              <w:rPr>
                <w:noProof/>
                <w:webHidden/>
              </w:rPr>
              <w:instrText xml:space="preserve"> PAGEREF _Toc46814657 \h </w:instrText>
            </w:r>
            <w:r w:rsidR="004F5AF1">
              <w:rPr>
                <w:noProof/>
                <w:webHidden/>
              </w:rPr>
            </w:r>
            <w:r w:rsidR="004F5AF1">
              <w:rPr>
                <w:noProof/>
                <w:webHidden/>
              </w:rPr>
              <w:fldChar w:fldCharType="separate"/>
            </w:r>
            <w:r>
              <w:rPr>
                <w:noProof/>
                <w:webHidden/>
              </w:rPr>
              <w:t>6</w:t>
            </w:r>
            <w:r w:rsidR="004F5AF1">
              <w:rPr>
                <w:noProof/>
                <w:webHidden/>
              </w:rPr>
              <w:fldChar w:fldCharType="end"/>
            </w:r>
          </w:hyperlink>
        </w:p>
        <w:p w14:paraId="726D58ED" w14:textId="6ECEEF38" w:rsidR="004F5AF1" w:rsidRDefault="00180E97">
          <w:pPr>
            <w:pStyle w:val="Verzeichnis2"/>
            <w:tabs>
              <w:tab w:val="left" w:pos="880"/>
              <w:tab w:val="right" w:leader="dot" w:pos="9344"/>
            </w:tabs>
            <w:rPr>
              <w:rFonts w:asciiTheme="minorHAnsi" w:eastAsiaTheme="minorEastAsia" w:hAnsiTheme="minorHAnsi"/>
              <w:noProof/>
              <w:sz w:val="22"/>
              <w:lang w:eastAsia="de-DE"/>
            </w:rPr>
          </w:pPr>
          <w:hyperlink w:anchor="_Toc46814658" w:history="1">
            <w:r w:rsidR="004F5AF1" w:rsidRPr="00E704CF">
              <w:rPr>
                <w:rStyle w:val="Hyperlink"/>
                <w:noProof/>
              </w:rPr>
              <w:t>3.3</w:t>
            </w:r>
            <w:r w:rsidR="004F5AF1">
              <w:rPr>
                <w:rFonts w:asciiTheme="minorHAnsi" w:eastAsiaTheme="minorEastAsia" w:hAnsiTheme="minorHAnsi"/>
                <w:noProof/>
                <w:sz w:val="22"/>
                <w:lang w:eastAsia="de-DE"/>
              </w:rPr>
              <w:tab/>
            </w:r>
            <w:r w:rsidR="004F5AF1" w:rsidRPr="00E704CF">
              <w:rPr>
                <w:rStyle w:val="Hyperlink"/>
                <w:noProof/>
              </w:rPr>
              <w:t>Reaktionsverhalten von nicht-protonenhaltigen Säuren mit einer Base</w:t>
            </w:r>
            <w:r w:rsidR="004F5AF1">
              <w:rPr>
                <w:noProof/>
                <w:webHidden/>
              </w:rPr>
              <w:tab/>
            </w:r>
            <w:r w:rsidR="004F5AF1">
              <w:rPr>
                <w:noProof/>
                <w:webHidden/>
              </w:rPr>
              <w:fldChar w:fldCharType="begin"/>
            </w:r>
            <w:r w:rsidR="004F5AF1">
              <w:rPr>
                <w:noProof/>
                <w:webHidden/>
              </w:rPr>
              <w:instrText xml:space="preserve"> PAGEREF _Toc46814658 \h </w:instrText>
            </w:r>
            <w:r w:rsidR="004F5AF1">
              <w:rPr>
                <w:noProof/>
                <w:webHidden/>
              </w:rPr>
            </w:r>
            <w:r w:rsidR="004F5AF1">
              <w:rPr>
                <w:noProof/>
                <w:webHidden/>
              </w:rPr>
              <w:fldChar w:fldCharType="separate"/>
            </w:r>
            <w:r>
              <w:rPr>
                <w:noProof/>
                <w:webHidden/>
              </w:rPr>
              <w:t>7</w:t>
            </w:r>
            <w:r w:rsidR="004F5AF1">
              <w:rPr>
                <w:noProof/>
                <w:webHidden/>
              </w:rPr>
              <w:fldChar w:fldCharType="end"/>
            </w:r>
          </w:hyperlink>
        </w:p>
        <w:p w14:paraId="67F96751" w14:textId="7588F90D" w:rsidR="004F5AF1" w:rsidRDefault="00180E97">
          <w:pPr>
            <w:pStyle w:val="Verzeichnis2"/>
            <w:tabs>
              <w:tab w:val="left" w:pos="880"/>
              <w:tab w:val="right" w:leader="dot" w:pos="9344"/>
            </w:tabs>
            <w:rPr>
              <w:rFonts w:asciiTheme="minorHAnsi" w:eastAsiaTheme="minorEastAsia" w:hAnsiTheme="minorHAnsi"/>
              <w:noProof/>
              <w:sz w:val="22"/>
              <w:lang w:eastAsia="de-DE"/>
            </w:rPr>
          </w:pPr>
          <w:hyperlink w:anchor="_Toc46814659" w:history="1">
            <w:r w:rsidR="004F5AF1" w:rsidRPr="00E704CF">
              <w:rPr>
                <w:rStyle w:val="Hyperlink"/>
                <w:noProof/>
              </w:rPr>
              <w:t>3.4</w:t>
            </w:r>
            <w:r w:rsidR="004F5AF1">
              <w:rPr>
                <w:rFonts w:asciiTheme="minorHAnsi" w:eastAsiaTheme="minorEastAsia" w:hAnsiTheme="minorHAnsi"/>
                <w:noProof/>
                <w:sz w:val="22"/>
                <w:lang w:eastAsia="de-DE"/>
              </w:rPr>
              <w:tab/>
            </w:r>
            <w:r w:rsidR="004F5AF1" w:rsidRPr="00E704CF">
              <w:rPr>
                <w:rStyle w:val="Hyperlink"/>
                <w:noProof/>
              </w:rPr>
              <w:t>Grenzen des Lewis-Konzepts</w:t>
            </w:r>
            <w:r w:rsidR="004F5AF1">
              <w:rPr>
                <w:noProof/>
                <w:webHidden/>
              </w:rPr>
              <w:tab/>
            </w:r>
            <w:r w:rsidR="004F5AF1">
              <w:rPr>
                <w:noProof/>
                <w:webHidden/>
              </w:rPr>
              <w:fldChar w:fldCharType="begin"/>
            </w:r>
            <w:r w:rsidR="004F5AF1">
              <w:rPr>
                <w:noProof/>
                <w:webHidden/>
              </w:rPr>
              <w:instrText xml:space="preserve"> PAGEREF _Toc46814659 \h </w:instrText>
            </w:r>
            <w:r w:rsidR="004F5AF1">
              <w:rPr>
                <w:noProof/>
                <w:webHidden/>
              </w:rPr>
            </w:r>
            <w:r w:rsidR="004F5AF1">
              <w:rPr>
                <w:noProof/>
                <w:webHidden/>
              </w:rPr>
              <w:fldChar w:fldCharType="separate"/>
            </w:r>
            <w:r>
              <w:rPr>
                <w:noProof/>
                <w:webHidden/>
              </w:rPr>
              <w:t>7</w:t>
            </w:r>
            <w:r w:rsidR="004F5AF1">
              <w:rPr>
                <w:noProof/>
                <w:webHidden/>
              </w:rPr>
              <w:fldChar w:fldCharType="end"/>
            </w:r>
          </w:hyperlink>
        </w:p>
        <w:p w14:paraId="65FD8BEE" w14:textId="544AB219" w:rsidR="004F5AF1" w:rsidRDefault="00180E97">
          <w:pPr>
            <w:pStyle w:val="Verzeichnis1"/>
            <w:tabs>
              <w:tab w:val="left" w:pos="480"/>
              <w:tab w:val="right" w:leader="dot" w:pos="9344"/>
            </w:tabs>
            <w:rPr>
              <w:rFonts w:asciiTheme="minorHAnsi" w:eastAsiaTheme="minorEastAsia" w:hAnsiTheme="minorHAnsi"/>
              <w:noProof/>
              <w:sz w:val="22"/>
              <w:lang w:eastAsia="de-DE"/>
            </w:rPr>
          </w:pPr>
          <w:hyperlink w:anchor="_Toc46814660" w:history="1">
            <w:r w:rsidR="004F5AF1" w:rsidRPr="00E704CF">
              <w:rPr>
                <w:rStyle w:val="Hyperlink"/>
                <w:noProof/>
              </w:rPr>
              <w:t>4</w:t>
            </w:r>
            <w:r w:rsidR="004F5AF1">
              <w:rPr>
                <w:rFonts w:asciiTheme="minorHAnsi" w:eastAsiaTheme="minorEastAsia" w:hAnsiTheme="minorHAnsi"/>
                <w:noProof/>
                <w:sz w:val="22"/>
                <w:lang w:eastAsia="de-DE"/>
              </w:rPr>
              <w:tab/>
            </w:r>
            <w:r w:rsidR="004F5AF1" w:rsidRPr="00E704CF">
              <w:rPr>
                <w:rStyle w:val="Hyperlink"/>
                <w:noProof/>
              </w:rPr>
              <w:t>Konzept nach Pearson</w:t>
            </w:r>
            <w:r w:rsidR="004F5AF1">
              <w:rPr>
                <w:noProof/>
                <w:webHidden/>
              </w:rPr>
              <w:tab/>
            </w:r>
            <w:r w:rsidR="004F5AF1">
              <w:rPr>
                <w:noProof/>
                <w:webHidden/>
              </w:rPr>
              <w:fldChar w:fldCharType="begin"/>
            </w:r>
            <w:r w:rsidR="004F5AF1">
              <w:rPr>
                <w:noProof/>
                <w:webHidden/>
              </w:rPr>
              <w:instrText xml:space="preserve"> PAGEREF _Toc46814660 \h </w:instrText>
            </w:r>
            <w:r w:rsidR="004F5AF1">
              <w:rPr>
                <w:noProof/>
                <w:webHidden/>
              </w:rPr>
            </w:r>
            <w:r w:rsidR="004F5AF1">
              <w:rPr>
                <w:noProof/>
                <w:webHidden/>
              </w:rPr>
              <w:fldChar w:fldCharType="separate"/>
            </w:r>
            <w:r>
              <w:rPr>
                <w:noProof/>
                <w:webHidden/>
              </w:rPr>
              <w:t>8</w:t>
            </w:r>
            <w:r w:rsidR="004F5AF1">
              <w:rPr>
                <w:noProof/>
                <w:webHidden/>
              </w:rPr>
              <w:fldChar w:fldCharType="end"/>
            </w:r>
          </w:hyperlink>
        </w:p>
        <w:p w14:paraId="4AEE0CD1" w14:textId="77777777" w:rsidR="006C46BC" w:rsidRDefault="006C46BC">
          <w:r>
            <w:rPr>
              <w:b/>
              <w:bCs/>
            </w:rPr>
            <w:fldChar w:fldCharType="end"/>
          </w:r>
        </w:p>
      </w:sdtContent>
    </w:sdt>
    <w:p w14:paraId="296E8239" w14:textId="77777777" w:rsidR="00A350F8" w:rsidRPr="00A350F8" w:rsidRDefault="00A350F8" w:rsidP="00A350F8">
      <w:pPr>
        <w:pStyle w:val="EinstiegAbschluss"/>
      </w:pPr>
      <w:bookmarkStart w:id="1" w:name="_Überschrift_1"/>
      <w:bookmarkEnd w:id="1"/>
      <w:r w:rsidRPr="00A350F8">
        <w:rPr>
          <w:rStyle w:val="Fett"/>
        </w:rPr>
        <w:t>Einführung 1</w:t>
      </w:r>
      <w:r w:rsidRPr="00A350F8">
        <w:t>: Im Alltag werden wir immer wieder mit Säuren konfrontiert (z.</w:t>
      </w:r>
      <w:r>
        <w:t> </w:t>
      </w:r>
      <w:r w:rsidRPr="00A350F8">
        <w:t xml:space="preserve">B. Kohlensäure in Mineralwasser, Zitronensäure in Gummibärchen </w:t>
      </w:r>
      <w:r>
        <w:t>usw</w:t>
      </w:r>
      <w:r w:rsidRPr="00A350F8">
        <w:t xml:space="preserve">.). Was genau ist aber eine Säure? Wie ist sie definiert? </w:t>
      </w:r>
      <w:r w:rsidR="00F93935">
        <w:t>(schlechtes Beispiel)</w:t>
      </w:r>
    </w:p>
    <w:p w14:paraId="0F868573" w14:textId="77777777" w:rsidR="00A350F8" w:rsidRPr="00A350F8" w:rsidRDefault="00A350F8" w:rsidP="00A350F8">
      <w:pPr>
        <w:pStyle w:val="EinstiegAbschluss"/>
      </w:pPr>
      <w:r w:rsidRPr="00A350F8">
        <w:t xml:space="preserve">Wissenschaftler haben sich in der Vergangenheit damit beschäftigt; so auch Johannes Nikolaus </w:t>
      </w:r>
      <w:proofErr w:type="spellStart"/>
      <w:r w:rsidRPr="00A350F8">
        <w:t>Br</w:t>
      </w:r>
      <w:r>
        <w:rPr>
          <w:rFonts w:cs="Arial"/>
        </w:rPr>
        <w:t>ø</w:t>
      </w:r>
      <w:r w:rsidRPr="00A350F8">
        <w:t>nsted</w:t>
      </w:r>
      <w:proofErr w:type="spellEnd"/>
      <w:r w:rsidRPr="00A350F8">
        <w:t xml:space="preserve"> und Gilbert Newton Lewis.</w:t>
      </w:r>
    </w:p>
    <w:p w14:paraId="36BA3DDB" w14:textId="77777777" w:rsidR="00A350F8" w:rsidRDefault="00A350F8" w:rsidP="00A350F8">
      <w:pPr>
        <w:pStyle w:val="EinstiegAbschluss"/>
      </w:pPr>
      <w:r w:rsidRPr="00A350F8">
        <w:rPr>
          <w:rStyle w:val="Fett"/>
        </w:rPr>
        <w:t>Einführung 2</w:t>
      </w:r>
      <w:r w:rsidRPr="00A350F8">
        <w:t>: Bei Betrachtung chemischer Reaktionen auf der Stoff</w:t>
      </w:r>
      <w:r>
        <w:t>-E</w:t>
      </w:r>
      <w:r w:rsidRPr="00A350F8">
        <w:t>bene ist häufig beispielsweise eine Verbrennung oder einen Farbumschlag zu erkennen. Auf der Teilchen</w:t>
      </w:r>
      <w:r>
        <w:t>-E</w:t>
      </w:r>
      <w:r w:rsidRPr="00A350F8">
        <w:t xml:space="preserve">bene kann die Verbrennung als </w:t>
      </w:r>
      <w:proofErr w:type="spellStart"/>
      <w:r w:rsidR="0001387A" w:rsidRPr="00A350F8">
        <w:t>Redox</w:t>
      </w:r>
      <w:proofErr w:type="spellEnd"/>
      <w:r w:rsidRPr="00A350F8">
        <w:t>-Prozess und der Farbumschlag als Protonen</w:t>
      </w:r>
      <w:r>
        <w:t>-Ü</w:t>
      </w:r>
      <w:r w:rsidRPr="00A350F8">
        <w:t>bergang zwischen Säure und Base, der durch einen Indikator sichtbar gemacht wird, erklärt werden. Jedoch erlaubt dies nicht den Rückschluss, dass es sich bei jedem Farbumschlag um einen Protonen</w:t>
      </w:r>
      <w:r>
        <w:t>-Ü</w:t>
      </w:r>
      <w:r w:rsidRPr="00A350F8">
        <w:t xml:space="preserve">bergang handelt. Aufbauend auf dem folgenden Experiment, das eine Säure-Base-Reaktion mit Farbumschlag zeigt, jedoch nicht mit der Säure-Base-Theorie nach </w:t>
      </w:r>
      <w:proofErr w:type="spellStart"/>
      <w:r w:rsidRPr="00A350F8">
        <w:t>Br</w:t>
      </w:r>
      <w:r>
        <w:rPr>
          <w:rFonts w:cs="Arial"/>
        </w:rPr>
        <w:t>ø</w:t>
      </w:r>
      <w:r w:rsidRPr="00A350F8">
        <w:t>nsted</w:t>
      </w:r>
      <w:proofErr w:type="spellEnd"/>
      <w:r w:rsidRPr="00A350F8">
        <w:t xml:space="preserve"> erklärt werden kann, werden alternative Säure-Base-Konzepte vorgestellt und vom </w:t>
      </w:r>
      <w:proofErr w:type="spellStart"/>
      <w:r w:rsidRPr="00A350F8">
        <w:t>Br</w:t>
      </w:r>
      <w:r>
        <w:rPr>
          <w:rFonts w:cs="Arial"/>
        </w:rPr>
        <w:t>ø</w:t>
      </w:r>
      <w:r w:rsidRPr="00A350F8">
        <w:t>nsted</w:t>
      </w:r>
      <w:proofErr w:type="spellEnd"/>
      <w:r w:rsidRPr="00A350F8">
        <w:t xml:space="preserve">-Begriff abgegrenzt. </w:t>
      </w:r>
      <w:r w:rsidR="00F93935">
        <w:t>(besseres Beispiel)</w:t>
      </w:r>
    </w:p>
    <w:p w14:paraId="601F672F" w14:textId="2C1DB484" w:rsidR="00576945" w:rsidRPr="00A350F8" w:rsidRDefault="00576945" w:rsidP="00576945">
      <w:pPr>
        <w:pStyle w:val="EinstiegAbschluss"/>
      </w:pPr>
      <w:r>
        <w:rPr>
          <w:rStyle w:val="Fett"/>
        </w:rPr>
        <w:t xml:space="preserve">Einführung </w:t>
      </w:r>
      <w:r w:rsidR="00B2740E">
        <w:rPr>
          <w:rStyle w:val="Fett"/>
        </w:rPr>
        <w:t>3</w:t>
      </w:r>
      <w:r w:rsidRPr="00576945">
        <w:t>:</w:t>
      </w:r>
      <w:r>
        <w:t xml:space="preserve"> </w:t>
      </w:r>
      <w:r w:rsidRPr="00576945">
        <w:t xml:space="preserve">Das Staatsexamen liegt für die meisten noch in weiter Ferne, doch trotzdem lohnt es sich einmal darauf zu achten, welche Inhalte geprüft werden. Unter anderem werden die Säure-Base-Konzepte von </w:t>
      </w:r>
      <w:proofErr w:type="spellStart"/>
      <w:r w:rsidRPr="00576945">
        <w:t>Brønsted</w:t>
      </w:r>
      <w:proofErr w:type="spellEnd"/>
      <w:r w:rsidRPr="00576945">
        <w:t xml:space="preserve"> und Lewis abgefragt. Beide Kon</w:t>
      </w:r>
      <w:r w:rsidRPr="00576945">
        <w:lastRenderedPageBreak/>
        <w:t xml:space="preserve">zepte wurden 1923 veröffentlicht. Handelt es sich dabei vielleicht um konkurrierende Konzepte, wodurch es in Zukunft nicht mehr nötig sein wird, beide zu lernen, da eines von beiden sich durchsetzt? </w:t>
      </w:r>
    </w:p>
    <w:p w14:paraId="3C32C069" w14:textId="77777777" w:rsidR="00FD7888" w:rsidRDefault="00A350F8" w:rsidP="005F27C6">
      <w:r w:rsidRPr="005F27C6">
        <w:rPr>
          <w:rStyle w:val="Fett"/>
        </w:rPr>
        <w:t>Experiment 1</w:t>
      </w:r>
      <w:r>
        <w:t xml:space="preserve">: Bildung des </w:t>
      </w:r>
      <w:proofErr w:type="spellStart"/>
      <w:r>
        <w:t>Eisenthiocyanat</w:t>
      </w:r>
      <w:proofErr w:type="spellEnd"/>
      <w:r>
        <w:t>-Komplexes in wässriger Lösung</w:t>
      </w:r>
    </w:p>
    <w:p w14:paraId="020C3E63" w14:textId="77777777" w:rsidR="00A350F8" w:rsidRDefault="00A350F8" w:rsidP="005F27C6">
      <w:r w:rsidRPr="005F27C6">
        <w:rPr>
          <w:rStyle w:val="Fett"/>
        </w:rPr>
        <w:t>Material</w:t>
      </w:r>
      <w:r>
        <w:t>:</w:t>
      </w:r>
    </w:p>
    <w:p w14:paraId="2AC1FEF5" w14:textId="77777777" w:rsidR="005F27C6" w:rsidRDefault="005F27C6" w:rsidP="005F27C6">
      <w:pPr>
        <w:pStyle w:val="Liste1Aufzhlung"/>
        <w:sectPr w:rsidR="005F27C6" w:rsidSect="00931B30">
          <w:footerReference w:type="default" r:id="rId9"/>
          <w:pgSz w:w="11906" w:h="16838"/>
          <w:pgMar w:top="851" w:right="1134" w:bottom="1134" w:left="1418" w:header="0" w:footer="0" w:gutter="0"/>
          <w:cols w:space="708"/>
          <w:titlePg/>
          <w:docGrid w:linePitch="360"/>
        </w:sectPr>
      </w:pPr>
    </w:p>
    <w:p w14:paraId="6F5ED02D" w14:textId="77777777" w:rsidR="00A350F8" w:rsidRDefault="00A350F8" w:rsidP="005F27C6">
      <w:pPr>
        <w:pStyle w:val="Liste1Aufzhlung"/>
      </w:pPr>
      <w:r>
        <w:lastRenderedPageBreak/>
        <w:t>Reagenzglas, d= 30 mm</w:t>
      </w:r>
    </w:p>
    <w:p w14:paraId="236530A8" w14:textId="77777777" w:rsidR="00A350F8" w:rsidRDefault="00A350F8" w:rsidP="005F27C6">
      <w:pPr>
        <w:pStyle w:val="Liste1Aufzhlung"/>
      </w:pPr>
      <w:r>
        <w:lastRenderedPageBreak/>
        <w:t>2 Pasteur-Pipetten, Hütchen</w:t>
      </w:r>
    </w:p>
    <w:p w14:paraId="7C085C7E" w14:textId="77777777" w:rsidR="005F27C6" w:rsidRDefault="005F27C6" w:rsidP="005F27C6">
      <w:pPr>
        <w:rPr>
          <w:rStyle w:val="Fett"/>
        </w:rPr>
        <w:sectPr w:rsidR="005F27C6" w:rsidSect="005F27C6">
          <w:type w:val="continuous"/>
          <w:pgSz w:w="11906" w:h="16838"/>
          <w:pgMar w:top="851" w:right="1134" w:bottom="1134" w:left="1418" w:header="0" w:footer="0" w:gutter="0"/>
          <w:cols w:num="2" w:space="708"/>
          <w:titlePg/>
          <w:docGrid w:linePitch="360"/>
        </w:sectPr>
      </w:pPr>
    </w:p>
    <w:p w14:paraId="67D14834" w14:textId="77777777" w:rsidR="00A350F8" w:rsidRDefault="00A350F8" w:rsidP="005F27C6">
      <w:r w:rsidRPr="005F27C6">
        <w:rPr>
          <w:rStyle w:val="Fett"/>
        </w:rPr>
        <w:lastRenderedPageBreak/>
        <w:t>Chemikalien</w:t>
      </w:r>
      <w:r>
        <w:t>:</w:t>
      </w:r>
    </w:p>
    <w:p w14:paraId="62CBEB99" w14:textId="77777777" w:rsidR="005F27C6" w:rsidRDefault="005F27C6" w:rsidP="005F27C6">
      <w:pPr>
        <w:pStyle w:val="Liste1Aufzhlung"/>
        <w:rPr>
          <w:rStyle w:val="RotZchn"/>
        </w:rPr>
        <w:sectPr w:rsidR="005F27C6" w:rsidSect="005F27C6">
          <w:type w:val="continuous"/>
          <w:pgSz w:w="11906" w:h="16838"/>
          <w:pgMar w:top="851" w:right="1134" w:bottom="1134" w:left="1418" w:header="0" w:footer="0" w:gutter="0"/>
          <w:cols w:space="708"/>
          <w:titlePg/>
          <w:docGrid w:linePitch="360"/>
        </w:sectPr>
      </w:pPr>
    </w:p>
    <w:p w14:paraId="441A3E53" w14:textId="77777777" w:rsidR="005F27C6" w:rsidRPr="005F27C6" w:rsidRDefault="005F27C6" w:rsidP="005F27C6">
      <w:pPr>
        <w:pStyle w:val="Rot"/>
        <w:numPr>
          <w:ilvl w:val="2"/>
          <w:numId w:val="10"/>
        </w:numPr>
        <w:ind w:left="426" w:hanging="426"/>
      </w:pPr>
      <w:r w:rsidRPr="005F27C6">
        <w:lastRenderedPageBreak/>
        <w:t>VE-Wasser</w:t>
      </w:r>
    </w:p>
    <w:p w14:paraId="3DD5C5A7" w14:textId="77777777" w:rsidR="00A350F8" w:rsidRDefault="00A350F8" w:rsidP="005F27C6">
      <w:pPr>
        <w:pStyle w:val="Liste1Aufzhlung"/>
        <w:rPr>
          <w:rStyle w:val="CASNrZchn"/>
        </w:rPr>
      </w:pPr>
      <w:proofErr w:type="spellStart"/>
      <w:r w:rsidRPr="005F27C6">
        <w:rPr>
          <w:rStyle w:val="RotZchn"/>
        </w:rPr>
        <w:t>Ammoniumthiocyanat</w:t>
      </w:r>
      <w:proofErr w:type="spellEnd"/>
      <w:r w:rsidRPr="005F27C6">
        <w:t>-Lösung</w:t>
      </w:r>
      <w:r w:rsidRPr="005F27C6">
        <w:br/>
      </w:r>
      <w:r w:rsidRPr="000740FB">
        <w:t>c= 0,6</w:t>
      </w:r>
      <w:r w:rsidR="005F27C6">
        <w:t> </w:t>
      </w:r>
      <w:proofErr w:type="spellStart"/>
      <w:r w:rsidRPr="000740FB">
        <w:t>mol</w:t>
      </w:r>
      <w:proofErr w:type="spellEnd"/>
      <w:r w:rsidRPr="000740FB">
        <w:t>/L</w:t>
      </w:r>
      <w:r w:rsidR="005F27C6">
        <w:tab/>
      </w:r>
      <w:r w:rsidRPr="000740FB">
        <w:br/>
      </w:r>
      <w:r w:rsidRPr="005F27C6">
        <w:rPr>
          <w:rStyle w:val="CASNrZchn"/>
        </w:rPr>
        <w:t>CAS-Nr.: 1762-95-4</w:t>
      </w:r>
      <w:r w:rsidR="005F27C6" w:rsidRPr="005F27C6">
        <w:rPr>
          <w:rStyle w:val="CASNrZchn"/>
        </w:rPr>
        <w:tab/>
      </w:r>
      <w:r w:rsidRPr="005F27C6">
        <w:rPr>
          <w:rStyle w:val="CASNrZchn"/>
        </w:rPr>
        <w:br/>
        <w:t>EUH032</w:t>
      </w:r>
    </w:p>
    <w:p w14:paraId="4D0C66CB" w14:textId="77777777" w:rsidR="00A350F8" w:rsidRDefault="005F27C6" w:rsidP="005F27C6">
      <w:pPr>
        <w:pStyle w:val="Liste1Aufzhlung"/>
      </w:pPr>
      <w:r>
        <w:rPr>
          <w:rStyle w:val="RotZchn"/>
        </w:rPr>
        <w:br w:type="column"/>
      </w:r>
      <w:r w:rsidR="00A350F8" w:rsidRPr="005F27C6">
        <w:rPr>
          <w:rStyle w:val="RotZchn"/>
        </w:rPr>
        <w:lastRenderedPageBreak/>
        <w:t>Eisen(III)-chlorid</w:t>
      </w:r>
      <w:r w:rsidR="00A350F8" w:rsidRPr="000740FB">
        <w:t>-Lösung</w:t>
      </w:r>
      <w:r w:rsidR="00A350F8" w:rsidRPr="000740FB">
        <w:br/>
        <w:t>c= 0,1</w:t>
      </w:r>
      <w:r>
        <w:t> </w:t>
      </w:r>
      <w:proofErr w:type="spellStart"/>
      <w:r w:rsidR="00A350F8" w:rsidRPr="000740FB">
        <w:t>mol</w:t>
      </w:r>
      <w:proofErr w:type="spellEnd"/>
      <w:r w:rsidR="00A350F8" w:rsidRPr="000740FB">
        <w:t>/L</w:t>
      </w:r>
      <w:r>
        <w:tab/>
      </w:r>
      <w:r w:rsidR="00A350F8" w:rsidRPr="000740FB">
        <w:br/>
      </w:r>
      <w:r w:rsidR="00A350F8" w:rsidRPr="005F27C6">
        <w:rPr>
          <w:rStyle w:val="CASNrZchn"/>
        </w:rPr>
        <w:t>CAS-Nr.: 7705-08-0</w:t>
      </w:r>
      <w:r>
        <w:tab/>
      </w:r>
      <w:r w:rsidR="00F93935">
        <w:br/>
      </w:r>
      <w:r w:rsidR="00A350F8" w:rsidRPr="000740FB">
        <w:br/>
      </w:r>
      <w:r w:rsidR="00A350F8" w:rsidRPr="000740FB">
        <w:rPr>
          <w:noProof/>
          <w:lang w:eastAsia="de-DE"/>
        </w:rPr>
        <w:drawing>
          <wp:inline distT="0" distB="0" distL="0" distR="0" wp14:anchorId="68B8619D" wp14:editId="0485B854">
            <wp:extent cx="358140" cy="365760"/>
            <wp:effectExtent l="0" t="0" r="3810" b="0"/>
            <wp:docPr id="499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0"/>
                    <a:stretch>
                      <a:fillRect/>
                    </a:stretch>
                  </pic:blipFill>
                  <pic:spPr>
                    <a:xfrm>
                      <a:off x="0" y="0"/>
                      <a:ext cx="358140" cy="365760"/>
                    </a:xfrm>
                    <a:prstGeom prst="rect">
                      <a:avLst/>
                    </a:prstGeom>
                  </pic:spPr>
                </pic:pic>
              </a:graphicData>
            </a:graphic>
          </wp:inline>
        </w:drawing>
      </w:r>
      <w:r w:rsidR="00A350F8" w:rsidRPr="000740FB">
        <w:t xml:space="preserve"> Achtung</w:t>
      </w:r>
      <w:r>
        <w:tab/>
      </w:r>
      <w:r w:rsidR="00A350F8" w:rsidRPr="000740FB">
        <w:br/>
      </w:r>
      <w:r w:rsidR="00A350F8" w:rsidRPr="005F27C6">
        <w:rPr>
          <w:rStyle w:val="CASNrZchn"/>
        </w:rPr>
        <w:t>H317, H319</w:t>
      </w:r>
      <w:r w:rsidRPr="005F27C6">
        <w:rPr>
          <w:rStyle w:val="CASNrZchn"/>
        </w:rPr>
        <w:tab/>
      </w:r>
      <w:r w:rsidR="00A350F8" w:rsidRPr="005F27C6">
        <w:rPr>
          <w:rStyle w:val="CASNrZchn"/>
        </w:rPr>
        <w:br/>
        <w:t>P280, P302+P352, P305+P351+P338</w:t>
      </w:r>
    </w:p>
    <w:p w14:paraId="6FD04C64" w14:textId="77777777" w:rsidR="005F27C6" w:rsidRDefault="005F27C6" w:rsidP="005F27C6">
      <w:pPr>
        <w:rPr>
          <w:rStyle w:val="Fett"/>
        </w:rPr>
        <w:sectPr w:rsidR="005F27C6" w:rsidSect="005F27C6">
          <w:type w:val="continuous"/>
          <w:pgSz w:w="11906" w:h="16838"/>
          <w:pgMar w:top="851" w:right="1134" w:bottom="1134" w:left="1418" w:header="0" w:footer="0" w:gutter="0"/>
          <w:cols w:num="2" w:space="708"/>
          <w:titlePg/>
          <w:docGrid w:linePitch="360"/>
        </w:sectPr>
      </w:pPr>
    </w:p>
    <w:p w14:paraId="250F7F95" w14:textId="77777777" w:rsidR="005F27C6" w:rsidRDefault="005F27C6" w:rsidP="005F27C6">
      <w:r w:rsidRPr="005F27C6">
        <w:rPr>
          <w:rStyle w:val="Fett"/>
        </w:rPr>
        <w:lastRenderedPageBreak/>
        <w:t>Durchführung</w:t>
      </w:r>
      <w:r>
        <w:t>: Von jeder der beiden Lösungen wird eine halbe Pipette in das vorgelegte Wasser getropft.</w:t>
      </w:r>
    </w:p>
    <w:p w14:paraId="5E9E364B" w14:textId="77777777" w:rsidR="005F27C6" w:rsidRDefault="005F27C6" w:rsidP="005F27C6">
      <w:r w:rsidRPr="005F27C6">
        <w:rPr>
          <w:rStyle w:val="Fett"/>
        </w:rPr>
        <w:t>Beobachtung</w:t>
      </w:r>
      <w:r>
        <w:t>: Die Lösung färbt sich kräftig rot.</w:t>
      </w:r>
    </w:p>
    <w:p w14:paraId="6905F684" w14:textId="76706140" w:rsidR="005F27C6" w:rsidRPr="003D02F1" w:rsidRDefault="005F27C6" w:rsidP="003D02F1">
      <w:r w:rsidRPr="005F27C6">
        <w:rPr>
          <w:rStyle w:val="Fett"/>
        </w:rPr>
        <w:t>Deutung</w:t>
      </w:r>
      <w:r>
        <w:t>:</w:t>
      </w:r>
      <w:r w:rsidR="003D02F1">
        <w:t xml:space="preserve"> </w:t>
      </w:r>
      <m:oMath>
        <m:r>
          <m:rPr>
            <m:nor/>
          </m:rPr>
          <w:rPr>
            <w:szCs w:val="28"/>
          </w:rPr>
          <m:t>3</m:t>
        </m:r>
        <m:sSub>
          <m:sSubPr>
            <m:ctrlPr>
              <w:rPr>
                <w:rFonts w:ascii="Cambria Math" w:hAnsi="Cambria Math"/>
                <w:szCs w:val="28"/>
              </w:rPr>
            </m:ctrlPr>
          </m:sSubPr>
          <m:e>
            <m:r>
              <m:rPr>
                <m:nor/>
              </m:rPr>
              <w:rPr>
                <w:rFonts w:ascii="Cambria Math"/>
                <w:szCs w:val="28"/>
              </w:rPr>
              <m:t xml:space="preserve"> </m:t>
            </m:r>
            <m:r>
              <m:rPr>
                <m:nor/>
              </m:rPr>
              <w:rPr>
                <w:szCs w:val="28"/>
              </w:rPr>
              <m:t>NH</m:t>
            </m:r>
          </m:e>
          <m:sub>
            <m:r>
              <m:rPr>
                <m:nor/>
              </m:rPr>
              <w:rPr>
                <w:szCs w:val="28"/>
              </w:rPr>
              <m:t>4</m:t>
            </m:r>
          </m:sub>
        </m:sSub>
        <m:r>
          <m:rPr>
            <m:nor/>
          </m:rPr>
          <w:rPr>
            <w:szCs w:val="28"/>
          </w:rPr>
          <m:t>SCN</m:t>
        </m:r>
        <m:d>
          <m:dPr>
            <m:ctrlPr>
              <w:rPr>
                <w:rFonts w:ascii="Cambria Math" w:hAnsi="Cambria Math"/>
                <w:szCs w:val="28"/>
              </w:rPr>
            </m:ctrlPr>
          </m:dPr>
          <m:e>
            <m:r>
              <m:rPr>
                <m:nor/>
              </m:rPr>
              <w:rPr>
                <w:szCs w:val="28"/>
              </w:rPr>
              <m:t>aq</m:t>
            </m:r>
          </m:e>
        </m:d>
        <m:r>
          <m:rPr>
            <m:nor/>
          </m:rPr>
          <w:rPr>
            <w:rFonts w:ascii="Cambria Math"/>
            <w:szCs w:val="28"/>
          </w:rPr>
          <m:t xml:space="preserve"> </m:t>
        </m:r>
        <m:r>
          <m:rPr>
            <m:nor/>
          </m:rPr>
          <w:rPr>
            <w:szCs w:val="28"/>
          </w:rPr>
          <m:t xml:space="preserve">+ </m:t>
        </m:r>
        <m:sSub>
          <m:sSubPr>
            <m:ctrlPr>
              <w:rPr>
                <w:rFonts w:ascii="Cambria Math" w:hAnsi="Cambria Math"/>
                <w:szCs w:val="28"/>
              </w:rPr>
            </m:ctrlPr>
          </m:sSubPr>
          <m:e>
            <m:r>
              <m:rPr>
                <m:nor/>
              </m:rPr>
              <w:rPr>
                <w:szCs w:val="28"/>
              </w:rPr>
              <m:t>FeCl</m:t>
            </m:r>
          </m:e>
          <m:sub>
            <m:r>
              <m:rPr>
                <m:nor/>
              </m:rPr>
              <w:rPr>
                <w:szCs w:val="28"/>
              </w:rPr>
              <m:t>3</m:t>
            </m:r>
          </m:sub>
        </m:sSub>
        <m:d>
          <m:dPr>
            <m:ctrlPr>
              <w:rPr>
                <w:rFonts w:ascii="Cambria Math" w:hAnsi="Cambria Math"/>
                <w:szCs w:val="28"/>
              </w:rPr>
            </m:ctrlPr>
          </m:dPr>
          <m:e>
            <m:r>
              <m:rPr>
                <m:nor/>
              </m:rPr>
              <w:rPr>
                <w:szCs w:val="28"/>
              </w:rPr>
              <m:t>aq</m:t>
            </m:r>
          </m:e>
        </m:d>
        <m:r>
          <m:rPr>
            <m:nor/>
          </m:rPr>
          <w:rPr>
            <w:szCs w:val="28"/>
          </w:rPr>
          <m:t xml:space="preserve"> </m:t>
        </m:r>
        <m:r>
          <m:rPr>
            <m:nor/>
          </m:rPr>
          <w:rPr>
            <w:rFonts w:ascii="Cambria Math" w:hAnsi="Cambria Math" w:cs="Cambria Math"/>
            <w:szCs w:val="28"/>
          </w:rPr>
          <m:t xml:space="preserve">⟶ </m:t>
        </m:r>
        <m:r>
          <m:rPr>
            <m:nor/>
          </m:rPr>
          <w:rPr>
            <w:szCs w:val="28"/>
          </w:rPr>
          <m:t>3</m:t>
        </m:r>
        <m:r>
          <m:rPr>
            <m:nor/>
          </m:rPr>
          <w:rPr>
            <w:rFonts w:ascii="Cambria Math"/>
            <w:szCs w:val="28"/>
          </w:rPr>
          <m:t xml:space="preserve"> </m:t>
        </m:r>
        <m:sSub>
          <m:sSubPr>
            <m:ctrlPr>
              <w:rPr>
                <w:rFonts w:ascii="Cambria Math" w:hAnsi="Cambria Math"/>
                <w:szCs w:val="28"/>
              </w:rPr>
            </m:ctrlPr>
          </m:sSubPr>
          <m:e>
            <m:r>
              <m:rPr>
                <m:nor/>
              </m:rPr>
              <w:rPr>
                <w:szCs w:val="28"/>
              </w:rPr>
              <m:t>NH</m:t>
            </m:r>
          </m:e>
          <m:sub>
            <m:r>
              <m:rPr>
                <m:nor/>
              </m:rPr>
              <w:rPr>
                <w:szCs w:val="28"/>
              </w:rPr>
              <m:t>4</m:t>
            </m:r>
          </m:sub>
        </m:sSub>
        <m:r>
          <m:rPr>
            <m:nor/>
          </m:rPr>
          <w:rPr>
            <w:szCs w:val="28"/>
          </w:rPr>
          <m:t>Cl</m:t>
        </m:r>
        <m:d>
          <m:dPr>
            <m:ctrlPr>
              <w:rPr>
                <w:rFonts w:ascii="Cambria Math" w:hAnsi="Cambria Math"/>
                <w:szCs w:val="28"/>
              </w:rPr>
            </m:ctrlPr>
          </m:dPr>
          <m:e>
            <m:r>
              <m:rPr>
                <m:nor/>
              </m:rPr>
              <w:rPr>
                <w:szCs w:val="28"/>
              </w:rPr>
              <m:t>aq</m:t>
            </m:r>
          </m:e>
        </m:d>
        <m:r>
          <m:rPr>
            <m:nor/>
          </m:rPr>
          <w:rPr>
            <w:rFonts w:ascii="Cambria Math"/>
            <w:szCs w:val="28"/>
          </w:rPr>
          <m:t xml:space="preserve"> </m:t>
        </m:r>
        <m:r>
          <m:rPr>
            <m:nor/>
          </m:rPr>
          <w:rPr>
            <w:szCs w:val="28"/>
          </w:rPr>
          <m:t>+</m:t>
        </m:r>
        <m:r>
          <m:rPr>
            <m:nor/>
          </m:rPr>
          <w:rPr>
            <w:rFonts w:ascii="Cambria Math"/>
            <w:szCs w:val="28"/>
          </w:rPr>
          <m:t xml:space="preserve"> </m:t>
        </m:r>
        <w:proofErr w:type="spellStart"/>
        <m:r>
          <m:rPr>
            <m:nor/>
          </m:rPr>
          <w:rPr>
            <w:szCs w:val="28"/>
          </w:rPr>
          <m:t>Fe</m:t>
        </m:r>
        <w:proofErr w:type="spellEnd"/>
        <m:sSub>
          <m:sSubPr>
            <m:ctrlPr>
              <w:rPr>
                <w:rFonts w:ascii="Cambria Math" w:hAnsi="Cambria Math"/>
                <w:szCs w:val="28"/>
              </w:rPr>
            </m:ctrlPr>
          </m:sSubPr>
          <m:e>
            <m:d>
              <m:dPr>
                <m:ctrlPr>
                  <w:rPr>
                    <w:rFonts w:ascii="Cambria Math" w:hAnsi="Cambria Math"/>
                    <w:szCs w:val="28"/>
                  </w:rPr>
                </m:ctrlPr>
              </m:dPr>
              <m:e>
                <m:r>
                  <m:rPr>
                    <m:nor/>
                  </m:rPr>
                  <w:rPr>
                    <w:szCs w:val="28"/>
                  </w:rPr>
                  <m:t>SCN</m:t>
                </m:r>
              </m:e>
            </m:d>
          </m:e>
          <m:sub>
            <m:r>
              <m:rPr>
                <m:nor/>
              </m:rPr>
              <w:rPr>
                <w:szCs w:val="28"/>
              </w:rPr>
              <m:t>3</m:t>
            </m:r>
          </m:sub>
        </m:sSub>
      </m:oMath>
    </w:p>
    <w:p w14:paraId="24CF0856" w14:textId="77777777" w:rsidR="00E8473B" w:rsidRDefault="005F27C6" w:rsidP="008A524D">
      <w:pPr>
        <w:pStyle w:val="berschrift1"/>
        <w:rPr>
          <w:rFonts w:ascii="Arial" w:hAnsi="Arial" w:cs="Arial"/>
        </w:rPr>
      </w:pPr>
      <w:bookmarkStart w:id="2" w:name="_Toc46814651"/>
      <w:r>
        <w:t xml:space="preserve">Konzept nach </w:t>
      </w:r>
      <w:proofErr w:type="spellStart"/>
      <w:r>
        <w:rPr>
          <w:rFonts w:ascii="Arial" w:hAnsi="Arial" w:cs="Arial"/>
        </w:rPr>
        <w:t>Brønsted</w:t>
      </w:r>
      <w:bookmarkEnd w:id="2"/>
      <w:proofErr w:type="spellEnd"/>
    </w:p>
    <w:p w14:paraId="357F91AD" w14:textId="1CD10A65" w:rsidR="005F27C6" w:rsidRDefault="005F27C6" w:rsidP="005F27C6">
      <w:proofErr w:type="spellStart"/>
      <w:r>
        <w:t>Br</w:t>
      </w:r>
      <w:r>
        <w:rPr>
          <w:rFonts w:cs="Arial"/>
        </w:rPr>
        <w:t>ø</w:t>
      </w:r>
      <w:r>
        <w:t>nsted</w:t>
      </w:r>
      <w:proofErr w:type="spellEnd"/>
      <w:r>
        <w:t xml:space="preserve">-Säuren sind </w:t>
      </w:r>
      <w:r w:rsidR="00576945">
        <w:t>Teilchen</w:t>
      </w:r>
      <w:r>
        <w:t>, die Protonen abgeben können. Sie werden deshalb auch als Protonen-</w:t>
      </w:r>
      <w:proofErr w:type="spellStart"/>
      <w:r>
        <w:t>Donatoren</w:t>
      </w:r>
      <w:proofErr w:type="spellEnd"/>
      <w:r>
        <w:t xml:space="preserve"> bezeichnet. </w:t>
      </w:r>
      <w:proofErr w:type="spellStart"/>
      <w:r>
        <w:t>Br</w:t>
      </w:r>
      <w:r>
        <w:rPr>
          <w:rFonts w:cs="Arial"/>
        </w:rPr>
        <w:t>ø</w:t>
      </w:r>
      <w:r>
        <w:t>nsted</w:t>
      </w:r>
      <w:proofErr w:type="spellEnd"/>
      <w:r>
        <w:t xml:space="preserve">-Basen hingegen sind </w:t>
      </w:r>
      <w:r w:rsidR="00576945">
        <w:t>Teilchen</w:t>
      </w:r>
      <w:r>
        <w:t xml:space="preserve">, die Protonen aufnehmen können und werden deshalb als Protonen-Akzeptoren bezeichnet. Die Aussagen von </w:t>
      </w:r>
      <w:proofErr w:type="spellStart"/>
      <w:r>
        <w:t>Br</w:t>
      </w:r>
      <w:r>
        <w:rPr>
          <w:rFonts w:cs="Arial"/>
        </w:rPr>
        <w:t>ø</w:t>
      </w:r>
      <w:r>
        <w:t>nsted</w:t>
      </w:r>
      <w:proofErr w:type="spellEnd"/>
      <w:r>
        <w:t xml:space="preserve"> lassen sich also wie folgt zusammenfassen:</w:t>
      </w:r>
    </w:p>
    <w:p w14:paraId="7A0469CB" w14:textId="77777777" w:rsidR="005F27C6" w:rsidRDefault="005F27C6" w:rsidP="005F27C6">
      <w:pPr>
        <w:pStyle w:val="Bilder"/>
      </w:pPr>
      <w:r>
        <w:rPr>
          <w:lang w:eastAsia="de-DE"/>
        </w:rPr>
        <w:drawing>
          <wp:inline distT="0" distB="0" distL="0" distR="0" wp14:anchorId="18FD1E66" wp14:editId="4183E527">
            <wp:extent cx="3808730" cy="885825"/>
            <wp:effectExtent l="0" t="0" r="127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8730" cy="885825"/>
                    </a:xfrm>
                    <a:prstGeom prst="rect">
                      <a:avLst/>
                    </a:prstGeom>
                    <a:noFill/>
                    <a:ln>
                      <a:noFill/>
                    </a:ln>
                  </pic:spPr>
                </pic:pic>
              </a:graphicData>
            </a:graphic>
          </wp:inline>
        </w:drawing>
      </w:r>
    </w:p>
    <w:p w14:paraId="165B89AF" w14:textId="1339737C" w:rsidR="005F27C6" w:rsidRDefault="005F27C6" w:rsidP="005F27C6">
      <w:pPr>
        <w:pStyle w:val="Beschriftung"/>
      </w:pPr>
      <w:r>
        <w:t xml:space="preserve">Abb. </w:t>
      </w:r>
      <w:r w:rsidR="00180E97">
        <w:fldChar w:fldCharType="begin"/>
      </w:r>
      <w:r w:rsidR="00180E97">
        <w:instrText xml:space="preserve"> SEQ Abb. \* ARABIC </w:instrText>
      </w:r>
      <w:r w:rsidR="00180E97">
        <w:fldChar w:fldCharType="separate"/>
      </w:r>
      <w:r w:rsidR="00180E97">
        <w:rPr>
          <w:noProof/>
        </w:rPr>
        <w:t>1</w:t>
      </w:r>
      <w:r w:rsidR="00180E97">
        <w:rPr>
          <w:noProof/>
        </w:rPr>
        <w:fldChar w:fldCharType="end"/>
      </w:r>
      <w:r>
        <w:t>: konjugiertes Säure-Base-Paar</w:t>
      </w:r>
    </w:p>
    <w:p w14:paraId="50BDB8A5" w14:textId="77777777" w:rsidR="005F27C6" w:rsidRPr="005F27C6" w:rsidRDefault="005F27C6" w:rsidP="005F27C6">
      <w:r w:rsidRPr="005F27C6">
        <w:t xml:space="preserve">Besteht zwischen einer Säure und einer Base eine solche Beziehung, so spricht man von einem konjugierten Säure-Base-Paar. </w:t>
      </w:r>
    </w:p>
    <w:p w14:paraId="19616304" w14:textId="77777777" w:rsidR="005F27C6" w:rsidRPr="005F27C6" w:rsidRDefault="005F27C6" w:rsidP="005F27C6">
      <w:r w:rsidRPr="005F27C6">
        <w:t>Auf Grund dessen, dass ein Proton unter normalen chemischen Bedingungen nicht frei vorliegen kann, erfolgt die Protonen</w:t>
      </w:r>
      <w:r>
        <w:t>-A</w:t>
      </w:r>
      <w:r w:rsidRPr="005F27C6">
        <w:t>bgabe der Säure und die Überführung in ihre entsprechend korrespondierende Base nur, wenn eine geeignete Base vorhanden ist, die unter Protonen</w:t>
      </w:r>
      <w:r>
        <w:t>-A</w:t>
      </w:r>
      <w:r w:rsidRPr="005F27C6">
        <w:t>ufnahme in die korrespondierende Säure übergeführt werden kann. Eine solche Säure-Base-Reaktion bezeichnet man dann als Protolyse oder Protonen</w:t>
      </w:r>
      <w:r>
        <w:t>-Ü</w:t>
      </w:r>
      <w:r w:rsidRPr="005F27C6">
        <w:t>bertragungsreaktion, bei der immer zwei konjugierte Säure-Base-Paare beteiligt sind.</w:t>
      </w:r>
    </w:p>
    <w:p w14:paraId="48205876" w14:textId="77777777" w:rsidR="005F27C6" w:rsidRDefault="005F27C6" w:rsidP="005F27C6">
      <w:pPr>
        <w:pStyle w:val="Bilder"/>
      </w:pPr>
      <w:r>
        <w:rPr>
          <w:lang w:eastAsia="de-DE"/>
        </w:rPr>
        <w:lastRenderedPageBreak/>
        <w:drawing>
          <wp:inline distT="0" distB="0" distL="0" distR="0" wp14:anchorId="7BFAE88C" wp14:editId="63B84BD4">
            <wp:extent cx="4760595" cy="1762760"/>
            <wp:effectExtent l="0" t="0" r="1905"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0595" cy="1762760"/>
                    </a:xfrm>
                    <a:prstGeom prst="rect">
                      <a:avLst/>
                    </a:prstGeom>
                    <a:noFill/>
                    <a:ln>
                      <a:noFill/>
                    </a:ln>
                  </pic:spPr>
                </pic:pic>
              </a:graphicData>
            </a:graphic>
          </wp:inline>
        </w:drawing>
      </w:r>
    </w:p>
    <w:p w14:paraId="1BEE6FB3" w14:textId="5D439E78" w:rsidR="005F27C6" w:rsidRDefault="005F27C6" w:rsidP="005F27C6">
      <w:pPr>
        <w:pStyle w:val="Beschriftung"/>
      </w:pPr>
      <w:r>
        <w:t xml:space="preserve">Abb. </w:t>
      </w:r>
      <w:r w:rsidR="00180E97">
        <w:fldChar w:fldCharType="begin"/>
      </w:r>
      <w:r w:rsidR="00180E97">
        <w:instrText xml:space="preserve"> SEQ Abb. \* ARABIC </w:instrText>
      </w:r>
      <w:r w:rsidR="00180E97">
        <w:fldChar w:fldCharType="separate"/>
      </w:r>
      <w:r w:rsidR="00180E97">
        <w:rPr>
          <w:noProof/>
        </w:rPr>
        <w:t>2</w:t>
      </w:r>
      <w:r w:rsidR="00180E97">
        <w:rPr>
          <w:noProof/>
        </w:rPr>
        <w:fldChar w:fldCharType="end"/>
      </w:r>
      <w:r>
        <w:t>: Allgemeine Darstellung der Protolyse</w:t>
      </w:r>
    </w:p>
    <w:p w14:paraId="253FEEC9" w14:textId="77777777" w:rsidR="005F27C6" w:rsidRDefault="005F27C6" w:rsidP="005F27C6">
      <w:pPr>
        <w:pStyle w:val="berschrift1"/>
      </w:pPr>
      <w:bookmarkStart w:id="3" w:name="_Toc46814652"/>
      <w:r>
        <w:t>Konzept nach Lewis</w:t>
      </w:r>
      <w:bookmarkEnd w:id="3"/>
    </w:p>
    <w:p w14:paraId="20B856CF" w14:textId="77777777" w:rsidR="005F27C6" w:rsidRDefault="005F27C6" w:rsidP="005F27C6">
      <w:r>
        <w:t xml:space="preserve">Die Lewis-Theorie erweitert das </w:t>
      </w:r>
      <w:proofErr w:type="spellStart"/>
      <w:r>
        <w:t>Br</w:t>
      </w:r>
      <w:r>
        <w:rPr>
          <w:rFonts w:cs="Arial"/>
        </w:rPr>
        <w:t>ø</w:t>
      </w:r>
      <w:r>
        <w:t>nsted</w:t>
      </w:r>
      <w:proofErr w:type="spellEnd"/>
      <w:r>
        <w:t xml:space="preserve">-Konzept und schafft eine Unabhängigkeit vom Protonen-Übergang. Das Augenmerk bei Lewis liegt auf den Elektronen(paaren). Lewis-Säuren sind Elektronenpaar-Akzeptoren, die zur Bildung einer neuen Elektronenpaar-Bindung Anlass geben. Sie sind also </w:t>
      </w:r>
      <w:proofErr w:type="spellStart"/>
      <w:r>
        <w:t>elektrophile</w:t>
      </w:r>
      <w:proofErr w:type="spellEnd"/>
      <w:r>
        <w:t xml:space="preserve"> Teilchen. </w:t>
      </w:r>
    </w:p>
    <w:p w14:paraId="5AE7091B" w14:textId="77777777" w:rsidR="005F27C6" w:rsidRDefault="005F27C6" w:rsidP="005F27C6">
      <w:r>
        <w:t>Lewis-Basen hingegen sind Elektronenpaar-</w:t>
      </w:r>
      <w:proofErr w:type="spellStart"/>
      <w:r>
        <w:t>Donatoren</w:t>
      </w:r>
      <w:proofErr w:type="spellEnd"/>
      <w:r>
        <w:t xml:space="preserve">. Sie sind </w:t>
      </w:r>
      <w:proofErr w:type="spellStart"/>
      <w:r>
        <w:t>nucleophile</w:t>
      </w:r>
      <w:proofErr w:type="spellEnd"/>
      <w:r>
        <w:t xml:space="preserve"> Teilchen.</w:t>
      </w:r>
    </w:p>
    <w:p w14:paraId="6C553CB4" w14:textId="77777777" w:rsidR="005F27C6" w:rsidRDefault="005F27C6" w:rsidP="005F27C6">
      <w:pPr>
        <w:pStyle w:val="Bilder"/>
      </w:pPr>
      <w:r>
        <w:rPr>
          <w:lang w:eastAsia="de-DE"/>
        </w:rPr>
        <w:drawing>
          <wp:inline distT="0" distB="0" distL="0" distR="0" wp14:anchorId="3041DF5B" wp14:editId="6A2269A4">
            <wp:extent cx="5401310" cy="54673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310" cy="546735"/>
                    </a:xfrm>
                    <a:prstGeom prst="rect">
                      <a:avLst/>
                    </a:prstGeom>
                    <a:noFill/>
                    <a:ln>
                      <a:noFill/>
                    </a:ln>
                  </pic:spPr>
                </pic:pic>
              </a:graphicData>
            </a:graphic>
          </wp:inline>
        </w:drawing>
      </w:r>
    </w:p>
    <w:p w14:paraId="1D06B4D0" w14:textId="74CD0078" w:rsidR="005F27C6" w:rsidRDefault="005F27C6" w:rsidP="005F27C6">
      <w:pPr>
        <w:pStyle w:val="Beschriftung"/>
      </w:pPr>
      <w:r>
        <w:t xml:space="preserve">Abb. </w:t>
      </w:r>
      <w:r w:rsidR="00180E97">
        <w:fldChar w:fldCharType="begin"/>
      </w:r>
      <w:r w:rsidR="00180E97">
        <w:instrText xml:space="preserve"> SEQ Abb. \* ARABIC </w:instrText>
      </w:r>
      <w:r w:rsidR="00180E97">
        <w:fldChar w:fldCharType="separate"/>
      </w:r>
      <w:r w:rsidR="00180E97">
        <w:rPr>
          <w:noProof/>
        </w:rPr>
        <w:t>3</w:t>
      </w:r>
      <w:r w:rsidR="00180E97">
        <w:rPr>
          <w:noProof/>
        </w:rPr>
        <w:fldChar w:fldCharType="end"/>
      </w:r>
      <w:r>
        <w:t>: säure-Base Komplex nach Lewis</w:t>
      </w:r>
    </w:p>
    <w:p w14:paraId="255346F0" w14:textId="77777777" w:rsidR="005F27C6" w:rsidRPr="005F27C6" w:rsidRDefault="005F27C6" w:rsidP="005F27C6">
      <w:r w:rsidRPr="005F27C6">
        <w:t xml:space="preserve">Bei dieser Säure-Base-Reaktion ist entscheidend, dass eine Kombination zweier Teilchen durch ein für eine koordinative Bindung zur Verfügung gestelltes Elektronenpaar stattfindet. </w:t>
      </w:r>
    </w:p>
    <w:p w14:paraId="06D52195" w14:textId="77777777" w:rsidR="005F27C6" w:rsidRPr="005F27C6" w:rsidRDefault="005F27C6" w:rsidP="005F27C6">
      <w:r w:rsidRPr="005F27C6">
        <w:t>Zu den Lewis-Säuren zählen:</w:t>
      </w:r>
    </w:p>
    <w:p w14:paraId="3976140A" w14:textId="77777777" w:rsidR="005F27C6" w:rsidRPr="005F27C6" w:rsidRDefault="005F27C6" w:rsidP="005F27C6">
      <w:pPr>
        <w:pStyle w:val="Liste1Aufzhlung"/>
      </w:pPr>
      <w:r w:rsidRPr="005F27C6">
        <w:t>Verbindungen mit unvollständigem Elektronenoktett wie: B(CH</w:t>
      </w:r>
      <w:r w:rsidRPr="005F27C6">
        <w:rPr>
          <w:vertAlign w:val="subscript"/>
        </w:rPr>
        <w:t>3</w:t>
      </w:r>
      <w:r w:rsidRPr="005F27C6">
        <w:t>)</w:t>
      </w:r>
      <w:r w:rsidRPr="005F27C6">
        <w:rPr>
          <w:vertAlign w:val="subscript"/>
        </w:rPr>
        <w:t>3</w:t>
      </w:r>
      <w:r w:rsidRPr="005F27C6">
        <w:t>, BF</w:t>
      </w:r>
      <w:r w:rsidRPr="005F27C6">
        <w:rPr>
          <w:vertAlign w:val="subscript"/>
        </w:rPr>
        <w:t>3</w:t>
      </w:r>
      <w:r w:rsidRPr="005F27C6">
        <w:t>, SO</w:t>
      </w:r>
      <w:r w:rsidRPr="005F27C6">
        <w:rPr>
          <w:vertAlign w:val="subscript"/>
        </w:rPr>
        <w:t>3</w:t>
      </w:r>
      <w:r w:rsidRPr="005F27C6">
        <w:t>, AlCl</w:t>
      </w:r>
      <w:r w:rsidRPr="005F27C6">
        <w:rPr>
          <w:vertAlign w:val="subscript"/>
        </w:rPr>
        <w:t>3</w:t>
      </w:r>
      <w:r w:rsidRPr="005F27C6">
        <w:t xml:space="preserve"> </w:t>
      </w:r>
    </w:p>
    <w:p w14:paraId="01EBA558" w14:textId="77777777" w:rsidR="005F27C6" w:rsidRPr="005F27C6" w:rsidRDefault="005F27C6" w:rsidP="005F27C6">
      <w:pPr>
        <w:pStyle w:val="Liste1Aufzhlung"/>
      </w:pPr>
      <w:r w:rsidRPr="005F27C6">
        <w:t>Moleküle mit polarisierten Doppelbindungen, beispielsweise CO</w:t>
      </w:r>
      <w:r w:rsidRPr="005F27C6">
        <w:rPr>
          <w:vertAlign w:val="subscript"/>
        </w:rPr>
        <w:t>2</w:t>
      </w:r>
      <w:r w:rsidRPr="005F27C6">
        <w:t xml:space="preserve"> </w:t>
      </w:r>
    </w:p>
    <w:p w14:paraId="4832CF0D" w14:textId="77777777" w:rsidR="005F27C6" w:rsidRPr="005F27C6" w:rsidRDefault="005F27C6" w:rsidP="005F27C6">
      <w:pPr>
        <w:pStyle w:val="Liste1Aufzhlung"/>
      </w:pPr>
      <w:r w:rsidRPr="005F27C6">
        <w:t>Halogenide mit ungesättigter Koordination, beispielsweise SiCl</w:t>
      </w:r>
      <w:r w:rsidRPr="005F27C6">
        <w:rPr>
          <w:vertAlign w:val="subscript"/>
        </w:rPr>
        <w:t>4</w:t>
      </w:r>
      <w:r w:rsidRPr="005F27C6">
        <w:t xml:space="preserve"> oder PF</w:t>
      </w:r>
      <w:r w:rsidRPr="005F27C6">
        <w:rPr>
          <w:vertAlign w:val="subscript"/>
        </w:rPr>
        <w:t>5</w:t>
      </w:r>
      <w:r w:rsidRPr="005F27C6">
        <w:t xml:space="preserve"> </w:t>
      </w:r>
    </w:p>
    <w:p w14:paraId="603DF466" w14:textId="77777777" w:rsidR="005F27C6" w:rsidRPr="005F27C6" w:rsidRDefault="005F27C6" w:rsidP="005F27C6">
      <w:pPr>
        <w:pStyle w:val="Liste1Aufzhlung"/>
      </w:pPr>
      <w:r w:rsidRPr="005F27C6">
        <w:t xml:space="preserve">Metall-Kationen als Zentralatome in chemischen Komplexen </w:t>
      </w:r>
    </w:p>
    <w:p w14:paraId="43D5D342" w14:textId="77777777" w:rsidR="005F27C6" w:rsidRPr="005F27C6" w:rsidRDefault="005F27C6" w:rsidP="005F27C6">
      <w:r w:rsidRPr="005F27C6">
        <w:t>Typische Lewis-Basen sind: NH</w:t>
      </w:r>
      <w:r w:rsidRPr="005F27C6">
        <w:rPr>
          <w:vertAlign w:val="subscript"/>
        </w:rPr>
        <w:t>3</w:t>
      </w:r>
      <w:r w:rsidRPr="005F27C6">
        <w:t>, H</w:t>
      </w:r>
      <w:r w:rsidRPr="005F27C6">
        <w:rPr>
          <w:vertAlign w:val="subscript"/>
        </w:rPr>
        <w:t>2</w:t>
      </w:r>
      <w:r w:rsidRPr="005F27C6">
        <w:t>O, F</w:t>
      </w:r>
      <w:r w:rsidRPr="0001387A">
        <w:rPr>
          <w:vertAlign w:val="superscript"/>
        </w:rPr>
        <w:t>-</w:t>
      </w:r>
      <w:r w:rsidRPr="005F27C6">
        <w:t>, CN</w:t>
      </w:r>
      <w:r w:rsidRPr="0001387A">
        <w:rPr>
          <w:vertAlign w:val="superscript"/>
        </w:rPr>
        <w:t>-</w:t>
      </w:r>
      <w:r w:rsidRPr="005F27C6">
        <w:t xml:space="preserve"> oder CO</w:t>
      </w:r>
    </w:p>
    <w:p w14:paraId="7D165B85" w14:textId="77777777" w:rsidR="005F27C6" w:rsidRDefault="0001387A" w:rsidP="0001387A">
      <w:pPr>
        <w:pStyle w:val="berschrift1"/>
      </w:pPr>
      <w:bookmarkStart w:id="4" w:name="_Toc46814653"/>
      <w:r>
        <w:t xml:space="preserve">Vergleich der Konzepte nach </w:t>
      </w:r>
      <w:proofErr w:type="spellStart"/>
      <w:r>
        <w:t>Brønsted</w:t>
      </w:r>
      <w:proofErr w:type="spellEnd"/>
      <w:r>
        <w:t xml:space="preserve"> und Lewis anhand von Beispielen</w:t>
      </w:r>
      <w:bookmarkEnd w:id="4"/>
    </w:p>
    <w:p w14:paraId="5DC207A2" w14:textId="77777777" w:rsidR="0001387A" w:rsidRDefault="0001387A" w:rsidP="0001387A">
      <w:pPr>
        <w:pStyle w:val="berschrift2"/>
      </w:pPr>
      <w:bookmarkStart w:id="5" w:name="_Toc46814654"/>
      <w:r>
        <w:t xml:space="preserve">Säure- und Base-Verhalten nach </w:t>
      </w:r>
      <w:proofErr w:type="spellStart"/>
      <w:r w:rsidR="004F5AF1">
        <w:t>Brønsted</w:t>
      </w:r>
      <w:proofErr w:type="spellEnd"/>
      <w:r>
        <w:t xml:space="preserve"> und Lewis in wässriger Lösung</w:t>
      </w:r>
      <w:bookmarkEnd w:id="5"/>
    </w:p>
    <w:p w14:paraId="77ABB7AD" w14:textId="77777777" w:rsidR="0001387A" w:rsidRDefault="0001387A" w:rsidP="0001387A">
      <w:pPr>
        <w:pStyle w:val="berschrift3"/>
      </w:pPr>
      <w:bookmarkStart w:id="6" w:name="_Toc46814655"/>
      <w:r>
        <w:t>Säure-Verhalten in wässriger Lösung</w:t>
      </w:r>
      <w:bookmarkEnd w:id="6"/>
    </w:p>
    <w:p w14:paraId="11B26249" w14:textId="4506661E" w:rsidR="0001387A" w:rsidRDefault="0001387A" w:rsidP="0001387A">
      <w:r w:rsidRPr="00362C03">
        <w:t xml:space="preserve">Eine </w:t>
      </w:r>
      <w:proofErr w:type="spellStart"/>
      <w:r w:rsidR="004F5AF1" w:rsidRPr="00362C03">
        <w:t>Brønsted</w:t>
      </w:r>
      <w:proofErr w:type="spellEnd"/>
      <w:r w:rsidRPr="00362C03">
        <w:t xml:space="preserve">-Säure ist ein </w:t>
      </w:r>
      <w:r w:rsidR="00362C03">
        <w:t>Teilchen</w:t>
      </w:r>
      <w:r w:rsidRPr="00362C03">
        <w:t xml:space="preserve">, </w:t>
      </w:r>
      <w:r w:rsidR="00362C03">
        <w:t>welches</w:t>
      </w:r>
      <w:r w:rsidRPr="00362C03">
        <w:t xml:space="preserve"> ein Proton abgeben kann. </w:t>
      </w:r>
      <w:r>
        <w:t>Dazu muss eine Base vorhanden sein, der es möglich ist, das Proton aufzunehmen. Im ersten Beispiel ist Chlorwasserstoff die Säure (Protonen-</w:t>
      </w:r>
      <w:proofErr w:type="spellStart"/>
      <w:r>
        <w:t>Donator</w:t>
      </w:r>
      <w:proofErr w:type="spellEnd"/>
      <w:r>
        <w:t xml:space="preserve">) und Wasser (ein Amphoter) die Base (Protonen-Akzeptor). Wasser reagiert unter Protonen-Aufnahme zum </w:t>
      </w:r>
      <w:proofErr w:type="spellStart"/>
      <w:r>
        <w:t>Oxonium</w:t>
      </w:r>
      <w:proofErr w:type="spellEnd"/>
      <w:r>
        <w:t>-Ion. Im zweiten Beispiel ist reine Essigsäure die Säure (Protonen-</w:t>
      </w:r>
      <w:proofErr w:type="spellStart"/>
      <w:r>
        <w:t>Donator</w:t>
      </w:r>
      <w:proofErr w:type="spellEnd"/>
      <w:r>
        <w:t xml:space="preserve">) und Wasser die Base (Protonen-Akzeptor). Das Wasser reagiert unter Protonen-Aufnahme wieder zum </w:t>
      </w:r>
      <w:proofErr w:type="spellStart"/>
      <w:r>
        <w:t>Oxonium</w:t>
      </w:r>
      <w:proofErr w:type="spellEnd"/>
      <w:r>
        <w:t>-Ion.</w:t>
      </w:r>
    </w:p>
    <w:p w14:paraId="03713682" w14:textId="77777777" w:rsidR="0001387A" w:rsidRDefault="0001387A" w:rsidP="0001387A">
      <w:pPr>
        <w:pStyle w:val="Bilder"/>
      </w:pPr>
      <w:r>
        <w:rPr>
          <w:lang w:eastAsia="de-DE"/>
        </w:rPr>
        <w:lastRenderedPageBreak/>
        <w:drawing>
          <wp:inline distT="0" distB="0" distL="0" distR="0" wp14:anchorId="453BB2A3" wp14:editId="1E40ECEF">
            <wp:extent cx="4600575" cy="141414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0575" cy="1414145"/>
                    </a:xfrm>
                    <a:prstGeom prst="rect">
                      <a:avLst/>
                    </a:prstGeom>
                    <a:noFill/>
                    <a:ln>
                      <a:noFill/>
                    </a:ln>
                  </pic:spPr>
                </pic:pic>
              </a:graphicData>
            </a:graphic>
          </wp:inline>
        </w:drawing>
      </w:r>
    </w:p>
    <w:p w14:paraId="2944BE3E" w14:textId="59D8418E" w:rsidR="0001387A" w:rsidRDefault="0001387A" w:rsidP="0001387A">
      <w:pPr>
        <w:pStyle w:val="Beschriftung"/>
      </w:pPr>
      <w:r>
        <w:t xml:space="preserve">Abb. </w:t>
      </w:r>
      <w:r w:rsidR="00180E97">
        <w:fldChar w:fldCharType="begin"/>
      </w:r>
      <w:r w:rsidR="00180E97">
        <w:instrText xml:space="preserve"> SEQ Abb. \* ARABIC </w:instrText>
      </w:r>
      <w:r w:rsidR="00180E97">
        <w:fldChar w:fldCharType="separate"/>
      </w:r>
      <w:r w:rsidR="00180E97">
        <w:rPr>
          <w:noProof/>
        </w:rPr>
        <w:t>4</w:t>
      </w:r>
      <w:r w:rsidR="00180E97">
        <w:rPr>
          <w:noProof/>
        </w:rPr>
        <w:fldChar w:fldCharType="end"/>
      </w:r>
      <w:r>
        <w:t>: Chlorwasserstoff in Wasser (</w:t>
      </w:r>
      <w:proofErr w:type="spellStart"/>
      <w:r w:rsidR="004F5AF1">
        <w:t>Brønsted</w:t>
      </w:r>
      <w:proofErr w:type="spellEnd"/>
      <w:r>
        <w:t>)</w:t>
      </w:r>
    </w:p>
    <w:p w14:paraId="4D432006" w14:textId="77777777" w:rsidR="0001387A" w:rsidRDefault="0001387A" w:rsidP="0001387A">
      <w:r>
        <w:t>Durch Zugabe von Chlorwasserstoff in Wasser findet eine Protonen-Übertragungsreaktion zwischen Chlorwasserstoff und Wasser statt, wobei die Ionen der wässrigen Salzsäure entstehen.</w:t>
      </w:r>
    </w:p>
    <w:p w14:paraId="2330554E" w14:textId="77777777" w:rsidR="0001387A" w:rsidRDefault="0001387A" w:rsidP="0001387A">
      <w:pPr>
        <w:pStyle w:val="Bilder"/>
      </w:pPr>
      <w:r>
        <w:rPr>
          <w:lang w:eastAsia="de-DE"/>
        </w:rPr>
        <w:drawing>
          <wp:inline distT="0" distB="0" distL="0" distR="0" wp14:anchorId="3BCE5EDF" wp14:editId="771A66E0">
            <wp:extent cx="3949700" cy="146113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9700" cy="1461135"/>
                    </a:xfrm>
                    <a:prstGeom prst="rect">
                      <a:avLst/>
                    </a:prstGeom>
                    <a:noFill/>
                    <a:ln>
                      <a:noFill/>
                    </a:ln>
                  </pic:spPr>
                </pic:pic>
              </a:graphicData>
            </a:graphic>
          </wp:inline>
        </w:drawing>
      </w:r>
    </w:p>
    <w:p w14:paraId="104563FC" w14:textId="18B63A84" w:rsidR="0001387A" w:rsidRDefault="0001387A" w:rsidP="0001387A">
      <w:pPr>
        <w:pStyle w:val="Beschriftung"/>
      </w:pPr>
      <w:r>
        <w:t xml:space="preserve">Abb. </w:t>
      </w:r>
      <w:r w:rsidR="00180E97">
        <w:fldChar w:fldCharType="begin"/>
      </w:r>
      <w:r w:rsidR="00180E97">
        <w:instrText xml:space="preserve"> SEQ Abb. \* ARABIC </w:instrText>
      </w:r>
      <w:r w:rsidR="00180E97">
        <w:fldChar w:fldCharType="separate"/>
      </w:r>
      <w:r w:rsidR="00180E97">
        <w:rPr>
          <w:noProof/>
        </w:rPr>
        <w:t>5</w:t>
      </w:r>
      <w:r w:rsidR="00180E97">
        <w:rPr>
          <w:noProof/>
        </w:rPr>
        <w:fldChar w:fldCharType="end"/>
      </w:r>
      <w:r>
        <w:t>: Reine Essigsäure (</w:t>
      </w:r>
      <w:proofErr w:type="spellStart"/>
      <w:r w:rsidR="004F5AF1">
        <w:t>Brønsted</w:t>
      </w:r>
      <w:proofErr w:type="spellEnd"/>
      <w:r>
        <w:t>)</w:t>
      </w:r>
    </w:p>
    <w:p w14:paraId="51197B6F" w14:textId="77777777" w:rsidR="0001387A" w:rsidRDefault="0001387A" w:rsidP="0001387A">
      <w:r>
        <w:t>Durch die Zugabe von reiner Essigsäure zu Wasser werden Protonen zwischen reiner Essigsäure und Wasser übertragen, wobei die Acetat-Ionen der reinen Essigsäure entstehen.</w:t>
      </w:r>
    </w:p>
    <w:p w14:paraId="59A136B3" w14:textId="4DF463C6" w:rsidR="0001387A" w:rsidRDefault="0001387A" w:rsidP="0001387A">
      <w:r>
        <w:t xml:space="preserve">Bei Lewis herrscht ebenfalls ein </w:t>
      </w:r>
      <w:proofErr w:type="spellStart"/>
      <w:r>
        <w:t>Donator</w:t>
      </w:r>
      <w:proofErr w:type="spellEnd"/>
      <w:r>
        <w:t xml:space="preserve">-Akzeptor-Prinzip vor, allerdings anders als bei </w:t>
      </w:r>
      <w:proofErr w:type="spellStart"/>
      <w:r w:rsidR="004F5AF1">
        <w:t>Brønsted</w:t>
      </w:r>
      <w:proofErr w:type="spellEnd"/>
      <w:r>
        <w:t xml:space="preserve">. Die </w:t>
      </w:r>
      <w:proofErr w:type="spellStart"/>
      <w:r>
        <w:t>Br</w:t>
      </w:r>
      <w:r w:rsidR="004F5AF1">
        <w:t>ø</w:t>
      </w:r>
      <w:r>
        <w:t>nstedschen</w:t>
      </w:r>
      <w:proofErr w:type="spellEnd"/>
      <w:r>
        <w:t xml:space="preserve"> Protonen-Säuren stellen nach Lewis keine Säuren dar. Im Gegensatz zu </w:t>
      </w:r>
      <w:proofErr w:type="spellStart"/>
      <w:r w:rsidR="004F5AF1">
        <w:t>Brønsted</w:t>
      </w:r>
      <w:proofErr w:type="spellEnd"/>
      <w:r>
        <w:t xml:space="preserve"> werden</w:t>
      </w:r>
      <w:r w:rsidR="00362C03">
        <w:t xml:space="preserve"> bei Lewis</w:t>
      </w:r>
      <w:r>
        <w:t xml:space="preserve"> keine Protonen von einem selbstständigen Teilchen auf ein anderes, seinerseits selbstständiges Teilchen übertragen. Stattdessen wird aus Lewis-Säure und Lewis-Base ein koordinativ gebundener Säure-Base-Komplex gebildet. Betrachtet man das Proton als typische Lewis-Säure, so ist die Bildung einer </w:t>
      </w:r>
      <w:proofErr w:type="spellStart"/>
      <w:r w:rsidR="004F5AF1">
        <w:t>Brønsted</w:t>
      </w:r>
      <w:proofErr w:type="spellEnd"/>
      <w:r>
        <w:t>-Säure nichts anderes als eine Säure-Base-Reaktion nach Lewis.</w:t>
      </w:r>
    </w:p>
    <w:p w14:paraId="18BC6804" w14:textId="77777777" w:rsidR="0001387A" w:rsidRDefault="0001387A" w:rsidP="0001387A">
      <w:r>
        <w:t xml:space="preserve">Eine Säure-Base-Reaktion nach </w:t>
      </w:r>
      <w:proofErr w:type="spellStart"/>
      <w:r w:rsidR="004F5AF1">
        <w:t>Brønsted</w:t>
      </w:r>
      <w:proofErr w:type="spellEnd"/>
      <w:r>
        <w:t xml:space="preserve"> ist nach dem Lewis-Konzept eine Reaktion, bei der eine Base durch eine andere verdrängt wird. Diese Aussage kann man folgendermaßen verallgemeinern:</w:t>
      </w:r>
    </w:p>
    <w:p w14:paraId="0EEF2604" w14:textId="77777777" w:rsidR="0001387A" w:rsidRDefault="0001387A" w:rsidP="0001387A">
      <w:pPr>
        <w:pStyle w:val="Bilder"/>
      </w:pPr>
      <w:r>
        <w:rPr>
          <w:lang w:eastAsia="de-DE"/>
        </w:rPr>
        <w:drawing>
          <wp:inline distT="0" distB="0" distL="0" distR="0" wp14:anchorId="4AE9A5B9" wp14:editId="008777E9">
            <wp:extent cx="5024755" cy="951865"/>
            <wp:effectExtent l="0" t="0" r="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4755" cy="951865"/>
                    </a:xfrm>
                    <a:prstGeom prst="rect">
                      <a:avLst/>
                    </a:prstGeom>
                    <a:noFill/>
                    <a:ln>
                      <a:noFill/>
                    </a:ln>
                  </pic:spPr>
                </pic:pic>
              </a:graphicData>
            </a:graphic>
          </wp:inline>
        </w:drawing>
      </w:r>
    </w:p>
    <w:p w14:paraId="079222A6" w14:textId="160861E3" w:rsidR="0001387A" w:rsidRDefault="0001387A" w:rsidP="0001387A">
      <w:pPr>
        <w:pStyle w:val="Beschriftung"/>
      </w:pPr>
      <w:r>
        <w:t xml:space="preserve">Abb. </w:t>
      </w:r>
      <w:r w:rsidR="00180E97">
        <w:fldChar w:fldCharType="begin"/>
      </w:r>
      <w:r w:rsidR="00180E97">
        <w:instrText xml:space="preserve"> SEQ Abb. \* ARABIC </w:instrText>
      </w:r>
      <w:r w:rsidR="00180E97">
        <w:fldChar w:fldCharType="separate"/>
      </w:r>
      <w:r w:rsidR="00180E97">
        <w:rPr>
          <w:noProof/>
        </w:rPr>
        <w:t>6</w:t>
      </w:r>
      <w:r w:rsidR="00180E97">
        <w:rPr>
          <w:noProof/>
        </w:rPr>
        <w:fldChar w:fldCharType="end"/>
      </w:r>
      <w:r>
        <w:t>: Säure-Base-Reaktion nach Lewis</w:t>
      </w:r>
    </w:p>
    <w:p w14:paraId="0C4800D1" w14:textId="77777777" w:rsidR="0001387A" w:rsidRDefault="0001387A" w:rsidP="0001387A">
      <w:r>
        <w:t>Daraus kann die Reaktion von Chlorwasserstoff in Wasser auch nach dem Konzept von Lewis näher beschrieben werden.</w:t>
      </w:r>
    </w:p>
    <w:p w14:paraId="4154027B" w14:textId="77777777" w:rsidR="0001387A" w:rsidRDefault="0001387A" w:rsidP="0001387A">
      <w:pPr>
        <w:pStyle w:val="Bilder"/>
      </w:pPr>
    </w:p>
    <w:p w14:paraId="4EEFF722" w14:textId="77777777" w:rsidR="0001387A" w:rsidRDefault="0001387A" w:rsidP="0001387A">
      <w:pPr>
        <w:pStyle w:val="Bilder"/>
      </w:pPr>
      <w:r>
        <w:rPr>
          <w:lang w:eastAsia="de-DE"/>
        </w:rPr>
        <w:drawing>
          <wp:inline distT="0" distB="0" distL="0" distR="0" wp14:anchorId="680FE6FB" wp14:editId="451D1402">
            <wp:extent cx="4600575" cy="141414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0575" cy="1414145"/>
                    </a:xfrm>
                    <a:prstGeom prst="rect">
                      <a:avLst/>
                    </a:prstGeom>
                    <a:noFill/>
                    <a:ln>
                      <a:noFill/>
                    </a:ln>
                  </pic:spPr>
                </pic:pic>
              </a:graphicData>
            </a:graphic>
          </wp:inline>
        </w:drawing>
      </w:r>
    </w:p>
    <w:p w14:paraId="66E8B402" w14:textId="7DEA5FC5" w:rsidR="0001387A" w:rsidRDefault="0001387A" w:rsidP="0001387A">
      <w:pPr>
        <w:pStyle w:val="Beschriftung"/>
      </w:pPr>
      <w:r>
        <w:t xml:space="preserve">Abb. </w:t>
      </w:r>
      <w:r w:rsidR="00180E97">
        <w:fldChar w:fldCharType="begin"/>
      </w:r>
      <w:r w:rsidR="00180E97">
        <w:instrText xml:space="preserve"> SEQ Abb. \* ARABIC </w:instrText>
      </w:r>
      <w:r w:rsidR="00180E97">
        <w:fldChar w:fldCharType="separate"/>
      </w:r>
      <w:r w:rsidR="00180E97">
        <w:rPr>
          <w:noProof/>
        </w:rPr>
        <w:t>7</w:t>
      </w:r>
      <w:r w:rsidR="00180E97">
        <w:rPr>
          <w:noProof/>
        </w:rPr>
        <w:fldChar w:fldCharType="end"/>
      </w:r>
      <w:r>
        <w:t>: Chlorwasserstoff in Wasser (Lewis)</w:t>
      </w:r>
    </w:p>
    <w:p w14:paraId="084E96B5" w14:textId="77777777" w:rsidR="0001387A" w:rsidRDefault="0001387A" w:rsidP="0001387A">
      <w:r>
        <w:t>Nach Lewis wird nun nicht mehr Chlorwasserstoff als Säure betrachtet, sondern nur das Proton. Dieses hat einen Elektronen-Mangel und geht deshalb mit Wasser, das ein Elektronenpaar zur Verfügung stellen kann, eine Bindung ein.</w:t>
      </w:r>
    </w:p>
    <w:p w14:paraId="49F85966" w14:textId="77777777" w:rsidR="0001387A" w:rsidRDefault="0001387A" w:rsidP="0001387A">
      <w:pPr>
        <w:pStyle w:val="berschrift3"/>
      </w:pPr>
      <w:bookmarkStart w:id="7" w:name="_Toc46814656"/>
      <w:r>
        <w:t>Basen-Verhalten in wässriger Lösung</w:t>
      </w:r>
      <w:bookmarkEnd w:id="7"/>
    </w:p>
    <w:p w14:paraId="578A6802" w14:textId="43CA7572" w:rsidR="0001387A" w:rsidRDefault="0001387A" w:rsidP="0001387A">
      <w:r w:rsidRPr="00362C03">
        <w:t xml:space="preserve">Nach dem Konzept von </w:t>
      </w:r>
      <w:proofErr w:type="spellStart"/>
      <w:r w:rsidR="004F5AF1" w:rsidRPr="00362C03">
        <w:t>Brønsted</w:t>
      </w:r>
      <w:proofErr w:type="spellEnd"/>
      <w:r w:rsidRPr="00362C03">
        <w:t xml:space="preserve"> ist eine Base ein</w:t>
      </w:r>
      <w:r w:rsidR="00362C03">
        <w:t xml:space="preserve"> Teilchen</w:t>
      </w:r>
      <w:r w:rsidRPr="00362C03">
        <w:t xml:space="preserve">, </w:t>
      </w:r>
      <w:r w:rsidR="00362C03">
        <w:t>welches</w:t>
      </w:r>
      <w:r w:rsidRPr="00362C03">
        <w:t xml:space="preserve"> imstande ist, ein Proton, das von einer Säure abgegeben wird, aufzunehmen</w:t>
      </w:r>
      <w:r>
        <w:t xml:space="preserve">. In diesem Fall hat das Wasser die Funktion einer Säure und gibt das Proton an die </w:t>
      </w:r>
      <w:proofErr w:type="spellStart"/>
      <w:r w:rsidR="004F5AF1">
        <w:t>Brønsted</w:t>
      </w:r>
      <w:proofErr w:type="spellEnd"/>
      <w:r>
        <w:t>-Base ab. Dadurch wird aus dem Wasser ein Hydroxid-Ion. Die Base nimmt das Proton auf und wird zu einem Kation.</w:t>
      </w:r>
    </w:p>
    <w:p w14:paraId="73C4F947" w14:textId="77777777" w:rsidR="0001387A" w:rsidRDefault="0001387A" w:rsidP="0001387A">
      <w:pPr>
        <w:pStyle w:val="Bilder"/>
      </w:pPr>
      <w:r>
        <w:rPr>
          <w:lang w:eastAsia="de-DE"/>
        </w:rPr>
        <w:drawing>
          <wp:inline distT="0" distB="0" distL="0" distR="0" wp14:anchorId="07957A74" wp14:editId="0C8772EF">
            <wp:extent cx="4609465" cy="141414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9465" cy="1414145"/>
                    </a:xfrm>
                    <a:prstGeom prst="rect">
                      <a:avLst/>
                    </a:prstGeom>
                    <a:noFill/>
                    <a:ln>
                      <a:noFill/>
                    </a:ln>
                  </pic:spPr>
                </pic:pic>
              </a:graphicData>
            </a:graphic>
          </wp:inline>
        </w:drawing>
      </w:r>
    </w:p>
    <w:p w14:paraId="669C0FDA" w14:textId="4B4CE6AF" w:rsidR="0001387A" w:rsidRDefault="0001387A" w:rsidP="0001387A">
      <w:pPr>
        <w:pStyle w:val="Beschriftung"/>
      </w:pPr>
      <w:r>
        <w:t xml:space="preserve">Abb. </w:t>
      </w:r>
      <w:r w:rsidR="00180E97">
        <w:fldChar w:fldCharType="begin"/>
      </w:r>
      <w:r w:rsidR="00180E97">
        <w:instrText xml:space="preserve"> SEQ Abb</w:instrText>
      </w:r>
      <w:r w:rsidR="00180E97">
        <w:instrText xml:space="preserve">. \* ARABIC </w:instrText>
      </w:r>
      <w:r w:rsidR="00180E97">
        <w:fldChar w:fldCharType="separate"/>
      </w:r>
      <w:r w:rsidR="00180E97">
        <w:rPr>
          <w:noProof/>
        </w:rPr>
        <w:t>8</w:t>
      </w:r>
      <w:r w:rsidR="00180E97">
        <w:rPr>
          <w:noProof/>
        </w:rPr>
        <w:fldChar w:fldCharType="end"/>
      </w:r>
      <w:r>
        <w:t>: Ammoniak in Wasser (</w:t>
      </w:r>
      <w:proofErr w:type="spellStart"/>
      <w:r w:rsidR="004F5AF1">
        <w:t>Brønsted</w:t>
      </w:r>
      <w:proofErr w:type="spellEnd"/>
      <w:r>
        <w:t>)</w:t>
      </w:r>
    </w:p>
    <w:p w14:paraId="0C19102A" w14:textId="77777777" w:rsidR="0001387A" w:rsidRDefault="0001387A" w:rsidP="0001387A">
      <w:r>
        <w:t xml:space="preserve">Beim Lösen von flüssigem Ammoniak in Wasser entstehen durch eine Protonen-Übertragungsreaktion die Ionen. Dabei wird das Proton vom Wasser abgegeben und auf den Ammoniak übertragen. </w:t>
      </w:r>
    </w:p>
    <w:p w14:paraId="388DD94D" w14:textId="77777777" w:rsidR="0001387A" w:rsidRDefault="0001387A" w:rsidP="0001387A">
      <w:r>
        <w:t>Lewis-Basen sind Teilchen, die ein Atom mit mindestens einem freien Elektronenpaar besitzen, so dass einem Teilchen mit Valenzlücke ein Elektronenpaar zur Verfügung gestellt werden kann. Dabei entsteht eine neue Elektronenpaar-Bindung. Lewis versteht also eine Base als einen Elektronenpaar-</w:t>
      </w:r>
      <w:proofErr w:type="spellStart"/>
      <w:r>
        <w:t>Donator</w:t>
      </w:r>
      <w:proofErr w:type="spellEnd"/>
      <w:r>
        <w:t xml:space="preserve">. Daraus folgt: Jede </w:t>
      </w:r>
      <w:proofErr w:type="spellStart"/>
      <w:r w:rsidR="004F5AF1">
        <w:t>Brønsted</w:t>
      </w:r>
      <w:proofErr w:type="spellEnd"/>
      <w:r>
        <w:t>-Base ist auch eine Lewis-Base, weil alle Elektronenpaar-</w:t>
      </w:r>
      <w:proofErr w:type="spellStart"/>
      <w:r>
        <w:t>Donatoren</w:t>
      </w:r>
      <w:proofErr w:type="spellEnd"/>
      <w:r>
        <w:t xml:space="preserve"> zur Aufnahme von Protonen befähigt sind. </w:t>
      </w:r>
    </w:p>
    <w:p w14:paraId="34D621BC" w14:textId="77777777" w:rsidR="0001387A" w:rsidRDefault="0001387A" w:rsidP="0001387A">
      <w:pPr>
        <w:pStyle w:val="Bilder"/>
      </w:pPr>
      <w:r>
        <w:rPr>
          <w:lang w:eastAsia="de-DE"/>
        </w:rPr>
        <w:drawing>
          <wp:inline distT="0" distB="0" distL="0" distR="0" wp14:anchorId="4350F68B" wp14:editId="140F036C">
            <wp:extent cx="4609465" cy="141414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9465" cy="1414145"/>
                    </a:xfrm>
                    <a:prstGeom prst="rect">
                      <a:avLst/>
                    </a:prstGeom>
                    <a:noFill/>
                    <a:ln>
                      <a:noFill/>
                    </a:ln>
                  </pic:spPr>
                </pic:pic>
              </a:graphicData>
            </a:graphic>
          </wp:inline>
        </w:drawing>
      </w:r>
    </w:p>
    <w:p w14:paraId="15D8FD12" w14:textId="1F819C00" w:rsidR="0001387A" w:rsidRDefault="0001387A" w:rsidP="0001387A">
      <w:pPr>
        <w:pStyle w:val="Beschriftung"/>
      </w:pPr>
      <w:r>
        <w:t xml:space="preserve">Abb. </w:t>
      </w:r>
      <w:r w:rsidR="00180E97">
        <w:fldChar w:fldCharType="begin"/>
      </w:r>
      <w:r w:rsidR="00180E97">
        <w:instrText xml:space="preserve"> SEQ Abb. \* ARABIC </w:instrText>
      </w:r>
      <w:r w:rsidR="00180E97">
        <w:fldChar w:fldCharType="separate"/>
      </w:r>
      <w:r w:rsidR="00180E97">
        <w:rPr>
          <w:noProof/>
        </w:rPr>
        <w:t>9</w:t>
      </w:r>
      <w:r w:rsidR="00180E97">
        <w:rPr>
          <w:noProof/>
        </w:rPr>
        <w:fldChar w:fldCharType="end"/>
      </w:r>
      <w:r>
        <w:t>: Ammoniak in Wasser (Lewis)</w:t>
      </w:r>
    </w:p>
    <w:p w14:paraId="407151DD" w14:textId="77777777" w:rsidR="0001387A" w:rsidRDefault="0001387A" w:rsidP="0001387A">
      <w:r>
        <w:t>Auch hier kann die Reaktion von Ammoniak mit Wasser nach dem Lewis-Konzept beschrieben werden. Wasser zählt eigentlich zu den Lewis-Basen. Aufgrund seiner Autoprotolyse liegen jedoch Protonen vor, die mit Ammoniak als Base reagieren können.</w:t>
      </w:r>
    </w:p>
    <w:p w14:paraId="565E5936" w14:textId="77777777" w:rsidR="0001387A" w:rsidRDefault="0001387A" w:rsidP="0001387A">
      <w:pPr>
        <w:pStyle w:val="Bilder"/>
      </w:pPr>
      <w:r>
        <w:rPr>
          <w:lang w:eastAsia="de-DE"/>
        </w:rPr>
        <w:drawing>
          <wp:inline distT="0" distB="0" distL="0" distR="0" wp14:anchorId="1F03004E" wp14:editId="512F8168">
            <wp:extent cx="2884805" cy="3111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4805" cy="311150"/>
                    </a:xfrm>
                    <a:prstGeom prst="rect">
                      <a:avLst/>
                    </a:prstGeom>
                    <a:noFill/>
                    <a:ln>
                      <a:noFill/>
                    </a:ln>
                  </pic:spPr>
                </pic:pic>
              </a:graphicData>
            </a:graphic>
          </wp:inline>
        </w:drawing>
      </w:r>
    </w:p>
    <w:p w14:paraId="7C9142DB" w14:textId="08F8D3F9" w:rsidR="0001387A" w:rsidRDefault="0001387A" w:rsidP="0001387A">
      <w:pPr>
        <w:pStyle w:val="Beschriftung"/>
      </w:pPr>
      <w:r>
        <w:t xml:space="preserve">Abb. </w:t>
      </w:r>
      <w:r w:rsidR="00180E97">
        <w:fldChar w:fldCharType="begin"/>
      </w:r>
      <w:r w:rsidR="00180E97">
        <w:instrText xml:space="preserve"> SEQ Abb. \* ARABIC </w:instrText>
      </w:r>
      <w:r w:rsidR="00180E97">
        <w:fldChar w:fldCharType="separate"/>
      </w:r>
      <w:r w:rsidR="00180E97">
        <w:rPr>
          <w:noProof/>
        </w:rPr>
        <w:t>10</w:t>
      </w:r>
      <w:r w:rsidR="00180E97">
        <w:rPr>
          <w:noProof/>
        </w:rPr>
        <w:fldChar w:fldCharType="end"/>
      </w:r>
      <w:r>
        <w:t>: Lithiumhydrid in Wasser (Lewis)</w:t>
      </w:r>
    </w:p>
    <w:p w14:paraId="6BBECE62" w14:textId="77777777" w:rsidR="0001387A" w:rsidRDefault="0001387A" w:rsidP="0001387A">
      <w:r>
        <w:t>Die Reaktion von Lithiumhydrid in Wasser verläuft nach dem Konzept von Lewis. Lithiumhydrid reagiert als Lewis-Säure mit der Lewis-Base Wasser.</w:t>
      </w:r>
    </w:p>
    <w:p w14:paraId="12006523" w14:textId="77777777" w:rsidR="0001387A" w:rsidRDefault="0001387A" w:rsidP="0001387A">
      <w:pPr>
        <w:pStyle w:val="berschrift2"/>
      </w:pPr>
      <w:bookmarkStart w:id="8" w:name="_Toc46814657"/>
      <w:r>
        <w:t>Reaktionsverhalten von Säuren und Basen in der Gas-Phase</w:t>
      </w:r>
      <w:bookmarkEnd w:id="8"/>
    </w:p>
    <w:p w14:paraId="3434B9F8" w14:textId="39269039" w:rsidR="0001387A" w:rsidRDefault="001B3E0F" w:rsidP="0001387A">
      <w:r>
        <w:t xml:space="preserve">Eine Protolyse nach </w:t>
      </w:r>
      <w:proofErr w:type="spellStart"/>
      <w:r w:rsidR="004F5AF1" w:rsidRPr="001B3E0F">
        <w:t>Brønsted</w:t>
      </w:r>
      <w:proofErr w:type="spellEnd"/>
      <w:r w:rsidR="0001387A" w:rsidRPr="001B3E0F">
        <w:t xml:space="preserve"> </w:t>
      </w:r>
      <w:r>
        <w:t xml:space="preserve">kann </w:t>
      </w:r>
      <w:r w:rsidR="0001387A" w:rsidRPr="001B3E0F">
        <w:t>auch in der Gasphase</w:t>
      </w:r>
      <w:r>
        <w:t xml:space="preserve"> ablaufen</w:t>
      </w:r>
      <w:r w:rsidR="0001387A" w:rsidRPr="001B3E0F">
        <w:t xml:space="preserve">. </w:t>
      </w:r>
      <w:r w:rsidR="0001387A">
        <w:t>Allerdings muss wieder eine Protonen-Übertragungsreaktion möglich sein, d. h. es m</w:t>
      </w:r>
      <w:r>
        <w:t>ü</w:t>
      </w:r>
      <w:r w:rsidR="0001387A">
        <w:t>ss</w:t>
      </w:r>
      <w:r>
        <w:t>en</w:t>
      </w:r>
      <w:r w:rsidR="0001387A">
        <w:t xml:space="preserve"> zwei korrespondierende Säure-Base-Paare </w:t>
      </w:r>
      <w:r>
        <w:t>vorliegen</w:t>
      </w:r>
      <w:r w:rsidR="0001387A">
        <w:t>.</w:t>
      </w:r>
    </w:p>
    <w:p w14:paraId="32B4F133" w14:textId="77777777" w:rsidR="0001387A" w:rsidRDefault="0001387A" w:rsidP="0001387A">
      <w:r w:rsidRPr="00AF59A1">
        <w:rPr>
          <w:rStyle w:val="Fett"/>
        </w:rPr>
        <w:t>Experiment 2</w:t>
      </w:r>
      <w:r>
        <w:t>: Reaktion von Chlorwasserstoff mit Ammoniak</w:t>
      </w:r>
    </w:p>
    <w:p w14:paraId="629600E0" w14:textId="77777777" w:rsidR="0001387A" w:rsidRDefault="0001387A" w:rsidP="0001387A">
      <w:r w:rsidRPr="00AF59A1">
        <w:rPr>
          <w:rStyle w:val="Fett"/>
        </w:rPr>
        <w:t>Material</w:t>
      </w:r>
      <w:r>
        <w:t>:</w:t>
      </w:r>
    </w:p>
    <w:p w14:paraId="2FAC78ED" w14:textId="77777777" w:rsidR="00AF59A1" w:rsidRDefault="00AF59A1" w:rsidP="00AF59A1">
      <w:pPr>
        <w:pStyle w:val="Liste1Aufzhlung"/>
        <w:sectPr w:rsidR="00AF59A1" w:rsidSect="005F27C6">
          <w:type w:val="continuous"/>
          <w:pgSz w:w="11906" w:h="16838"/>
          <w:pgMar w:top="851" w:right="1134" w:bottom="1134" w:left="1418" w:header="0" w:footer="0" w:gutter="0"/>
          <w:cols w:space="708"/>
          <w:titlePg/>
          <w:docGrid w:linePitch="360"/>
        </w:sectPr>
      </w:pPr>
    </w:p>
    <w:p w14:paraId="06A7F6FD" w14:textId="77777777" w:rsidR="0001387A" w:rsidRDefault="0001387A" w:rsidP="00AF59A1">
      <w:pPr>
        <w:pStyle w:val="Liste1Aufzhlung"/>
      </w:pPr>
      <w:r>
        <w:t>2 Uhrgläser</w:t>
      </w:r>
      <w:r w:rsidR="00AF59A1">
        <w:t>, d= 60 mm</w:t>
      </w:r>
    </w:p>
    <w:p w14:paraId="74BB080C" w14:textId="77777777" w:rsidR="00AF59A1" w:rsidRDefault="00AF59A1" w:rsidP="00AF59A1">
      <w:pPr>
        <w:pStyle w:val="Liste1Aufzhlung"/>
      </w:pPr>
      <w:r>
        <w:t>2 Pasteur-Pipetten, Hütchen</w:t>
      </w:r>
    </w:p>
    <w:p w14:paraId="4630A0C8" w14:textId="77777777" w:rsidR="00AF59A1" w:rsidRDefault="00AF59A1" w:rsidP="00AF59A1">
      <w:pPr>
        <w:pStyle w:val="Liste1Aufzhlung"/>
      </w:pPr>
      <w:r>
        <w:t>Glaswanne</w:t>
      </w:r>
    </w:p>
    <w:p w14:paraId="5294EC33" w14:textId="77777777" w:rsidR="00AF59A1" w:rsidRDefault="00AF59A1" w:rsidP="0001387A">
      <w:pPr>
        <w:rPr>
          <w:rStyle w:val="Fett"/>
        </w:rPr>
        <w:sectPr w:rsidR="00AF59A1" w:rsidSect="00AF59A1">
          <w:type w:val="continuous"/>
          <w:pgSz w:w="11906" w:h="16838"/>
          <w:pgMar w:top="851" w:right="1134" w:bottom="1134" w:left="1418" w:header="0" w:footer="0" w:gutter="0"/>
          <w:cols w:num="2" w:space="708"/>
          <w:titlePg/>
          <w:docGrid w:linePitch="360"/>
        </w:sectPr>
      </w:pPr>
    </w:p>
    <w:p w14:paraId="36364EAC" w14:textId="77777777" w:rsidR="00AF59A1" w:rsidRPr="00AF59A1" w:rsidRDefault="00AF59A1" w:rsidP="0001387A">
      <w:pPr>
        <w:rPr>
          <w:rStyle w:val="Fett"/>
        </w:rPr>
      </w:pPr>
      <w:r w:rsidRPr="00AF59A1">
        <w:rPr>
          <w:rStyle w:val="Fett"/>
        </w:rPr>
        <w:t>Chemikalien</w:t>
      </w:r>
    </w:p>
    <w:p w14:paraId="5C74F6C6" w14:textId="77777777" w:rsidR="00AF59A1" w:rsidRDefault="00AF59A1" w:rsidP="00AF59A1">
      <w:pPr>
        <w:pStyle w:val="Liste1Aufzhlung"/>
        <w:rPr>
          <w:rStyle w:val="RotZchn"/>
        </w:rPr>
        <w:sectPr w:rsidR="00AF59A1" w:rsidSect="005F27C6">
          <w:type w:val="continuous"/>
          <w:pgSz w:w="11906" w:h="16838"/>
          <w:pgMar w:top="851" w:right="1134" w:bottom="1134" w:left="1418" w:header="0" w:footer="0" w:gutter="0"/>
          <w:cols w:space="708"/>
          <w:titlePg/>
          <w:docGrid w:linePitch="360"/>
        </w:sectPr>
      </w:pPr>
    </w:p>
    <w:p w14:paraId="0E2BDF0D" w14:textId="77777777" w:rsidR="00AF59A1" w:rsidRPr="00AF59A1" w:rsidRDefault="00AF59A1" w:rsidP="00AF59A1">
      <w:pPr>
        <w:pStyle w:val="Liste1Aufzhlung"/>
        <w:rPr>
          <w:rStyle w:val="CASNrZchn"/>
        </w:rPr>
      </w:pPr>
      <w:r w:rsidRPr="00AF59A1">
        <w:rPr>
          <w:rStyle w:val="RotZchn"/>
        </w:rPr>
        <w:t>Salzsäure</w:t>
      </w:r>
      <w:r w:rsidRPr="000740FB">
        <w:br/>
        <w:t>w= 32% (</w:t>
      </w:r>
      <w:proofErr w:type="spellStart"/>
      <w:r w:rsidRPr="000740FB">
        <w:t>konz</w:t>
      </w:r>
      <w:proofErr w:type="spellEnd"/>
      <w:r w:rsidRPr="000740FB">
        <w:t>.)</w:t>
      </w:r>
      <w:r>
        <w:tab/>
      </w:r>
      <w:r w:rsidRPr="000740FB">
        <w:br/>
      </w:r>
      <w:r w:rsidRPr="00AF59A1">
        <w:rPr>
          <w:rStyle w:val="CASNrZchn"/>
        </w:rPr>
        <w:t>CAS-Nr.: 7647-01-0</w:t>
      </w:r>
      <w:r>
        <w:tab/>
      </w:r>
      <w:r w:rsidRPr="000740FB">
        <w:br/>
      </w:r>
      <w:r w:rsidRPr="000740FB">
        <w:rPr>
          <w:noProof/>
          <w:lang w:eastAsia="de-DE"/>
        </w:rPr>
        <w:drawing>
          <wp:inline distT="0" distB="0" distL="0" distR="0" wp14:anchorId="26846127" wp14:editId="3F8FDE00">
            <wp:extent cx="358140" cy="365760"/>
            <wp:effectExtent l="0" t="0" r="3810" b="0"/>
            <wp:docPr id="4940" name="Grafik 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0D446EC2" wp14:editId="1559CA44">
            <wp:extent cx="358140" cy="365760"/>
            <wp:effectExtent l="0" t="0" r="3810" b="0"/>
            <wp:docPr id="4941" name="Grafik 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tab/>
      </w:r>
      <w:r w:rsidRPr="000740FB">
        <w:br/>
      </w:r>
      <w:r w:rsidRPr="00AF59A1">
        <w:rPr>
          <w:rStyle w:val="CASNrZchn"/>
        </w:rPr>
        <w:t>H314, H335, H290</w:t>
      </w:r>
      <w:r w:rsidRPr="00AF59A1">
        <w:rPr>
          <w:rStyle w:val="CASNrZchn"/>
        </w:rPr>
        <w:tab/>
      </w:r>
      <w:r w:rsidRPr="00AF59A1">
        <w:rPr>
          <w:rStyle w:val="CASNrZchn"/>
        </w:rPr>
        <w:br/>
        <w:t>P260, P305+P351+P338, P303+P361+P353, P304+P340, P309+P311</w:t>
      </w:r>
    </w:p>
    <w:p w14:paraId="4418B663" w14:textId="77777777" w:rsidR="00AF59A1" w:rsidRPr="00AF59A1" w:rsidRDefault="00AF59A1" w:rsidP="00AF59A1">
      <w:pPr>
        <w:pStyle w:val="Liste1Aufzhlung"/>
        <w:rPr>
          <w:rStyle w:val="CASNrZchn"/>
        </w:rPr>
      </w:pPr>
      <w:bookmarkStart w:id="9" w:name="OLE_LINK89"/>
      <w:bookmarkStart w:id="10" w:name="_Hlk110351014"/>
      <w:r w:rsidRPr="00AF59A1">
        <w:rPr>
          <w:rStyle w:val="RotZchn"/>
        </w:rPr>
        <w:t>Ammoniak</w:t>
      </w:r>
      <w:r w:rsidRPr="000740FB">
        <w:t>-Lösung</w:t>
      </w:r>
      <w:r w:rsidRPr="000740FB">
        <w:br/>
        <w:t>w= 25% (</w:t>
      </w:r>
      <w:proofErr w:type="spellStart"/>
      <w:r w:rsidRPr="000740FB">
        <w:t>konz</w:t>
      </w:r>
      <w:proofErr w:type="spellEnd"/>
      <w:r w:rsidRPr="000740FB">
        <w:t>.)</w:t>
      </w:r>
      <w:r>
        <w:tab/>
      </w:r>
      <w:r w:rsidRPr="000740FB">
        <w:br/>
      </w:r>
      <w:r w:rsidRPr="00AF59A1">
        <w:rPr>
          <w:rStyle w:val="CASNrZchn"/>
        </w:rPr>
        <w:t>CAS-Nr.: 1336-21-6</w:t>
      </w:r>
      <w:r>
        <w:tab/>
      </w:r>
      <w:r w:rsidRPr="000740FB">
        <w:br/>
      </w:r>
      <w:r w:rsidRPr="000740FB">
        <w:rPr>
          <w:noProof/>
          <w:lang w:eastAsia="de-DE"/>
        </w:rPr>
        <w:drawing>
          <wp:inline distT="0" distB="0" distL="0" distR="0" wp14:anchorId="30B1589D" wp14:editId="1EA14492">
            <wp:extent cx="358140" cy="365760"/>
            <wp:effectExtent l="0" t="0" r="3810" b="0"/>
            <wp:docPr id="5067" name="Grafik 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2BD05E19" wp14:editId="73B69C60">
            <wp:extent cx="358140" cy="365760"/>
            <wp:effectExtent l="0" t="0" r="3810" b="0"/>
            <wp:docPr id="5071" name="Grafik 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3F9A1107" wp14:editId="148C00A7">
            <wp:extent cx="358140" cy="358140"/>
            <wp:effectExtent l="0" t="0" r="3810" b="3810"/>
            <wp:docPr id="5072" name="Grafik 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Gefahr</w:t>
      </w:r>
      <w:r>
        <w:tab/>
      </w:r>
      <w:r w:rsidRPr="000740FB">
        <w:br/>
      </w:r>
      <w:r w:rsidRPr="00AF59A1">
        <w:rPr>
          <w:rStyle w:val="CASNrZchn"/>
        </w:rPr>
        <w:t>H290, H314, H335, H400</w:t>
      </w:r>
      <w:r w:rsidRPr="00AF59A1">
        <w:rPr>
          <w:rStyle w:val="CASNrZchn"/>
        </w:rPr>
        <w:tab/>
      </w:r>
      <w:r w:rsidRPr="00AF59A1">
        <w:rPr>
          <w:rStyle w:val="CASNrZchn"/>
        </w:rPr>
        <w:br/>
        <w:t>P260, P273, P280, P301+P330+P331, P303+P361+P353, P305+P351+P338</w:t>
      </w:r>
      <w:bookmarkEnd w:id="9"/>
    </w:p>
    <w:bookmarkEnd w:id="10"/>
    <w:p w14:paraId="0319C471" w14:textId="77777777" w:rsidR="00AF59A1" w:rsidRDefault="00AF59A1" w:rsidP="0001387A">
      <w:pPr>
        <w:rPr>
          <w:rStyle w:val="Fett"/>
        </w:rPr>
        <w:sectPr w:rsidR="00AF59A1" w:rsidSect="00AF59A1">
          <w:type w:val="continuous"/>
          <w:pgSz w:w="11906" w:h="16838"/>
          <w:pgMar w:top="851" w:right="1134" w:bottom="1134" w:left="1418" w:header="0" w:footer="0" w:gutter="0"/>
          <w:cols w:num="2" w:space="708"/>
          <w:titlePg/>
          <w:docGrid w:linePitch="360"/>
        </w:sectPr>
      </w:pPr>
    </w:p>
    <w:p w14:paraId="0E91D9AD" w14:textId="77777777" w:rsidR="00AF59A1" w:rsidRDefault="00AF59A1" w:rsidP="0001387A">
      <w:r w:rsidRPr="00AF59A1">
        <w:rPr>
          <w:rStyle w:val="Fett"/>
        </w:rPr>
        <w:t>Durchführung</w:t>
      </w:r>
      <w:r>
        <w:t>: Auf die zwei Uhrgläser werden jeweils Salzsäure und Ammoniak-Lösung gegeben und eng nebeneinander unter die Glaswanne gestellt.</w:t>
      </w:r>
    </w:p>
    <w:p w14:paraId="0C58854A" w14:textId="77777777" w:rsidR="00AF59A1" w:rsidRDefault="00AF59A1" w:rsidP="0001387A">
      <w:r w:rsidRPr="00AF59A1">
        <w:rPr>
          <w:rStyle w:val="Fett"/>
        </w:rPr>
        <w:t>Beobachtung</w:t>
      </w:r>
      <w:r>
        <w:t>: Rauch-Entwicklung</w:t>
      </w:r>
    </w:p>
    <w:p w14:paraId="3AFE1E48" w14:textId="77777777" w:rsidR="00AF59A1" w:rsidRPr="0001387A" w:rsidRDefault="00AF59A1" w:rsidP="00AF59A1">
      <w:pPr>
        <w:rPr>
          <w:rFonts w:eastAsiaTheme="minorEastAsia"/>
        </w:rPr>
      </w:pPr>
      <w:r w:rsidRPr="00AF59A1">
        <w:rPr>
          <w:rStyle w:val="Fett"/>
        </w:rPr>
        <w:t>Deutung</w:t>
      </w:r>
      <w:r>
        <w:t xml:space="preserve">: </w:t>
      </w:r>
      <m:oMath>
        <m:sSub>
          <m:sSubPr>
            <m:ctrlPr>
              <w:rPr>
                <w:rFonts w:ascii="Cambria Math" w:hAnsi="Cambria Math"/>
                <w:i/>
              </w:rPr>
            </m:ctrlPr>
          </m:sSubPr>
          <m:e>
            <m:r>
              <m:rPr>
                <m:nor/>
              </m:rPr>
              <m:t>NH</m:t>
            </m:r>
          </m:e>
          <m:sub>
            <m:r>
              <m:rPr>
                <m:nor/>
              </m:rPr>
              <m:t>3</m:t>
            </m:r>
          </m:sub>
        </m:sSub>
        <m:r>
          <m:rPr>
            <m:nor/>
          </m:rPr>
          <m:t xml:space="preserve">(g) + HCl(g) </m:t>
        </m:r>
        <m:r>
          <m:rPr>
            <m:nor/>
          </m:rPr>
          <w:rPr>
            <w:rFonts w:ascii="Cambria Math" w:hAnsi="Cambria Math" w:cs="Cambria Math"/>
          </w:rPr>
          <m:t>⟶</m:t>
        </m:r>
        <m:r>
          <m:rPr>
            <m:nor/>
          </m:rPr>
          <m:t xml:space="preserve"> </m:t>
        </m:r>
        <m:sPre>
          <m:sPrePr>
            <m:ctrlPr>
              <w:rPr>
                <w:rFonts w:ascii="Cambria Math" w:hAnsi="Cambria Math"/>
                <w:i/>
              </w:rPr>
            </m:ctrlPr>
          </m:sPrePr>
          <m:sub/>
          <m:sup>
            <m:r>
              <m:rPr>
                <m:nor/>
              </m:rPr>
              <m:t>+</m:t>
            </m:r>
          </m:sup>
          <m:e>
            <m:sSub>
              <m:sSubPr>
                <m:ctrlPr>
                  <w:rPr>
                    <w:rFonts w:ascii="Cambria Math" w:hAnsi="Cambria Math"/>
                    <w:i/>
                  </w:rPr>
                </m:ctrlPr>
              </m:sSubPr>
              <m:e>
                <m:r>
                  <m:rPr>
                    <m:nor/>
                  </m:rPr>
                  <m:t>NH</m:t>
                </m:r>
              </m:e>
              <m:sub>
                <m:r>
                  <m:rPr>
                    <m:nor/>
                  </m:rPr>
                  <m:t>4</m:t>
                </m:r>
              </m:sub>
            </m:sSub>
            <m:r>
              <m:rPr>
                <m:nor/>
              </m:rPr>
              <m:t xml:space="preserve"> + </m:t>
            </m:r>
            <m:sSup>
              <m:sSupPr>
                <m:ctrlPr>
                  <w:rPr>
                    <w:rFonts w:ascii="Cambria Math" w:hAnsi="Cambria Math"/>
                    <w:i/>
                  </w:rPr>
                </m:ctrlPr>
              </m:sSupPr>
              <m:e>
                <m:r>
                  <m:rPr>
                    <m:nor/>
                  </m:rPr>
                  <m:t>Cl</m:t>
                </m:r>
              </m:e>
              <m:sup>
                <m:r>
                  <m:rPr>
                    <m:nor/>
                  </m:rPr>
                  <m:t>-</m:t>
                </m:r>
              </m:sup>
            </m:sSup>
            <m:r>
              <m:rPr>
                <m:nor/>
              </m:rPr>
              <m:t>(s)</m:t>
            </m:r>
          </m:e>
        </m:sPre>
      </m:oMath>
    </w:p>
    <w:p w14:paraId="41DC850D" w14:textId="77777777" w:rsidR="00AF59A1" w:rsidRDefault="00AF59A1" w:rsidP="00AF59A1">
      <w:r>
        <w:t xml:space="preserve">Nach dem Konzept von </w:t>
      </w:r>
      <w:proofErr w:type="spellStart"/>
      <w:r w:rsidR="004F5AF1">
        <w:t>Brønsted</w:t>
      </w:r>
      <w:proofErr w:type="spellEnd"/>
      <w:r>
        <w:t xml:space="preserve"> lässt sich die Reaktion so erklären, dass der Chlorwasserstoff ein Proton an den Ammoniak abgibt und somit das Ammonium- und Chlorid-Ion entsteht. </w:t>
      </w:r>
    </w:p>
    <w:p w14:paraId="43E915D8" w14:textId="17779E12" w:rsidR="00AF59A1" w:rsidRDefault="00AF59A1" w:rsidP="00AF59A1">
      <w:r>
        <w:t xml:space="preserve">Lewis hingegen erklärt diese Reaktion so, dass Ammoniak als Base ein freies Elektronenpaar hat und somit mit dem Proton des Chlorwasserstoffes, das einen Elektronenmangel hat, eine Bindung eingeht. </w:t>
      </w:r>
    </w:p>
    <w:p w14:paraId="62F7D754" w14:textId="51A4360E" w:rsidR="001B3E0F" w:rsidRPr="006C3647" w:rsidRDefault="001B3E0F" w:rsidP="00AF59A1">
      <w:pPr>
        <w:rPr>
          <w:rStyle w:val="Fett"/>
        </w:rPr>
      </w:pPr>
      <w:r>
        <w:rPr>
          <w:rStyle w:val="Fett"/>
        </w:rPr>
        <w:t xml:space="preserve">Experiment 3: </w:t>
      </w:r>
      <w:r w:rsidR="006C3647" w:rsidRPr="006C3647">
        <w:t>Ammoniumchlorid-Rauchring</w:t>
      </w:r>
    </w:p>
    <w:p w14:paraId="23BA95B9" w14:textId="2916947C" w:rsidR="006C3647" w:rsidRDefault="006C3647" w:rsidP="00AF59A1">
      <w:pPr>
        <w:rPr>
          <w:b/>
          <w:bCs/>
        </w:rPr>
      </w:pPr>
      <w:r>
        <w:rPr>
          <w:b/>
          <w:bCs/>
        </w:rPr>
        <w:t>Material:</w:t>
      </w:r>
    </w:p>
    <w:p w14:paraId="7F55BA2B" w14:textId="77777777" w:rsidR="00F45877" w:rsidRDefault="00F45877" w:rsidP="006C3647">
      <w:pPr>
        <w:pStyle w:val="Liste1Aufzhlung"/>
        <w:sectPr w:rsidR="00F45877" w:rsidSect="005F27C6">
          <w:type w:val="continuous"/>
          <w:pgSz w:w="11906" w:h="16838"/>
          <w:pgMar w:top="851" w:right="1134" w:bottom="1134" w:left="1418" w:header="0" w:footer="0" w:gutter="0"/>
          <w:cols w:space="708"/>
          <w:titlePg/>
          <w:docGrid w:linePitch="360"/>
        </w:sectPr>
      </w:pPr>
    </w:p>
    <w:p w14:paraId="4E8AF45E" w14:textId="70CF8CF9" w:rsidR="006C3647" w:rsidRDefault="006C3647" w:rsidP="006C3647">
      <w:pPr>
        <w:pStyle w:val="Liste1Aufzhlung"/>
      </w:pPr>
      <w:r>
        <w:t xml:space="preserve">Glasröhre, d = 28 mm </w:t>
      </w:r>
      <w:r>
        <w:tab/>
      </w:r>
      <w:r>
        <w:tab/>
      </w:r>
    </w:p>
    <w:p w14:paraId="60CB97AD" w14:textId="54037D1E" w:rsidR="006C3647" w:rsidRDefault="006C3647" w:rsidP="006C3647">
      <w:pPr>
        <w:pStyle w:val="Liste1Aufzhlung"/>
      </w:pPr>
      <w:r>
        <w:t>Wattepads</w:t>
      </w:r>
    </w:p>
    <w:p w14:paraId="16D3FD15" w14:textId="77777777" w:rsidR="00F45877" w:rsidRDefault="00F45877" w:rsidP="00F45877">
      <w:pPr>
        <w:spacing w:before="0"/>
        <w:jc w:val="left"/>
        <w:sectPr w:rsidR="00F45877" w:rsidSect="00F45877">
          <w:type w:val="continuous"/>
          <w:pgSz w:w="11906" w:h="16838"/>
          <w:pgMar w:top="851" w:right="1134" w:bottom="1134" w:left="1418" w:header="0" w:footer="0" w:gutter="0"/>
          <w:cols w:num="2" w:space="708"/>
          <w:titlePg/>
          <w:docGrid w:linePitch="360"/>
        </w:sectPr>
      </w:pPr>
    </w:p>
    <w:p w14:paraId="52872581" w14:textId="0723FEB1" w:rsidR="001B3E0F" w:rsidRDefault="006C3647" w:rsidP="00E0038D">
      <w:pPr>
        <w:spacing w:before="0"/>
        <w:jc w:val="left"/>
        <w:rPr>
          <w:rStyle w:val="Fett"/>
        </w:rPr>
      </w:pPr>
      <w:r>
        <w:rPr>
          <w:rStyle w:val="Fett"/>
        </w:rPr>
        <w:t>Chemikalien:</w:t>
      </w:r>
    </w:p>
    <w:p w14:paraId="12CF63F2" w14:textId="77777777" w:rsidR="00F45877" w:rsidRDefault="00F45877" w:rsidP="006C3647">
      <w:pPr>
        <w:pStyle w:val="Liste1Aufzhlung"/>
        <w:spacing w:before="0"/>
        <w:rPr>
          <w:color w:val="FF0000" w:themeColor="accent2"/>
        </w:rPr>
        <w:sectPr w:rsidR="00F45877" w:rsidSect="005F27C6">
          <w:type w:val="continuous"/>
          <w:pgSz w:w="11906" w:h="16838"/>
          <w:pgMar w:top="851" w:right="1134" w:bottom="1134" w:left="1418" w:header="0" w:footer="0" w:gutter="0"/>
          <w:cols w:space="708"/>
          <w:titlePg/>
          <w:docGrid w:linePitch="360"/>
        </w:sectPr>
      </w:pPr>
    </w:p>
    <w:p w14:paraId="6E5901D1" w14:textId="4CA9C5A8" w:rsidR="006C3647" w:rsidRPr="006C3647" w:rsidRDefault="006C3647" w:rsidP="006C3647">
      <w:pPr>
        <w:pStyle w:val="Liste1Aufzhlung"/>
        <w:numPr>
          <w:ilvl w:val="0"/>
          <w:numId w:val="0"/>
        </w:numPr>
        <w:spacing w:before="0"/>
        <w:ind w:left="454"/>
        <w:rPr>
          <w:sz w:val="20"/>
          <w:szCs w:val="18"/>
        </w:rPr>
      </w:pPr>
      <w:r w:rsidRPr="00970488">
        <w:rPr>
          <w:color w:val="FF0000" w:themeColor="accent2"/>
        </w:rPr>
        <w:t>Salzsäure</w:t>
      </w:r>
      <w:r w:rsidRPr="006C3647">
        <w:br/>
        <w:t>w= 32% (</w:t>
      </w:r>
      <w:proofErr w:type="spellStart"/>
      <w:r w:rsidRPr="006C3647">
        <w:t>konz</w:t>
      </w:r>
      <w:proofErr w:type="spellEnd"/>
      <w:r w:rsidRPr="006C3647">
        <w:t>.)</w:t>
      </w:r>
      <w:r w:rsidRPr="006C3647">
        <w:tab/>
      </w:r>
      <w:r w:rsidRPr="006C3647">
        <w:br/>
      </w:r>
      <w:r w:rsidRPr="00970488">
        <w:rPr>
          <w:sz w:val="20"/>
          <w:szCs w:val="18"/>
        </w:rPr>
        <w:t>CAS-Nr.: 7647-01-0</w:t>
      </w:r>
      <w:r w:rsidRPr="006C3647">
        <w:tab/>
      </w:r>
      <w:r w:rsidRPr="006C3647">
        <w:br/>
      </w:r>
      <w:r w:rsidRPr="006C3647">
        <w:rPr>
          <w:noProof/>
          <w:lang w:eastAsia="de-DE"/>
        </w:rPr>
        <w:drawing>
          <wp:inline distT="0" distB="0" distL="0" distR="0" wp14:anchorId="67A79CD8" wp14:editId="2438F64B">
            <wp:extent cx="358140" cy="365760"/>
            <wp:effectExtent l="0" t="0" r="381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6C3647">
        <w:t xml:space="preserve"> </w:t>
      </w:r>
      <w:r w:rsidRPr="006C3647">
        <w:rPr>
          <w:noProof/>
          <w:lang w:eastAsia="de-DE"/>
        </w:rPr>
        <w:drawing>
          <wp:inline distT="0" distB="0" distL="0" distR="0" wp14:anchorId="384D5D55" wp14:editId="0B0267AA">
            <wp:extent cx="358140" cy="365760"/>
            <wp:effectExtent l="0" t="0" r="381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6C3647">
        <w:t xml:space="preserve"> Gefahr</w:t>
      </w:r>
      <w:r w:rsidRPr="006C3647">
        <w:tab/>
      </w:r>
      <w:r w:rsidRPr="006C3647">
        <w:br/>
      </w:r>
      <w:r w:rsidRPr="00970488">
        <w:rPr>
          <w:sz w:val="20"/>
          <w:szCs w:val="18"/>
        </w:rPr>
        <w:t>H314, H335, H290</w:t>
      </w:r>
      <w:r w:rsidRPr="00970488">
        <w:rPr>
          <w:sz w:val="20"/>
          <w:szCs w:val="18"/>
        </w:rPr>
        <w:tab/>
      </w:r>
      <w:r w:rsidRPr="00970488">
        <w:rPr>
          <w:sz w:val="20"/>
          <w:szCs w:val="18"/>
        </w:rPr>
        <w:br/>
        <w:t>P260, P305+P351+P338,P303+P361+P353, P304+P340,</w:t>
      </w:r>
      <w:r w:rsidRPr="006C3647">
        <w:rPr>
          <w:sz w:val="20"/>
          <w:szCs w:val="18"/>
        </w:rPr>
        <w:t>P309+P311</w:t>
      </w:r>
    </w:p>
    <w:p w14:paraId="2E183751" w14:textId="77B6B84B" w:rsidR="00F45877" w:rsidRPr="00F45877" w:rsidRDefault="00F45877" w:rsidP="00F45877">
      <w:pPr>
        <w:pStyle w:val="Liste1Aufzhlung"/>
        <w:numPr>
          <w:ilvl w:val="0"/>
          <w:numId w:val="0"/>
        </w:numPr>
        <w:spacing w:before="0"/>
        <w:ind w:left="454"/>
      </w:pPr>
      <w:r w:rsidRPr="00970488">
        <w:rPr>
          <w:color w:val="FF0000" w:themeColor="accent2"/>
        </w:rPr>
        <w:t>Ammoniak</w:t>
      </w:r>
      <w:r w:rsidRPr="00F45877">
        <w:t>-Lösung</w:t>
      </w:r>
      <w:r w:rsidRPr="00F45877">
        <w:br/>
        <w:t>w= 25% (</w:t>
      </w:r>
      <w:proofErr w:type="spellStart"/>
      <w:r w:rsidRPr="00F45877">
        <w:t>konz</w:t>
      </w:r>
      <w:proofErr w:type="spellEnd"/>
      <w:r w:rsidRPr="00F45877">
        <w:t>.)</w:t>
      </w:r>
      <w:r w:rsidRPr="00F45877">
        <w:tab/>
      </w:r>
      <w:r w:rsidRPr="00F45877">
        <w:br/>
      </w:r>
      <w:r w:rsidRPr="00970488">
        <w:rPr>
          <w:sz w:val="20"/>
          <w:szCs w:val="18"/>
        </w:rPr>
        <w:t>CAS-Nr.: 1336-21-6</w:t>
      </w:r>
      <w:r w:rsidRPr="00970488">
        <w:rPr>
          <w:sz w:val="20"/>
          <w:szCs w:val="18"/>
        </w:rPr>
        <w:tab/>
      </w:r>
      <w:r w:rsidRPr="00F45877">
        <w:br/>
      </w:r>
      <w:r w:rsidRPr="00F45877">
        <w:rPr>
          <w:noProof/>
          <w:lang w:eastAsia="de-DE"/>
        </w:rPr>
        <w:drawing>
          <wp:inline distT="0" distB="0" distL="0" distR="0" wp14:anchorId="61D689B7" wp14:editId="7E6E0998">
            <wp:extent cx="358140" cy="365760"/>
            <wp:effectExtent l="0" t="0" r="381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F45877">
        <w:t xml:space="preserve"> </w:t>
      </w:r>
      <w:r w:rsidRPr="00F45877">
        <w:rPr>
          <w:noProof/>
          <w:lang w:eastAsia="de-DE"/>
        </w:rPr>
        <w:drawing>
          <wp:inline distT="0" distB="0" distL="0" distR="0" wp14:anchorId="5E72FD6F" wp14:editId="7C7176D8">
            <wp:extent cx="358140" cy="365760"/>
            <wp:effectExtent l="0" t="0" r="381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F45877">
        <w:t xml:space="preserve"> </w:t>
      </w:r>
      <w:r w:rsidRPr="00F45877">
        <w:rPr>
          <w:noProof/>
          <w:lang w:eastAsia="de-DE"/>
        </w:rPr>
        <w:drawing>
          <wp:inline distT="0" distB="0" distL="0" distR="0" wp14:anchorId="27E92F69" wp14:editId="37CC9B33">
            <wp:extent cx="358140" cy="358140"/>
            <wp:effectExtent l="0" t="0" r="381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F45877">
        <w:t xml:space="preserve"> Gefahr</w:t>
      </w:r>
      <w:r w:rsidRPr="00F45877">
        <w:tab/>
      </w:r>
      <w:r w:rsidRPr="00F45877">
        <w:br/>
      </w:r>
      <w:r w:rsidRPr="00970488">
        <w:rPr>
          <w:sz w:val="20"/>
          <w:szCs w:val="18"/>
        </w:rPr>
        <w:t>H290, H314, H335, H400</w:t>
      </w:r>
      <w:r w:rsidRPr="00970488">
        <w:rPr>
          <w:sz w:val="20"/>
          <w:szCs w:val="18"/>
        </w:rPr>
        <w:tab/>
      </w:r>
      <w:r w:rsidRPr="00970488">
        <w:rPr>
          <w:sz w:val="20"/>
          <w:szCs w:val="18"/>
        </w:rPr>
        <w:br/>
        <w:t>P260, P273, P280,P301+P330+P331, P303+P361+P353,</w:t>
      </w:r>
      <w:r w:rsidRPr="00F45877">
        <w:rPr>
          <w:sz w:val="20"/>
          <w:szCs w:val="18"/>
        </w:rPr>
        <w:t>P305+P351+P338</w:t>
      </w:r>
    </w:p>
    <w:p w14:paraId="3939F416" w14:textId="77777777" w:rsidR="00F45877" w:rsidRDefault="00F45877" w:rsidP="006C3647">
      <w:pPr>
        <w:pStyle w:val="Liste1Aufzhlung"/>
        <w:rPr>
          <w:rStyle w:val="Fett"/>
          <w:b w:val="0"/>
          <w:bCs w:val="0"/>
        </w:rPr>
        <w:sectPr w:rsidR="00F45877" w:rsidSect="00F45877">
          <w:type w:val="continuous"/>
          <w:pgSz w:w="11906" w:h="16838"/>
          <w:pgMar w:top="851" w:right="1134" w:bottom="1134" w:left="1418" w:header="0" w:footer="0" w:gutter="0"/>
          <w:cols w:num="2" w:space="708"/>
          <w:titlePg/>
          <w:docGrid w:linePitch="360"/>
        </w:sectPr>
      </w:pPr>
    </w:p>
    <w:p w14:paraId="502F2E84" w14:textId="58BAC177" w:rsidR="006C3647" w:rsidRDefault="001E1ED4" w:rsidP="00F45877">
      <w:pPr>
        <w:pStyle w:val="Liste1Aufzhlung"/>
        <w:numPr>
          <w:ilvl w:val="0"/>
          <w:numId w:val="0"/>
        </w:numPr>
        <w:rPr>
          <w:rStyle w:val="Fett"/>
          <w:b w:val="0"/>
          <w:bCs w:val="0"/>
        </w:rPr>
      </w:pPr>
      <w:r>
        <w:rPr>
          <w:noProof/>
          <w:lang w:eastAsia="de-DE"/>
        </w:rPr>
        <mc:AlternateContent>
          <mc:Choice Requires="wps">
            <w:drawing>
              <wp:anchor distT="0" distB="0" distL="114300" distR="114300" simplePos="0" relativeHeight="251661312" behindDoc="0" locked="0" layoutInCell="1" allowOverlap="1" wp14:anchorId="0F9CC494" wp14:editId="19DE067F">
                <wp:simplePos x="0" y="0"/>
                <wp:positionH relativeFrom="column">
                  <wp:posOffset>3309620</wp:posOffset>
                </wp:positionH>
                <wp:positionV relativeFrom="paragraph">
                  <wp:posOffset>1522730</wp:posOffset>
                </wp:positionV>
                <wp:extent cx="2871470" cy="635"/>
                <wp:effectExtent l="0" t="0" r="0" b="0"/>
                <wp:wrapSquare wrapText="bothSides"/>
                <wp:docPr id="25" name="Textfeld 25"/>
                <wp:cNvGraphicFramePr/>
                <a:graphic xmlns:a="http://schemas.openxmlformats.org/drawingml/2006/main">
                  <a:graphicData uri="http://schemas.microsoft.com/office/word/2010/wordprocessingShape">
                    <wps:wsp>
                      <wps:cNvSpPr txBox="1"/>
                      <wps:spPr>
                        <a:xfrm>
                          <a:off x="0" y="0"/>
                          <a:ext cx="2871470" cy="635"/>
                        </a:xfrm>
                        <a:prstGeom prst="rect">
                          <a:avLst/>
                        </a:prstGeom>
                        <a:solidFill>
                          <a:prstClr val="white"/>
                        </a:solidFill>
                        <a:ln>
                          <a:noFill/>
                        </a:ln>
                      </wps:spPr>
                      <wps:txbx>
                        <w:txbxContent>
                          <w:p w14:paraId="587D4487" w14:textId="76E08CA8" w:rsidR="001E1ED4" w:rsidRPr="00CB6722" w:rsidRDefault="001E1ED4" w:rsidP="001E1ED4">
                            <w:pPr>
                              <w:pStyle w:val="Beschriftung"/>
                              <w:rPr>
                                <w:b/>
                                <w:bCs/>
                                <w:noProof/>
                                <w:sz w:val="24"/>
                              </w:rPr>
                            </w:pPr>
                            <w:r>
                              <w:t xml:space="preserve">Abb. </w:t>
                            </w:r>
                            <w:r w:rsidR="00180E97">
                              <w:fldChar w:fldCharType="begin"/>
                            </w:r>
                            <w:r w:rsidR="00180E97">
                              <w:instrText xml:space="preserve"> SEQ Abb. \* ARABIC </w:instrText>
                            </w:r>
                            <w:r w:rsidR="00180E97">
                              <w:fldChar w:fldCharType="separate"/>
                            </w:r>
                            <w:r w:rsidR="00180E97">
                              <w:rPr>
                                <w:noProof/>
                              </w:rPr>
                              <w:t>11</w:t>
                            </w:r>
                            <w:r w:rsidR="00180E97">
                              <w:rPr>
                                <w:noProof/>
                              </w:rPr>
                              <w:fldChar w:fldCharType="end"/>
                            </w:r>
                            <w:r>
                              <w:t>: Ammoniumchlorid-Rauchring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F9CC494" id="_x0000_t202" coordsize="21600,21600" o:spt="202" path="m,l,21600r21600,l21600,xe">
                <v:stroke joinstyle="miter"/>
                <v:path gradientshapeok="t" o:connecttype="rect"/>
              </v:shapetype>
              <v:shape id="Textfeld 25" o:spid="_x0000_s1032" type="#_x0000_t202" style="position:absolute;left:0;text-align:left;margin-left:260.6pt;margin-top:119.9pt;width:226.1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" stroked="f">
                <v:textbox style="mso-fit-shape-to-text:t" inset="0,0,0,0">
                  <w:txbxContent>
                    <w:p w14:paraId="587D4487" w14:textId="76E08CA8" w:rsidR="001E1ED4" w:rsidRPr="00CB6722" w:rsidRDefault="001E1ED4" w:rsidP="001E1ED4">
                      <w:pPr>
                        <w:pStyle w:val="Beschriftung"/>
                        <w:rPr>
                          <w:b/>
                          <w:bCs/>
                          <w:noProof/>
                          <w:sz w:val="24"/>
                        </w:rPr>
                      </w:pPr>
                      <w:r>
                        <w:t xml:space="preserve">Abb. </w:t>
                      </w:r>
                      <w:r w:rsidR="00180E97">
                        <w:fldChar w:fldCharType="begin"/>
                      </w:r>
                      <w:r w:rsidR="00180E97">
                        <w:instrText xml:space="preserve"> SEQ Abb. \* ARABIC </w:instrText>
                      </w:r>
                      <w:r w:rsidR="00180E97">
                        <w:fldChar w:fldCharType="separate"/>
                      </w:r>
                      <w:r w:rsidR="00180E97">
                        <w:rPr>
                          <w:noProof/>
                        </w:rPr>
                        <w:t>11</w:t>
                      </w:r>
                      <w:r w:rsidR="00180E97">
                        <w:rPr>
                          <w:noProof/>
                        </w:rPr>
                        <w:fldChar w:fldCharType="end"/>
                      </w:r>
                      <w:r>
                        <w:t>: Ammoniumchlorid-Rauchring</w:t>
                      </w:r>
                    </w:p>
                  </w:txbxContent>
                </v:textbox>
                <w10:wrap type="square"/>
              </v:shape>
            </w:pict>
          </mc:Fallback>
        </mc:AlternateContent>
      </w:r>
      <w:r>
        <w:rPr>
          <w:b/>
          <w:bCs/>
          <w:noProof/>
          <w:lang w:eastAsia="de-DE"/>
        </w:rPr>
        <w:drawing>
          <wp:anchor distT="0" distB="0" distL="114300" distR="114300" simplePos="0" relativeHeight="251659264" behindDoc="0" locked="0" layoutInCell="1" allowOverlap="1" wp14:anchorId="0E022654" wp14:editId="0BF29C03">
            <wp:simplePos x="0" y="0"/>
            <wp:positionH relativeFrom="column">
              <wp:posOffset>3309620</wp:posOffset>
            </wp:positionH>
            <wp:positionV relativeFrom="paragraph">
              <wp:posOffset>472758</wp:posOffset>
            </wp:positionV>
            <wp:extent cx="2871470" cy="993140"/>
            <wp:effectExtent l="0" t="0" r="508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a:picLocks noChangeAspect="1"/>
                    </pic:cNvPicPr>
                  </pic:nvPicPr>
                  <pic:blipFill rotWithShape="1">
                    <a:blip r:embed="rId24">
                      <a:extLst>
                        <a:ext uri="{28A0092B-C50C-407E-A947-70E740481C1C}">
                          <a14:useLocalDpi xmlns:a14="http://schemas.microsoft.com/office/drawing/2010/main" val="0"/>
                        </a:ext>
                      </a:extLst>
                    </a:blip>
                    <a:srcRect r="3879"/>
                    <a:stretch/>
                  </pic:blipFill>
                  <pic:spPr bwMode="auto">
                    <a:xfrm>
                      <a:off x="0" y="0"/>
                      <a:ext cx="2871470" cy="993140"/>
                    </a:xfrm>
                    <a:prstGeom prst="rect">
                      <a:avLst/>
                    </a:prstGeom>
                    <a:ln>
                      <a:noFill/>
                    </a:ln>
                    <a:extLst>
                      <a:ext uri="{53640926-AAD7-44D8-BBD7-CCE9431645EC}">
                        <a14:shadowObscured xmlns:a14="http://schemas.microsoft.com/office/drawing/2010/main"/>
                      </a:ext>
                    </a:extLst>
                  </pic:spPr>
                </pic:pic>
              </a:graphicData>
            </a:graphic>
          </wp:anchor>
        </w:drawing>
      </w:r>
      <w:r w:rsidR="00E93BC5" w:rsidRPr="00E93BC5">
        <w:rPr>
          <w:rStyle w:val="Fett"/>
        </w:rPr>
        <w:t>Durchführung:</w:t>
      </w:r>
      <w:r w:rsidR="00E93BC5">
        <w:rPr>
          <w:rStyle w:val="Fett"/>
          <w:b w:val="0"/>
          <w:bCs w:val="0"/>
        </w:rPr>
        <w:t xml:space="preserve"> </w:t>
      </w:r>
      <w:r w:rsidR="00E93BC5" w:rsidRPr="00E93BC5">
        <w:rPr>
          <w:rStyle w:val="Fett"/>
          <w:b w:val="0"/>
          <w:bCs w:val="0"/>
        </w:rPr>
        <w:t xml:space="preserve">Ein </w:t>
      </w:r>
      <w:proofErr w:type="spellStart"/>
      <w:r w:rsidR="00E93BC5" w:rsidRPr="00E93BC5">
        <w:rPr>
          <w:rStyle w:val="Fett"/>
          <w:b w:val="0"/>
          <w:bCs w:val="0"/>
        </w:rPr>
        <w:t>Wattepad</w:t>
      </w:r>
      <w:proofErr w:type="spellEnd"/>
      <w:r w:rsidR="00E93BC5" w:rsidRPr="00E93BC5">
        <w:rPr>
          <w:rStyle w:val="Fett"/>
          <w:b w:val="0"/>
          <w:bCs w:val="0"/>
        </w:rPr>
        <w:t xml:space="preserve"> wird in konzentrierter Ammoniak-Lösung und ein Weiterer in konzertierter Salzsäure getränkt. In jedes Ende einer Glasröhre wird ein </w:t>
      </w:r>
      <w:proofErr w:type="spellStart"/>
      <w:r w:rsidR="00E93BC5" w:rsidRPr="00E93BC5">
        <w:rPr>
          <w:rStyle w:val="Fett"/>
          <w:b w:val="0"/>
          <w:bCs w:val="0"/>
        </w:rPr>
        <w:t>Wattepad</w:t>
      </w:r>
      <w:proofErr w:type="spellEnd"/>
      <w:r w:rsidR="00E93BC5" w:rsidRPr="00E93BC5">
        <w:rPr>
          <w:rStyle w:val="Fett"/>
          <w:b w:val="0"/>
          <w:bCs w:val="0"/>
        </w:rPr>
        <w:t xml:space="preserve"> hineingelegt.</w:t>
      </w:r>
    </w:p>
    <w:p w14:paraId="78CF18A1" w14:textId="6FFE284E" w:rsidR="001E1ED4" w:rsidRDefault="00E93BC5" w:rsidP="00F45877">
      <w:pPr>
        <w:pStyle w:val="Liste1Aufzhlung"/>
        <w:numPr>
          <w:ilvl w:val="0"/>
          <w:numId w:val="0"/>
        </w:numPr>
        <w:rPr>
          <w:rStyle w:val="Fett"/>
          <w:b w:val="0"/>
          <w:bCs w:val="0"/>
        </w:rPr>
      </w:pPr>
      <w:r w:rsidRPr="00E93BC5">
        <w:rPr>
          <w:rStyle w:val="Fett"/>
        </w:rPr>
        <w:t>Beobachtung:</w:t>
      </w:r>
      <w:r>
        <w:rPr>
          <w:rStyle w:val="Fett"/>
          <w:b w:val="0"/>
          <w:bCs w:val="0"/>
        </w:rPr>
        <w:t xml:space="preserve"> Nach kurzer Zeit entsteht ein weißer Rauchring in der Röhre. </w:t>
      </w:r>
    </w:p>
    <w:p w14:paraId="637FCB20" w14:textId="688F6B2C" w:rsidR="006F7042" w:rsidRDefault="00E93BC5" w:rsidP="00F45877">
      <w:pPr>
        <w:pStyle w:val="Liste1Aufzhlung"/>
        <w:numPr>
          <w:ilvl w:val="0"/>
          <w:numId w:val="0"/>
        </w:numPr>
        <w:rPr>
          <w:rStyle w:val="Fett"/>
        </w:rPr>
      </w:pPr>
      <w:r w:rsidRPr="001E1ED4">
        <w:rPr>
          <w:rStyle w:val="Fett"/>
        </w:rPr>
        <w:t>Deutung:</w:t>
      </w:r>
      <w:r w:rsidR="006F7042" w:rsidRPr="006F7042">
        <w:rPr>
          <w:rFonts w:cs="Arial"/>
        </w:rPr>
        <w:t xml:space="preserve"> </w:t>
      </w:r>
      <m:oMath>
        <m:r>
          <m:rPr>
            <m:nor/>
          </m:rPr>
          <w:rPr>
            <w:rFonts w:cs="Arial"/>
          </w:rPr>
          <m:t>HCl</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N</m:t>
        </m:r>
        <m:sSub>
          <m:sSubPr>
            <m:ctrlPr>
              <w:rPr>
                <w:rFonts w:ascii="Cambria Math" w:hAnsi="Cambria Math" w:cs="Arial"/>
                <w:i/>
              </w:rPr>
            </m:ctrlPr>
          </m:sSubPr>
          <m:e>
            <m:r>
              <m:rPr>
                <m:nor/>
              </m:rPr>
              <w:rPr>
                <w:rFonts w:cs="Arial"/>
              </w:rPr>
              <m:t>H</m:t>
            </m:r>
          </m:e>
          <m:sub>
            <m:r>
              <m:rPr>
                <m:nor/>
              </m:rPr>
              <w:rPr>
                <w:rFonts w:cs="Arial"/>
              </w:rPr>
              <m:t>3</m:t>
            </m:r>
          </m:sub>
        </m:sSub>
        <m:r>
          <m:rPr>
            <m:nor/>
          </m:rPr>
          <w:rPr>
            <w:rFonts w:cs="Arial"/>
          </w:rPr>
          <m:t xml:space="preserve">    </m:t>
        </m:r>
        <m:r>
          <m:rPr>
            <m:nor/>
          </m:rPr>
          <w:rPr>
            <w:rFonts w:ascii="Cambria Math" w:hAnsi="Cambria Math" w:cs="Cambria Math"/>
          </w:rPr>
          <m:t>⇌</m:t>
        </m:r>
        <m:r>
          <m:rPr>
            <m:nor/>
          </m:rPr>
          <w:rPr>
            <w:rFonts w:cs="Arial"/>
          </w:rPr>
          <m:t xml:space="preserve">    </m:t>
        </m:r>
        <m:sSup>
          <m:sSupPr>
            <m:ctrlPr>
              <w:rPr>
                <w:rFonts w:ascii="Cambria Math" w:hAnsi="Cambria Math" w:cs="Arial"/>
                <w:i/>
              </w:rPr>
            </m:ctrlPr>
          </m:sSupPr>
          <m:e>
            <m:r>
              <m:rPr>
                <m:nor/>
              </m:rPr>
              <w:rPr>
                <w:rFonts w:cs="Arial"/>
              </w:rPr>
              <m:t>Cl</m:t>
            </m:r>
          </m:e>
          <m:sup>
            <m:r>
              <m:rPr>
                <m:nor/>
              </m:rPr>
              <w:rPr>
                <w:rFonts w:cs="Arial"/>
              </w:rPr>
              <m:t>-</m:t>
            </m:r>
          </m:sup>
        </m:sSup>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N</m:t>
        </m:r>
        <m:sSubSup>
          <m:sSubSupPr>
            <m:ctrlPr>
              <w:rPr>
                <w:rFonts w:ascii="Cambria Math" w:hAnsi="Cambria Math" w:cs="Arial"/>
                <w:i/>
              </w:rPr>
            </m:ctrlPr>
          </m:sSubSupPr>
          <m:e>
            <m:r>
              <m:rPr>
                <m:nor/>
              </m:rPr>
              <w:rPr>
                <w:rFonts w:cs="Arial"/>
              </w:rPr>
              <m:t>H</m:t>
            </m:r>
          </m:e>
          <m:sub>
            <m:r>
              <m:rPr>
                <m:nor/>
              </m:rPr>
              <w:rPr>
                <w:rFonts w:cs="Arial"/>
              </w:rPr>
              <m:t>4</m:t>
            </m:r>
          </m:sub>
          <m:sup>
            <m:r>
              <m:rPr>
                <m:nor/>
              </m:rPr>
              <w:rPr>
                <w:rFonts w:cs="Arial"/>
              </w:rPr>
              <m:t>+</m:t>
            </m:r>
          </m:sup>
        </m:sSubSup>
      </m:oMath>
    </w:p>
    <w:p w14:paraId="2E860F24" w14:textId="3BC3F522" w:rsidR="0089392E" w:rsidRPr="00E0038D" w:rsidRDefault="0089392E" w:rsidP="00F45877">
      <w:pPr>
        <w:pStyle w:val="Liste1Aufzhlung"/>
        <w:numPr>
          <w:ilvl w:val="0"/>
          <w:numId w:val="0"/>
        </w:numPr>
        <w:rPr>
          <w:rStyle w:val="Fett"/>
          <w:b w:val="0"/>
          <w:bCs w:val="0"/>
        </w:rPr>
      </w:pPr>
      <w:r>
        <w:rPr>
          <w:rStyle w:val="Fett"/>
          <w:b w:val="0"/>
          <w:bCs w:val="0"/>
        </w:rPr>
        <w:t>Salzsäure</w:t>
      </w:r>
      <w:r w:rsidRPr="0089392E">
        <w:rPr>
          <w:rStyle w:val="Fett"/>
          <w:b w:val="0"/>
          <w:bCs w:val="0"/>
        </w:rPr>
        <w:t xml:space="preserve"> und Ammoniak sind Gase. Die</w:t>
      </w:r>
      <w:r>
        <w:rPr>
          <w:rStyle w:val="Fett"/>
          <w:b w:val="0"/>
          <w:bCs w:val="0"/>
        </w:rPr>
        <w:t>se</w:t>
      </w:r>
      <w:r w:rsidRPr="0089392E">
        <w:rPr>
          <w:rStyle w:val="Fett"/>
          <w:b w:val="0"/>
          <w:bCs w:val="0"/>
        </w:rPr>
        <w:t xml:space="preserve"> diffundieren durch die Röhre und dort treffen sie aufeinander und reagieren. Es entsteht das Ammoniumchlorid, welches ein weißer Feststoff ist und somit den weißen Rauch entstehen lässt</w:t>
      </w:r>
      <w:r w:rsidRPr="00E0038D">
        <w:rPr>
          <w:rStyle w:val="Fett"/>
          <w:b w:val="0"/>
          <w:bCs w:val="0"/>
        </w:rPr>
        <w:t>.</w:t>
      </w:r>
      <w:r w:rsidR="00A33C8D">
        <w:rPr>
          <w:rStyle w:val="Fett"/>
          <w:b w:val="0"/>
          <w:bCs w:val="0"/>
        </w:rPr>
        <w:t xml:space="preserve"> </w:t>
      </w:r>
    </w:p>
    <w:p w14:paraId="5FF7DC4E" w14:textId="77777777" w:rsidR="00AF59A1" w:rsidRDefault="00AF59A1" w:rsidP="00AF59A1">
      <w:pPr>
        <w:pStyle w:val="berschrift2"/>
      </w:pPr>
      <w:bookmarkStart w:id="11" w:name="_Toc46814658"/>
      <w:r>
        <w:t>Reaktionsverhalten von nicht-protonenhaltigen Säuren mit einer Base</w:t>
      </w:r>
      <w:bookmarkEnd w:id="11"/>
    </w:p>
    <w:p w14:paraId="42CB7833" w14:textId="77777777" w:rsidR="00AF59A1" w:rsidRDefault="00AF59A1" w:rsidP="00AF59A1">
      <w:r>
        <w:t xml:space="preserve">Säuren sind nach der Vorstellung von </w:t>
      </w:r>
      <w:proofErr w:type="spellStart"/>
      <w:r w:rsidR="004F5AF1">
        <w:t>Brønsted</w:t>
      </w:r>
      <w:proofErr w:type="spellEnd"/>
      <w:r>
        <w:t xml:space="preserve"> Protonen-</w:t>
      </w:r>
      <w:proofErr w:type="spellStart"/>
      <w:r>
        <w:t>Donatoren</w:t>
      </w:r>
      <w:proofErr w:type="spellEnd"/>
      <w:r>
        <w:t xml:space="preserve">. Somit lassen sich Säure-Base-Reaktionen von nicht-protonenhaltigen Säuren mit Basen nach </w:t>
      </w:r>
      <w:proofErr w:type="spellStart"/>
      <w:r w:rsidR="004F5AF1">
        <w:t>Brønsted</w:t>
      </w:r>
      <w:proofErr w:type="spellEnd"/>
      <w:r>
        <w:t xml:space="preserve"> nicht mehr erklären. Hier erweitert Lewis das Konzept.</w:t>
      </w:r>
    </w:p>
    <w:p w14:paraId="12CF0A88" w14:textId="77777777" w:rsidR="00AF59A1" w:rsidRDefault="00AF59A1" w:rsidP="00AF59A1">
      <w:r>
        <w:t>Beispiel:</w:t>
      </w:r>
    </w:p>
    <w:p w14:paraId="2BD3BA41" w14:textId="77777777" w:rsidR="00AF59A1" w:rsidRDefault="00AF59A1" w:rsidP="00AF59A1">
      <w:pPr>
        <w:pStyle w:val="Bilder"/>
      </w:pPr>
      <w:r>
        <w:rPr>
          <w:lang w:eastAsia="de-DE"/>
        </w:rPr>
        <w:drawing>
          <wp:inline distT="0" distB="0" distL="0" distR="0" wp14:anchorId="5A01C89B" wp14:editId="1179B628">
            <wp:extent cx="3808730" cy="509270"/>
            <wp:effectExtent l="0" t="0" r="1270" b="508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8730" cy="509270"/>
                    </a:xfrm>
                    <a:prstGeom prst="rect">
                      <a:avLst/>
                    </a:prstGeom>
                    <a:noFill/>
                    <a:ln>
                      <a:noFill/>
                    </a:ln>
                  </pic:spPr>
                </pic:pic>
              </a:graphicData>
            </a:graphic>
          </wp:inline>
        </w:drawing>
      </w:r>
    </w:p>
    <w:p w14:paraId="749D27F3" w14:textId="0340F151" w:rsidR="00AF59A1" w:rsidRDefault="00AF59A1" w:rsidP="00AF59A1">
      <w:pPr>
        <w:pStyle w:val="Beschriftung"/>
      </w:pPr>
      <w:r>
        <w:t xml:space="preserve">Abb. </w:t>
      </w:r>
      <w:r w:rsidR="001E1ED4">
        <w:t>12</w:t>
      </w:r>
      <w:r>
        <w:t xml:space="preserve">: Reaktion von </w:t>
      </w:r>
      <w:proofErr w:type="spellStart"/>
      <w:r>
        <w:t>Bortrifluorid</w:t>
      </w:r>
      <w:proofErr w:type="spellEnd"/>
      <w:r>
        <w:t xml:space="preserve"> und Ammoniak</w:t>
      </w:r>
    </w:p>
    <w:p w14:paraId="4C129B66" w14:textId="77777777" w:rsidR="00AF59A1" w:rsidRDefault="00AF59A1" w:rsidP="00AF59A1">
      <w:r>
        <w:t xml:space="preserve">Ammoniak reagiert mit </w:t>
      </w:r>
      <w:proofErr w:type="spellStart"/>
      <w:r>
        <w:t>Bortrifluorid</w:t>
      </w:r>
      <w:proofErr w:type="spellEnd"/>
      <w:r>
        <w:t>, einer Verbindung mit unvollständigem Elektronenoktett, indem eine Bindung durch das freie Elektronenpaar des Ammoniaks ausgebildet wird.</w:t>
      </w:r>
    </w:p>
    <w:p w14:paraId="00E0774B" w14:textId="77777777" w:rsidR="00AF59A1" w:rsidRDefault="00AF59A1" w:rsidP="00AF59A1">
      <w:pPr>
        <w:pStyle w:val="berschrift2"/>
      </w:pPr>
      <w:bookmarkStart w:id="12" w:name="_Toc46814659"/>
      <w:r>
        <w:t>Grenzen des Lewis-Konzepts</w:t>
      </w:r>
      <w:bookmarkEnd w:id="12"/>
    </w:p>
    <w:p w14:paraId="3E4D268D" w14:textId="77777777" w:rsidR="00AF59A1" w:rsidRDefault="00AF59A1" w:rsidP="00AF59A1">
      <w:r>
        <w:t>Die Grenzen des Lewis-Konzepts werden deutlich, wenn das Experiment aus Einführung 2 erweitert wird.</w:t>
      </w:r>
    </w:p>
    <w:p w14:paraId="30CCD2CE" w14:textId="0C851126" w:rsidR="00AF59A1" w:rsidRPr="00AF59A1" w:rsidRDefault="00AF59A1" w:rsidP="00AF59A1">
      <w:r w:rsidRPr="00AE22D0">
        <w:rPr>
          <w:b/>
          <w:bCs/>
        </w:rPr>
        <w:t xml:space="preserve">Experiment </w:t>
      </w:r>
      <w:r w:rsidR="00AE22D0" w:rsidRPr="00AE22D0">
        <w:rPr>
          <w:b/>
          <w:bCs/>
        </w:rPr>
        <w:t>4</w:t>
      </w:r>
      <w:r w:rsidRPr="00AE22D0">
        <w:rPr>
          <w:b/>
          <w:bCs/>
        </w:rPr>
        <w:t>:</w:t>
      </w:r>
      <w:r w:rsidRPr="00AF59A1">
        <w:t xml:space="preserve"> Bildung des </w:t>
      </w:r>
      <w:proofErr w:type="spellStart"/>
      <w:r w:rsidRPr="00AF59A1">
        <w:t>Hexafluoridoferrat</w:t>
      </w:r>
      <w:proofErr w:type="spellEnd"/>
      <w:r w:rsidRPr="00AF59A1">
        <w:t xml:space="preserve">-(III)-Komplexes </w:t>
      </w:r>
    </w:p>
    <w:p w14:paraId="3CBFF723" w14:textId="77777777" w:rsidR="00AF59A1" w:rsidRPr="00AE22D0" w:rsidRDefault="00AF59A1" w:rsidP="00AF59A1">
      <w:pPr>
        <w:rPr>
          <w:b/>
          <w:bCs/>
        </w:rPr>
      </w:pPr>
      <w:r w:rsidRPr="00AE22D0">
        <w:rPr>
          <w:b/>
          <w:bCs/>
        </w:rPr>
        <w:t xml:space="preserve">Material: </w:t>
      </w:r>
    </w:p>
    <w:p w14:paraId="2B78CC70" w14:textId="77777777" w:rsidR="00AF59A1" w:rsidRDefault="00AF59A1" w:rsidP="00AF59A1">
      <w:pPr>
        <w:pStyle w:val="Liste1Aufzhlung"/>
      </w:pPr>
      <w:r>
        <w:t>vorbereitetes Reagenzglas aus Experiment 1</w:t>
      </w:r>
    </w:p>
    <w:p w14:paraId="5447AC8B" w14:textId="77777777" w:rsidR="00AF59A1" w:rsidRPr="00AE22D0" w:rsidRDefault="00AF59A1" w:rsidP="00AF59A1">
      <w:pPr>
        <w:rPr>
          <w:b/>
          <w:bCs/>
        </w:rPr>
      </w:pPr>
      <w:r w:rsidRPr="00AE22D0">
        <w:rPr>
          <w:b/>
          <w:bCs/>
        </w:rPr>
        <w:t>Chemikalien:</w:t>
      </w:r>
    </w:p>
    <w:p w14:paraId="5CB331C0" w14:textId="77777777" w:rsidR="00AF59A1" w:rsidRDefault="00AF59A1" w:rsidP="00AF59A1">
      <w:pPr>
        <w:pStyle w:val="Liste1Aufzhlung"/>
        <w:rPr>
          <w:rStyle w:val="CASNrZchn"/>
        </w:rPr>
      </w:pPr>
      <w:r w:rsidRPr="004C65D5">
        <w:rPr>
          <w:rStyle w:val="RotZchn"/>
        </w:rPr>
        <w:t>Natriumfluorid</w:t>
      </w:r>
      <w:r>
        <w:br/>
      </w:r>
      <w:r w:rsidRPr="004C65D5">
        <w:rPr>
          <w:rStyle w:val="CASNrZchn"/>
        </w:rPr>
        <w:t>CAS-Nr.: 7681-49-4</w:t>
      </w:r>
      <w:r w:rsidR="004C65D5">
        <w:tab/>
      </w:r>
      <w:r>
        <w:br/>
      </w:r>
      <w:r w:rsidR="004C65D5" w:rsidRPr="004C65D5">
        <w:rPr>
          <w:noProof/>
          <w:lang w:eastAsia="de-DE"/>
        </w:rPr>
        <w:drawing>
          <wp:inline distT="0" distB="0" distL="0" distR="0" wp14:anchorId="054DD9D4" wp14:editId="16AA3D76">
            <wp:extent cx="358140" cy="365760"/>
            <wp:effectExtent l="0" t="0" r="3810" b="0"/>
            <wp:docPr id="1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pic:cNvPicPr>
                      <a:picLocks noChangeAspect="1"/>
                    </pic:cNvPicPr>
                  </pic:nvPicPr>
                  <pic:blipFill>
                    <a:blip r:embed="rId26"/>
                    <a:stretch>
                      <a:fillRect/>
                    </a:stretch>
                  </pic:blipFill>
                  <pic:spPr>
                    <a:xfrm>
                      <a:off x="0" y="0"/>
                      <a:ext cx="358140" cy="365760"/>
                    </a:xfrm>
                    <a:prstGeom prst="rect">
                      <a:avLst/>
                    </a:prstGeom>
                  </pic:spPr>
                </pic:pic>
              </a:graphicData>
            </a:graphic>
          </wp:inline>
        </w:drawing>
      </w:r>
      <w:r w:rsidR="004C65D5">
        <w:t xml:space="preserve"> </w:t>
      </w:r>
      <w:r>
        <w:t>Gefahr</w:t>
      </w:r>
      <w:r w:rsidR="004C65D5">
        <w:tab/>
      </w:r>
      <w:r>
        <w:br/>
      </w:r>
      <w:r w:rsidRPr="004C65D5">
        <w:rPr>
          <w:rStyle w:val="CASNrZchn"/>
        </w:rPr>
        <w:t>H301, H315, H319</w:t>
      </w:r>
      <w:r w:rsidR="004C65D5" w:rsidRPr="004C65D5">
        <w:rPr>
          <w:rStyle w:val="CASNrZchn"/>
        </w:rPr>
        <w:tab/>
      </w:r>
      <w:r w:rsidRPr="004C65D5">
        <w:rPr>
          <w:rStyle w:val="CASNrZchn"/>
        </w:rPr>
        <w:br/>
        <w:t>EUH032</w:t>
      </w:r>
      <w:r w:rsidRPr="004C65D5">
        <w:rPr>
          <w:rStyle w:val="CASNrZchn"/>
        </w:rPr>
        <w:br/>
        <w:t>P302+P352, P308+P310, P</w:t>
      </w:r>
      <w:r w:rsidR="004C65D5" w:rsidRPr="004C65D5">
        <w:rPr>
          <w:rStyle w:val="CASNrZchn"/>
        </w:rPr>
        <w:t>305+P351+P338</w:t>
      </w:r>
    </w:p>
    <w:p w14:paraId="61888A1C" w14:textId="77777777" w:rsidR="004C65D5" w:rsidRDefault="004C65D5" w:rsidP="004C65D5">
      <w:r w:rsidRPr="00AE22D0">
        <w:rPr>
          <w:b/>
          <w:bCs/>
        </w:rPr>
        <w:t>Durchführung:</w:t>
      </w:r>
      <w:r>
        <w:t xml:space="preserve"> Eine Spatelspitze Natriumfluorid wird zur </w:t>
      </w:r>
      <w:proofErr w:type="spellStart"/>
      <w:r>
        <w:t>Eisenthiocyanat</w:t>
      </w:r>
      <w:proofErr w:type="spellEnd"/>
      <w:r>
        <w:t>-Lösung gegeben.</w:t>
      </w:r>
    </w:p>
    <w:p w14:paraId="4E273B93" w14:textId="6CC60062" w:rsidR="004C65D5" w:rsidRDefault="004C65D5" w:rsidP="004C65D5">
      <w:r w:rsidRPr="00AE22D0">
        <w:rPr>
          <w:b/>
          <w:bCs/>
        </w:rPr>
        <w:t>Beobachtung:</w:t>
      </w:r>
      <w:r>
        <w:t xml:space="preserve"> Die Lösung entfärbt sich</w:t>
      </w:r>
      <w:r w:rsidR="003D2DB0">
        <w:t>.</w:t>
      </w:r>
    </w:p>
    <w:p w14:paraId="1CDC92AB" w14:textId="4F99E42F" w:rsidR="0002383C" w:rsidRDefault="0002383C" w:rsidP="0002383C">
      <w:pPr>
        <w:spacing w:before="0"/>
        <w:jc w:val="left"/>
      </w:pPr>
      <w:r>
        <w:br w:type="page"/>
      </w:r>
    </w:p>
    <w:p w14:paraId="7A95C270" w14:textId="6386DF3F" w:rsidR="004C65D5" w:rsidRPr="0002383C" w:rsidRDefault="004C65D5" w:rsidP="0002383C">
      <w:pPr>
        <w:rPr>
          <w:b/>
          <w:bCs/>
        </w:rPr>
      </w:pPr>
      <w:r w:rsidRPr="00AE22D0">
        <w:rPr>
          <w:b/>
          <w:bCs/>
        </w:rPr>
        <w:t>Deutung:</w:t>
      </w:r>
      <w:r w:rsidR="0002383C">
        <w:rPr>
          <w:b/>
          <w:bCs/>
        </w:rPr>
        <w:t xml:space="preserve"> </w:t>
      </w:r>
      <w:proofErr w:type="spellStart"/>
      <m:oMath>
        <m:r>
          <m:rPr>
            <m:nor/>
          </m:rPr>
          <w:rPr>
            <w:szCs w:val="28"/>
          </w:rPr>
          <m:t>Fe</m:t>
        </m:r>
        <w:proofErr w:type="spellEnd"/>
        <m:sSub>
          <m:sSubPr>
            <m:ctrlPr>
              <w:rPr>
                <w:rFonts w:ascii="Cambria Math" w:hAnsi="Cambria Math"/>
                <w:szCs w:val="28"/>
              </w:rPr>
            </m:ctrlPr>
          </m:sSubPr>
          <m:e>
            <m:d>
              <m:dPr>
                <m:ctrlPr>
                  <w:rPr>
                    <w:rFonts w:ascii="Cambria Math" w:hAnsi="Cambria Math"/>
                    <w:szCs w:val="28"/>
                  </w:rPr>
                </m:ctrlPr>
              </m:dPr>
              <m:e>
                <m:r>
                  <m:rPr>
                    <m:nor/>
                  </m:rPr>
                  <w:rPr>
                    <w:szCs w:val="28"/>
                  </w:rPr>
                  <m:t>SCN</m:t>
                </m:r>
              </m:e>
            </m:d>
          </m:e>
          <m:sub>
            <m:r>
              <m:rPr>
                <m:nor/>
              </m:rPr>
              <w:rPr>
                <w:szCs w:val="28"/>
              </w:rPr>
              <m:t>3</m:t>
            </m:r>
          </m:sub>
        </m:sSub>
        <m:r>
          <m:rPr>
            <m:nor/>
          </m:rPr>
          <w:rPr>
            <w:szCs w:val="28"/>
          </w:rPr>
          <m:t xml:space="preserve"> + 6</m:t>
        </m:r>
        <m:r>
          <m:rPr>
            <m:nor/>
          </m:rPr>
          <w:rPr>
            <w:rFonts w:ascii="Cambria Math"/>
            <w:szCs w:val="28"/>
          </w:rPr>
          <m:t xml:space="preserve"> </m:t>
        </m:r>
        <w:proofErr w:type="spellStart"/>
        <m:r>
          <m:rPr>
            <m:nor/>
          </m:rPr>
          <w:rPr>
            <w:szCs w:val="28"/>
          </w:rPr>
          <m:t>NaF</m:t>
        </m:r>
        <w:proofErr w:type="spellEnd"/>
        <m:r>
          <m:rPr>
            <m:nor/>
          </m:rPr>
          <w:rPr>
            <w:szCs w:val="28"/>
          </w:rPr>
          <m:t xml:space="preserve"> </m:t>
        </m:r>
        <m:r>
          <m:rPr>
            <m:nor/>
          </m:rPr>
          <w:rPr>
            <w:rFonts w:ascii="Cambria Math" w:hAnsi="Cambria Math" w:cs="Cambria Math"/>
            <w:szCs w:val="28"/>
          </w:rPr>
          <m:t>⟶</m:t>
        </m:r>
        <m:r>
          <m:rPr>
            <m:sty m:val="p"/>
          </m:rPr>
          <w:rPr>
            <w:rFonts w:ascii="Cambria Math" w:hAnsi="Cambria Math"/>
            <w:szCs w:val="28"/>
          </w:rPr>
          <m:t xml:space="preserve"> </m:t>
        </m:r>
        <m:sSup>
          <m:sSupPr>
            <m:ctrlPr>
              <w:rPr>
                <w:rFonts w:ascii="Cambria Math" w:hAnsi="Cambria Math"/>
                <w:szCs w:val="28"/>
              </w:rPr>
            </m:ctrlPr>
          </m:sSupPr>
          <m:e>
            <m:d>
              <m:dPr>
                <m:begChr m:val="["/>
                <m:endChr m:val="]"/>
                <m:ctrlPr>
                  <w:rPr>
                    <w:rFonts w:ascii="Cambria Math" w:hAnsi="Cambria Math"/>
                    <w:szCs w:val="28"/>
                  </w:rPr>
                </m:ctrlPr>
              </m:dPr>
              <m:e>
                <m:sSub>
                  <m:sSubPr>
                    <m:ctrlPr>
                      <w:rPr>
                        <w:rFonts w:ascii="Cambria Math" w:hAnsi="Cambria Math"/>
                        <w:szCs w:val="28"/>
                      </w:rPr>
                    </m:ctrlPr>
                  </m:sSubPr>
                  <m:e>
                    <m:r>
                      <m:rPr>
                        <m:nor/>
                      </m:rPr>
                      <w:rPr>
                        <w:szCs w:val="28"/>
                      </w:rPr>
                      <m:t>FeF</m:t>
                    </m:r>
                  </m:e>
                  <m:sub>
                    <m:r>
                      <m:rPr>
                        <m:nor/>
                      </m:rPr>
                      <w:rPr>
                        <w:szCs w:val="28"/>
                      </w:rPr>
                      <m:t>6</m:t>
                    </m:r>
                  </m:sub>
                </m:sSub>
              </m:e>
            </m:d>
          </m:e>
          <m:sup>
            <m:r>
              <m:rPr>
                <m:nor/>
              </m:rPr>
              <w:rPr>
                <w:szCs w:val="28"/>
              </w:rPr>
              <m:t>3-</m:t>
            </m:r>
          </m:sup>
        </m:sSup>
        <m:r>
          <m:rPr>
            <m:nor/>
          </m:rPr>
          <w:rPr>
            <w:szCs w:val="28"/>
          </w:rPr>
          <m:t xml:space="preserve"> + 3</m:t>
        </m:r>
        <m:r>
          <m:rPr>
            <m:nor/>
          </m:rPr>
          <w:rPr>
            <w:rFonts w:ascii="Cambria Math"/>
            <w:szCs w:val="28"/>
          </w:rPr>
          <m:t xml:space="preserve"> </m:t>
        </m:r>
        <m:sSup>
          <m:sSupPr>
            <m:ctrlPr>
              <w:rPr>
                <w:rFonts w:ascii="Cambria Math" w:hAnsi="Cambria Math"/>
                <w:szCs w:val="28"/>
              </w:rPr>
            </m:ctrlPr>
          </m:sSupPr>
          <m:e>
            <m:r>
              <m:rPr>
                <m:nor/>
              </m:rPr>
              <w:rPr>
                <w:szCs w:val="28"/>
              </w:rPr>
              <m:t>Na</m:t>
            </m:r>
          </m:e>
          <m:sup>
            <m:r>
              <m:rPr>
                <m:nor/>
              </m:rPr>
              <w:rPr>
                <w:szCs w:val="28"/>
              </w:rPr>
              <m:t>+</m:t>
            </m:r>
          </m:sup>
        </m:sSup>
        <m:r>
          <m:rPr>
            <m:nor/>
          </m:rPr>
          <w:rPr>
            <w:szCs w:val="28"/>
          </w:rPr>
          <m:t xml:space="preserve"> + 3</m:t>
        </m:r>
        <m:r>
          <m:rPr>
            <m:nor/>
          </m:rPr>
          <w:rPr>
            <w:rFonts w:ascii="Cambria Math"/>
            <w:szCs w:val="28"/>
          </w:rPr>
          <m:t xml:space="preserve"> </m:t>
        </m:r>
        <w:proofErr w:type="spellStart"/>
        <m:r>
          <m:rPr>
            <m:nor/>
          </m:rPr>
          <w:rPr>
            <w:szCs w:val="28"/>
          </w:rPr>
          <m:t>NaSCN</m:t>
        </m:r>
      </m:oMath>
      <w:proofErr w:type="spellEnd"/>
    </w:p>
    <w:p w14:paraId="5E512E5C" w14:textId="77777777" w:rsidR="004C65D5" w:rsidRDefault="004C65D5" w:rsidP="004C65D5">
      <w:r>
        <w:t xml:space="preserve">Die Bildung des </w:t>
      </w:r>
      <w:proofErr w:type="spellStart"/>
      <w:r>
        <w:t>Hexafluoridoferrat</w:t>
      </w:r>
      <w:proofErr w:type="spellEnd"/>
      <w:r>
        <w:t xml:space="preserve">(III)-Komplexes kann gut über die Lewis-Theorie erklärt werden. Wieso dieser sich spontan bildet, also stabiler ist als der </w:t>
      </w:r>
      <w:proofErr w:type="spellStart"/>
      <w:r>
        <w:t>Thiocyanat</w:t>
      </w:r>
      <w:proofErr w:type="spellEnd"/>
      <w:r>
        <w:t>-Komplex, kann mit dem Lewis-Konzept allein nicht erklärt werden. Hierfür ist die Erweiterung durch Pearson hilfreich.</w:t>
      </w:r>
    </w:p>
    <w:p w14:paraId="6B6C5A02" w14:textId="77777777" w:rsidR="004C65D5" w:rsidRDefault="004C65D5" w:rsidP="004C65D5">
      <w:pPr>
        <w:pStyle w:val="berschrift1"/>
      </w:pPr>
      <w:bookmarkStart w:id="13" w:name="_Toc46814660"/>
      <w:r>
        <w:t>Konzept nach Pearson</w:t>
      </w:r>
      <w:bookmarkEnd w:id="13"/>
    </w:p>
    <w:p w14:paraId="36C5EFB8" w14:textId="77777777" w:rsidR="004C65D5" w:rsidRDefault="004C65D5" w:rsidP="004C65D5">
      <w:r>
        <w:t xml:space="preserve">Das Konzept nach Pearson lässt eine Voraussage über die Stabilität von Lewis-Säure-Base-Komplexen zu. Hierzu wird sowohl für Säuren als auch für Basen ein Härtebegriff eingeführt. Es wird daher auch HSAB-Konzept (von engl. </w:t>
      </w:r>
      <w:proofErr w:type="spellStart"/>
      <w:r>
        <w:rPr>
          <w:rStyle w:val="Fett"/>
        </w:rPr>
        <w:t>h</w:t>
      </w:r>
      <w:r>
        <w:t>ard</w:t>
      </w:r>
      <w:proofErr w:type="spellEnd"/>
      <w:r>
        <w:t xml:space="preserve"> </w:t>
      </w:r>
      <w:proofErr w:type="spellStart"/>
      <w:r>
        <w:t>and</w:t>
      </w:r>
      <w:proofErr w:type="spellEnd"/>
      <w:r>
        <w:t xml:space="preserve"> </w:t>
      </w:r>
      <w:r>
        <w:rPr>
          <w:rStyle w:val="Fett"/>
        </w:rPr>
        <w:t>s</w:t>
      </w:r>
      <w:r>
        <w:t xml:space="preserve">oft </w:t>
      </w:r>
      <w:proofErr w:type="spellStart"/>
      <w:r>
        <w:rPr>
          <w:rStyle w:val="Fett"/>
        </w:rPr>
        <w:t>a</w:t>
      </w:r>
      <w:r>
        <w:t>cids</w:t>
      </w:r>
      <w:proofErr w:type="spellEnd"/>
      <w:r>
        <w:t xml:space="preserve"> </w:t>
      </w:r>
      <w:proofErr w:type="spellStart"/>
      <w:r>
        <w:t>and</w:t>
      </w:r>
      <w:proofErr w:type="spellEnd"/>
      <w:r>
        <w:t xml:space="preserve"> </w:t>
      </w:r>
      <w:proofErr w:type="spellStart"/>
      <w:r>
        <w:rPr>
          <w:rStyle w:val="Fett"/>
        </w:rPr>
        <w:t>b</w:t>
      </w:r>
      <w:r>
        <w:t>ases</w:t>
      </w:r>
      <w:proofErr w:type="spellEnd"/>
      <w:r>
        <w:t>) genannt.</w:t>
      </w:r>
    </w:p>
    <w:p w14:paraId="04F82C88" w14:textId="13E6EADC" w:rsidR="00AE22D0" w:rsidRDefault="004C65D5" w:rsidP="004C65D5">
      <w:r>
        <w:t>Harte Säuren bzw. Basen sind dabei solche, die schwer polarisierbar sind. Weiche Säuren bzw. Basen sind im Gegensatz dazu leichter polarisierbar. Beispiele sind in untenstehender Tabelle zusammengefasst.</w:t>
      </w:r>
    </w:p>
    <w:p w14:paraId="1CCCB591" w14:textId="77777777" w:rsidR="00AE22D0" w:rsidRDefault="00AE22D0" w:rsidP="004C65D5"/>
    <w:tbl>
      <w:tblPr>
        <w:tblStyle w:val="Tabellenraster"/>
        <w:tblW w:w="4104" w:type="pct"/>
        <w:jc w:val="center"/>
        <w:tblLook w:val="04A0" w:firstRow="1" w:lastRow="0" w:firstColumn="1" w:lastColumn="0" w:noHBand="0" w:noVBand="1"/>
      </w:tblPr>
      <w:tblGrid>
        <w:gridCol w:w="1077"/>
        <w:gridCol w:w="3285"/>
        <w:gridCol w:w="3308"/>
      </w:tblGrid>
      <w:tr w:rsidR="004C65D5" w:rsidRPr="004C65D5" w14:paraId="448F9134" w14:textId="77777777" w:rsidTr="004C65D5">
        <w:trPr>
          <w:jc w:val="center"/>
        </w:trPr>
        <w:tc>
          <w:tcPr>
            <w:tcW w:w="1077" w:type="dxa"/>
            <w:shd w:val="clear" w:color="auto" w:fill="C7C7C7" w:themeFill="background2" w:themeFillShade="E6"/>
            <w:hideMark/>
          </w:tcPr>
          <w:p w14:paraId="6C3B73EF" w14:textId="77777777" w:rsidR="004C65D5" w:rsidRPr="004C65D5" w:rsidRDefault="004C65D5" w:rsidP="00F93935">
            <w:pPr>
              <w:spacing w:before="0"/>
              <w:rPr>
                <w:lang w:eastAsia="de-DE"/>
              </w:rPr>
            </w:pPr>
          </w:p>
        </w:tc>
        <w:tc>
          <w:tcPr>
            <w:tcW w:w="3285" w:type="dxa"/>
            <w:shd w:val="clear" w:color="auto" w:fill="C7C7C7" w:themeFill="background2" w:themeFillShade="E6"/>
            <w:hideMark/>
          </w:tcPr>
          <w:p w14:paraId="3FDB8D16" w14:textId="77777777" w:rsidR="004C65D5" w:rsidRPr="004C65D5" w:rsidRDefault="004C65D5" w:rsidP="00F93935">
            <w:pPr>
              <w:spacing w:before="0"/>
              <w:rPr>
                <w:lang w:eastAsia="de-DE"/>
              </w:rPr>
            </w:pPr>
            <w:r w:rsidRPr="004C65D5">
              <w:rPr>
                <w:b/>
                <w:bCs/>
                <w:lang w:eastAsia="de-DE"/>
              </w:rPr>
              <w:t>hart</w:t>
            </w:r>
          </w:p>
        </w:tc>
        <w:tc>
          <w:tcPr>
            <w:tcW w:w="0" w:type="auto"/>
            <w:shd w:val="clear" w:color="auto" w:fill="C7C7C7" w:themeFill="background2" w:themeFillShade="E6"/>
            <w:hideMark/>
          </w:tcPr>
          <w:p w14:paraId="64C0692B" w14:textId="77777777" w:rsidR="004C65D5" w:rsidRPr="004C65D5" w:rsidRDefault="004C65D5" w:rsidP="00F93935">
            <w:pPr>
              <w:spacing w:before="0"/>
              <w:rPr>
                <w:lang w:eastAsia="de-DE"/>
              </w:rPr>
            </w:pPr>
            <w:r w:rsidRPr="004C65D5">
              <w:rPr>
                <w:b/>
                <w:bCs/>
                <w:lang w:eastAsia="de-DE"/>
              </w:rPr>
              <w:t>weich</w:t>
            </w:r>
          </w:p>
        </w:tc>
      </w:tr>
      <w:tr w:rsidR="004C65D5" w:rsidRPr="004C65D5" w14:paraId="79FE3D48" w14:textId="77777777" w:rsidTr="004C65D5">
        <w:trPr>
          <w:jc w:val="center"/>
        </w:trPr>
        <w:tc>
          <w:tcPr>
            <w:tcW w:w="1077" w:type="dxa"/>
            <w:shd w:val="clear" w:color="auto" w:fill="C7C7C7" w:themeFill="background2" w:themeFillShade="E6"/>
            <w:hideMark/>
          </w:tcPr>
          <w:p w14:paraId="52C25806" w14:textId="77777777" w:rsidR="004C65D5" w:rsidRPr="004C65D5" w:rsidRDefault="004C65D5" w:rsidP="00F93935">
            <w:pPr>
              <w:spacing w:before="0"/>
              <w:rPr>
                <w:lang w:eastAsia="de-DE"/>
              </w:rPr>
            </w:pPr>
            <w:r w:rsidRPr="004C65D5">
              <w:rPr>
                <w:b/>
                <w:bCs/>
                <w:lang w:eastAsia="de-DE"/>
              </w:rPr>
              <w:t>Säure</w:t>
            </w:r>
          </w:p>
        </w:tc>
        <w:tc>
          <w:tcPr>
            <w:tcW w:w="3285" w:type="dxa"/>
            <w:hideMark/>
          </w:tcPr>
          <w:p w14:paraId="04B7B9BF" w14:textId="77777777" w:rsidR="004C65D5" w:rsidRPr="004C65D5" w:rsidRDefault="004C65D5" w:rsidP="00F93935">
            <w:pPr>
              <w:spacing w:before="0"/>
              <w:rPr>
                <w:lang w:eastAsia="de-DE"/>
              </w:rPr>
            </w:pPr>
            <w:r w:rsidRPr="004C65D5">
              <w:rPr>
                <w:lang w:eastAsia="de-DE"/>
              </w:rPr>
              <w:t>H</w:t>
            </w:r>
            <w:r w:rsidRPr="004C65D5">
              <w:rPr>
                <w:vertAlign w:val="superscript"/>
                <w:lang w:eastAsia="de-DE"/>
              </w:rPr>
              <w:t>+</w:t>
            </w:r>
            <w:r w:rsidRPr="004C65D5">
              <w:rPr>
                <w:lang w:eastAsia="de-DE"/>
              </w:rPr>
              <w:t>, Li</w:t>
            </w:r>
            <w:r w:rsidRPr="004C65D5">
              <w:rPr>
                <w:vertAlign w:val="superscript"/>
                <w:lang w:eastAsia="de-DE"/>
              </w:rPr>
              <w:t>+</w:t>
            </w:r>
            <w:r w:rsidRPr="004C65D5">
              <w:rPr>
                <w:lang w:eastAsia="de-DE"/>
              </w:rPr>
              <w:t>, Mg</w:t>
            </w:r>
            <w:r w:rsidRPr="004C65D5">
              <w:rPr>
                <w:vertAlign w:val="superscript"/>
                <w:lang w:eastAsia="de-DE"/>
              </w:rPr>
              <w:t>2+</w:t>
            </w:r>
            <w:r w:rsidRPr="004C65D5">
              <w:rPr>
                <w:lang w:eastAsia="de-DE"/>
              </w:rPr>
              <w:t>, Fe</w:t>
            </w:r>
            <w:r w:rsidRPr="004C65D5">
              <w:rPr>
                <w:vertAlign w:val="superscript"/>
                <w:lang w:eastAsia="de-DE"/>
              </w:rPr>
              <w:t>3+</w:t>
            </w:r>
            <w:r w:rsidRPr="004C65D5">
              <w:rPr>
                <w:lang w:eastAsia="de-DE"/>
              </w:rPr>
              <w:t>, BF</w:t>
            </w:r>
            <w:r w:rsidRPr="004C65D5">
              <w:rPr>
                <w:vertAlign w:val="subscript"/>
                <w:lang w:eastAsia="de-DE"/>
              </w:rPr>
              <w:t>3</w:t>
            </w:r>
          </w:p>
        </w:tc>
        <w:tc>
          <w:tcPr>
            <w:tcW w:w="0" w:type="auto"/>
            <w:hideMark/>
          </w:tcPr>
          <w:p w14:paraId="175D8684" w14:textId="77777777" w:rsidR="004C65D5" w:rsidRPr="004C65D5" w:rsidRDefault="004C65D5" w:rsidP="00F93935">
            <w:pPr>
              <w:spacing w:before="0"/>
              <w:rPr>
                <w:lang w:eastAsia="de-DE"/>
              </w:rPr>
            </w:pPr>
            <w:r w:rsidRPr="004C65D5">
              <w:rPr>
                <w:lang w:eastAsia="de-DE"/>
              </w:rPr>
              <w:t>Pd</w:t>
            </w:r>
            <w:r w:rsidRPr="004C65D5">
              <w:rPr>
                <w:vertAlign w:val="superscript"/>
                <w:lang w:eastAsia="de-DE"/>
              </w:rPr>
              <w:t>2+</w:t>
            </w:r>
            <w:r w:rsidRPr="004C65D5">
              <w:rPr>
                <w:lang w:eastAsia="de-DE"/>
              </w:rPr>
              <w:t>, Pt</w:t>
            </w:r>
            <w:r w:rsidRPr="004C65D5">
              <w:rPr>
                <w:vertAlign w:val="superscript"/>
                <w:lang w:eastAsia="de-DE"/>
              </w:rPr>
              <w:t>2+</w:t>
            </w:r>
            <w:r w:rsidRPr="004C65D5">
              <w:rPr>
                <w:lang w:eastAsia="de-DE"/>
              </w:rPr>
              <w:t xml:space="preserve">, </w:t>
            </w:r>
            <w:proofErr w:type="spellStart"/>
            <w:r w:rsidRPr="004C65D5">
              <w:rPr>
                <w:lang w:eastAsia="de-DE"/>
              </w:rPr>
              <w:t>Cu</w:t>
            </w:r>
            <w:proofErr w:type="spellEnd"/>
            <w:r w:rsidRPr="004C65D5">
              <w:rPr>
                <w:vertAlign w:val="superscript"/>
                <w:lang w:eastAsia="de-DE"/>
              </w:rPr>
              <w:t>+</w:t>
            </w:r>
            <w:r w:rsidRPr="004C65D5">
              <w:rPr>
                <w:lang w:eastAsia="de-DE"/>
              </w:rPr>
              <w:t>, Au</w:t>
            </w:r>
            <w:r w:rsidRPr="004C65D5">
              <w:rPr>
                <w:vertAlign w:val="superscript"/>
                <w:lang w:eastAsia="de-DE"/>
              </w:rPr>
              <w:t>+</w:t>
            </w:r>
            <w:r w:rsidRPr="004C65D5">
              <w:rPr>
                <w:lang w:eastAsia="de-DE"/>
              </w:rPr>
              <w:t xml:space="preserve">, </w:t>
            </w:r>
            <w:proofErr w:type="spellStart"/>
            <w:r w:rsidRPr="004C65D5">
              <w:rPr>
                <w:lang w:eastAsia="de-DE"/>
              </w:rPr>
              <w:t>Hg</w:t>
            </w:r>
            <w:proofErr w:type="spellEnd"/>
            <w:r w:rsidRPr="004C65D5">
              <w:rPr>
                <w:vertAlign w:val="superscript"/>
                <w:lang w:eastAsia="de-DE"/>
              </w:rPr>
              <w:t>+</w:t>
            </w:r>
            <w:r w:rsidRPr="004C65D5">
              <w:rPr>
                <w:lang w:eastAsia="de-DE"/>
              </w:rPr>
              <w:t>, BH</w:t>
            </w:r>
            <w:r w:rsidRPr="004C65D5">
              <w:rPr>
                <w:vertAlign w:val="subscript"/>
                <w:lang w:eastAsia="de-DE"/>
              </w:rPr>
              <w:t>3</w:t>
            </w:r>
            <w:r w:rsidRPr="004C65D5">
              <w:rPr>
                <w:lang w:eastAsia="de-DE"/>
              </w:rPr>
              <w:t xml:space="preserve"> </w:t>
            </w:r>
          </w:p>
        </w:tc>
      </w:tr>
      <w:tr w:rsidR="004C65D5" w:rsidRPr="004C65D5" w14:paraId="7B04BE53" w14:textId="77777777" w:rsidTr="004C65D5">
        <w:trPr>
          <w:jc w:val="center"/>
        </w:trPr>
        <w:tc>
          <w:tcPr>
            <w:tcW w:w="1077" w:type="dxa"/>
            <w:shd w:val="clear" w:color="auto" w:fill="C7C7C7" w:themeFill="background2" w:themeFillShade="E6"/>
            <w:hideMark/>
          </w:tcPr>
          <w:p w14:paraId="2981F05D" w14:textId="77777777" w:rsidR="004C65D5" w:rsidRPr="004C65D5" w:rsidRDefault="004C65D5" w:rsidP="00F93935">
            <w:pPr>
              <w:spacing w:before="0"/>
              <w:rPr>
                <w:lang w:eastAsia="de-DE"/>
              </w:rPr>
            </w:pPr>
            <w:r w:rsidRPr="004C65D5">
              <w:rPr>
                <w:b/>
                <w:bCs/>
                <w:lang w:eastAsia="de-DE"/>
              </w:rPr>
              <w:t>Base</w:t>
            </w:r>
          </w:p>
        </w:tc>
        <w:tc>
          <w:tcPr>
            <w:tcW w:w="3285" w:type="dxa"/>
            <w:hideMark/>
          </w:tcPr>
          <w:p w14:paraId="78EEE757" w14:textId="77777777" w:rsidR="004C65D5" w:rsidRPr="004C65D5" w:rsidRDefault="004C65D5" w:rsidP="00F93935">
            <w:pPr>
              <w:spacing w:before="0"/>
              <w:rPr>
                <w:lang w:eastAsia="de-DE"/>
              </w:rPr>
            </w:pPr>
            <w:r w:rsidRPr="004C65D5">
              <w:rPr>
                <w:lang w:eastAsia="de-DE"/>
              </w:rPr>
              <w:t>F</w:t>
            </w:r>
            <w:r w:rsidRPr="004C65D5">
              <w:rPr>
                <w:vertAlign w:val="superscript"/>
                <w:lang w:eastAsia="de-DE"/>
              </w:rPr>
              <w:t>-</w:t>
            </w:r>
            <w:r w:rsidRPr="004C65D5">
              <w:rPr>
                <w:lang w:eastAsia="de-DE"/>
              </w:rPr>
              <w:t>, HO</w:t>
            </w:r>
            <w:r w:rsidRPr="004C65D5">
              <w:rPr>
                <w:vertAlign w:val="superscript"/>
                <w:lang w:eastAsia="de-DE"/>
              </w:rPr>
              <w:t>-</w:t>
            </w:r>
            <w:r w:rsidRPr="004C65D5">
              <w:rPr>
                <w:lang w:eastAsia="de-DE"/>
              </w:rPr>
              <w:t>, O</w:t>
            </w:r>
            <w:r w:rsidRPr="004C65D5">
              <w:rPr>
                <w:vertAlign w:val="superscript"/>
                <w:lang w:eastAsia="de-DE"/>
              </w:rPr>
              <w:t>2-</w:t>
            </w:r>
            <w:r w:rsidRPr="004C65D5">
              <w:rPr>
                <w:lang w:eastAsia="de-DE"/>
              </w:rPr>
              <w:t>, Cl</w:t>
            </w:r>
            <w:r w:rsidRPr="004C65D5">
              <w:rPr>
                <w:vertAlign w:val="superscript"/>
                <w:lang w:eastAsia="de-DE"/>
              </w:rPr>
              <w:t>-</w:t>
            </w:r>
            <w:r w:rsidRPr="004C65D5">
              <w:rPr>
                <w:lang w:eastAsia="de-DE"/>
              </w:rPr>
              <w:t>, NH</w:t>
            </w:r>
            <w:r w:rsidRPr="004C65D5">
              <w:rPr>
                <w:vertAlign w:val="subscript"/>
                <w:lang w:eastAsia="de-DE"/>
              </w:rPr>
              <w:t>3</w:t>
            </w:r>
            <w:r w:rsidRPr="004C65D5">
              <w:rPr>
                <w:lang w:eastAsia="de-DE"/>
              </w:rPr>
              <w:t xml:space="preserve"> </w:t>
            </w:r>
          </w:p>
        </w:tc>
        <w:tc>
          <w:tcPr>
            <w:tcW w:w="0" w:type="auto"/>
            <w:hideMark/>
          </w:tcPr>
          <w:p w14:paraId="002DE05B" w14:textId="77777777" w:rsidR="004C65D5" w:rsidRPr="004C65D5" w:rsidRDefault="004C65D5" w:rsidP="00AE22D0">
            <w:pPr>
              <w:keepNext/>
              <w:spacing w:before="0"/>
              <w:rPr>
                <w:lang w:eastAsia="de-DE"/>
              </w:rPr>
            </w:pPr>
            <w:r w:rsidRPr="004C65D5">
              <w:rPr>
                <w:lang w:eastAsia="de-DE"/>
              </w:rPr>
              <w:t>SCN</w:t>
            </w:r>
            <w:r w:rsidRPr="004C65D5">
              <w:rPr>
                <w:vertAlign w:val="superscript"/>
                <w:lang w:eastAsia="de-DE"/>
              </w:rPr>
              <w:t>-</w:t>
            </w:r>
            <w:r w:rsidRPr="004C65D5">
              <w:rPr>
                <w:lang w:eastAsia="de-DE"/>
              </w:rPr>
              <w:t>, H</w:t>
            </w:r>
            <w:r w:rsidRPr="004C65D5">
              <w:rPr>
                <w:vertAlign w:val="superscript"/>
                <w:lang w:eastAsia="de-DE"/>
              </w:rPr>
              <w:t>-</w:t>
            </w:r>
            <w:r w:rsidRPr="004C65D5">
              <w:rPr>
                <w:lang w:eastAsia="de-DE"/>
              </w:rPr>
              <w:t>, I</w:t>
            </w:r>
            <w:r w:rsidRPr="004C65D5">
              <w:rPr>
                <w:vertAlign w:val="superscript"/>
                <w:lang w:eastAsia="de-DE"/>
              </w:rPr>
              <w:t>-</w:t>
            </w:r>
            <w:r w:rsidRPr="004C65D5">
              <w:rPr>
                <w:lang w:eastAsia="de-DE"/>
              </w:rPr>
              <w:t>, CN</w:t>
            </w:r>
            <w:r w:rsidRPr="004C65D5">
              <w:rPr>
                <w:vertAlign w:val="superscript"/>
                <w:lang w:eastAsia="de-DE"/>
              </w:rPr>
              <w:t>-</w:t>
            </w:r>
            <w:r w:rsidRPr="004C65D5">
              <w:rPr>
                <w:lang w:eastAsia="de-DE"/>
              </w:rPr>
              <w:t xml:space="preserve">, CO </w:t>
            </w:r>
          </w:p>
        </w:tc>
      </w:tr>
    </w:tbl>
    <w:p w14:paraId="740B75DD" w14:textId="067849CF" w:rsidR="00AE22D0" w:rsidRDefault="00AE22D0">
      <w:pPr>
        <w:pStyle w:val="Beschriftung"/>
      </w:pPr>
      <w:r>
        <w:t xml:space="preserve">Tabelle </w:t>
      </w:r>
      <w:r w:rsidR="00180E97">
        <w:fldChar w:fldCharType="begin"/>
      </w:r>
      <w:r w:rsidR="00180E97">
        <w:instrText xml:space="preserve"> SEQ Tabelle \* ARABIC </w:instrText>
      </w:r>
      <w:r w:rsidR="00180E97">
        <w:fldChar w:fldCharType="separate"/>
      </w:r>
      <w:r w:rsidR="00180E97">
        <w:rPr>
          <w:noProof/>
        </w:rPr>
        <w:t>1</w:t>
      </w:r>
      <w:r w:rsidR="00180E97">
        <w:rPr>
          <w:noProof/>
        </w:rPr>
        <w:fldChar w:fldCharType="end"/>
      </w:r>
      <w:r>
        <w:t>: Beispiele für das Konzept nach Pearson</w:t>
      </w:r>
    </w:p>
    <w:p w14:paraId="000669FF" w14:textId="0AC4A19B" w:rsidR="004C65D5" w:rsidRDefault="004C65D5" w:rsidP="004C65D5">
      <w:r>
        <w:t>Stabile Lewis-Komplexe entstehen nach Pearson entweder aus harten Säuren mit harten Basen (bspw. [FeF</w:t>
      </w:r>
      <w:r>
        <w:rPr>
          <w:vertAlign w:val="subscript"/>
        </w:rPr>
        <w:t>6</w:t>
      </w:r>
      <w:r>
        <w:t>]</w:t>
      </w:r>
      <w:r>
        <w:rPr>
          <w:vertAlign w:val="superscript"/>
        </w:rPr>
        <w:t>3-</w:t>
      </w:r>
      <w:r>
        <w:t xml:space="preserve">) oder weichen Säuren mit weichen Basen. Gemischte </w:t>
      </w:r>
      <w:proofErr w:type="spellStart"/>
      <w:r>
        <w:t>Addukte</w:t>
      </w:r>
      <w:proofErr w:type="spellEnd"/>
      <w:r>
        <w:t xml:space="preserve"> (harte Säure mit weicher Base</w:t>
      </w:r>
      <w:r w:rsidR="003D2DB0">
        <w:t>, z.B.</w:t>
      </w:r>
      <w:r>
        <w:t xml:space="preserve"> </w:t>
      </w:r>
      <w:proofErr w:type="spellStart"/>
      <w:r>
        <w:t>Fe</w:t>
      </w:r>
      <w:proofErr w:type="spellEnd"/>
      <w:r>
        <w:t>(SCN)</w:t>
      </w:r>
      <w:r>
        <w:rPr>
          <w:vertAlign w:val="subscript"/>
        </w:rPr>
        <w:t>3</w:t>
      </w:r>
      <w:r>
        <w:t xml:space="preserve"> bzw. weiche Säure mit harter Base) sind hingegen instabiler.</w:t>
      </w:r>
    </w:p>
    <w:p w14:paraId="111D1675" w14:textId="77777777" w:rsidR="004C65D5" w:rsidRPr="004C65D5" w:rsidRDefault="004C65D5" w:rsidP="004C65D5">
      <w:pPr>
        <w:pStyle w:val="Zusammenfassung"/>
        <w:rPr>
          <w:rStyle w:val="Fett"/>
        </w:rPr>
      </w:pPr>
      <w:r w:rsidRPr="004C65D5">
        <w:rPr>
          <w:rStyle w:val="Fett"/>
        </w:rPr>
        <w:t>Zusammenfassung</w:t>
      </w:r>
    </w:p>
    <w:p w14:paraId="23F35089" w14:textId="46C0231A" w:rsidR="004C65D5" w:rsidRPr="004C65D5" w:rsidRDefault="004F5AF1" w:rsidP="004C65D5">
      <w:pPr>
        <w:pStyle w:val="Zusammenfassung"/>
        <w:numPr>
          <w:ilvl w:val="2"/>
          <w:numId w:val="15"/>
        </w:numPr>
      </w:pPr>
      <w:proofErr w:type="spellStart"/>
      <w:r w:rsidRPr="004C65D5">
        <w:t>Brønsted</w:t>
      </w:r>
      <w:proofErr w:type="spellEnd"/>
      <w:r w:rsidR="004C65D5" w:rsidRPr="004C65D5">
        <w:t>-Säuren sind</w:t>
      </w:r>
      <w:r w:rsidR="00AE22D0">
        <w:t xml:space="preserve"> Teilchen</w:t>
      </w:r>
      <w:r w:rsidR="004C65D5" w:rsidRPr="004C65D5">
        <w:t xml:space="preserve">, die Protonen abgeben können. Sie sind </w:t>
      </w:r>
      <w:proofErr w:type="spellStart"/>
      <w:r w:rsidR="004C65D5" w:rsidRPr="004C65D5">
        <w:t>Protonendonatoren</w:t>
      </w:r>
      <w:proofErr w:type="spellEnd"/>
      <w:r w:rsidR="004C65D5" w:rsidRPr="004C65D5">
        <w:t>.</w:t>
      </w:r>
      <w:r w:rsidR="004C65D5" w:rsidRPr="004C65D5">
        <w:br/>
      </w:r>
      <w:proofErr w:type="spellStart"/>
      <w:r w:rsidRPr="004C65D5">
        <w:t>Brønsted</w:t>
      </w:r>
      <w:proofErr w:type="spellEnd"/>
      <w:r w:rsidR="004C65D5" w:rsidRPr="004C65D5">
        <w:t xml:space="preserve">-Basen sind </w:t>
      </w:r>
      <w:r w:rsidR="00AE22D0">
        <w:t>Teilchen</w:t>
      </w:r>
      <w:r w:rsidR="004C65D5" w:rsidRPr="004C65D5">
        <w:t xml:space="preserve">, die Protonen aufnehmen können und werden als Protonenakzeptoren bezeichnet. </w:t>
      </w:r>
    </w:p>
    <w:p w14:paraId="48656A95" w14:textId="39BBCECB" w:rsidR="004C65D5" w:rsidRPr="004C65D5" w:rsidRDefault="004C65D5" w:rsidP="004C65D5">
      <w:pPr>
        <w:pStyle w:val="Zusammenfassung"/>
        <w:numPr>
          <w:ilvl w:val="2"/>
          <w:numId w:val="15"/>
        </w:numPr>
      </w:pPr>
      <w:r w:rsidRPr="004C65D5">
        <w:t xml:space="preserve">Das Konzept nach </w:t>
      </w:r>
      <w:proofErr w:type="spellStart"/>
      <w:r w:rsidR="004F5AF1" w:rsidRPr="004C65D5">
        <w:t>Brønsted</w:t>
      </w:r>
      <w:proofErr w:type="spellEnd"/>
      <w:r w:rsidRPr="004C65D5">
        <w:t xml:space="preserve"> bezieht sich auf </w:t>
      </w:r>
      <w:r w:rsidR="003D2DB0">
        <w:t xml:space="preserve">Teilchenebene auf </w:t>
      </w:r>
      <w:r w:rsidRPr="004C65D5">
        <w:t>Säure-Base-Reaktionen,</w:t>
      </w:r>
      <w:r w:rsidR="00B2740E">
        <w:t xml:space="preserve"> </w:t>
      </w:r>
      <w:r w:rsidRPr="004C65D5">
        <w:t>bei de</w:t>
      </w:r>
      <w:r w:rsidR="00B2740E">
        <w:t>nen</w:t>
      </w:r>
      <w:r w:rsidRPr="004C65D5">
        <w:t xml:space="preserve"> durch Protonenübergang zwei konjugierte Säure-Base-Paare </w:t>
      </w:r>
      <w:r w:rsidR="00B2740E">
        <w:t>ge</w:t>
      </w:r>
      <w:r w:rsidRPr="004C65D5">
        <w:t>bild</w:t>
      </w:r>
      <w:r w:rsidR="00B2740E">
        <w:t>et werden</w:t>
      </w:r>
      <w:r w:rsidRPr="004C65D5">
        <w:t>.</w:t>
      </w:r>
    </w:p>
    <w:p w14:paraId="75B6C372" w14:textId="60DB5D1B" w:rsidR="004C65D5" w:rsidRPr="004C65D5" w:rsidRDefault="004C65D5" w:rsidP="004C65D5">
      <w:pPr>
        <w:pStyle w:val="Zusammenfassung"/>
        <w:numPr>
          <w:ilvl w:val="2"/>
          <w:numId w:val="15"/>
        </w:numPr>
      </w:pPr>
      <w:r w:rsidRPr="004C65D5">
        <w:t xml:space="preserve">Reaktionen von nicht-protonenhaltigen Verbindungen mit einer Base können nach dem Konzept von </w:t>
      </w:r>
      <w:proofErr w:type="spellStart"/>
      <w:r w:rsidR="004F5AF1" w:rsidRPr="004C65D5">
        <w:t>Brønsted</w:t>
      </w:r>
      <w:proofErr w:type="spellEnd"/>
      <w:r w:rsidRPr="004C65D5">
        <w:t xml:space="preserve"> nicht erklärt werden</w:t>
      </w:r>
      <w:r w:rsidR="003D2DB0">
        <w:t xml:space="preserve"> - dafür müsste das</w:t>
      </w:r>
      <w:r w:rsidRPr="004C65D5">
        <w:t xml:space="preserve"> Konzept nach Lewis erweitert</w:t>
      </w:r>
      <w:r w:rsidR="003D2DB0">
        <w:t xml:space="preserve"> werden</w:t>
      </w:r>
      <w:r w:rsidRPr="004C65D5">
        <w:t xml:space="preserve">. </w:t>
      </w:r>
    </w:p>
    <w:p w14:paraId="7F74ED23" w14:textId="2CD12B44" w:rsidR="004C65D5" w:rsidRPr="004C65D5" w:rsidRDefault="004C65D5" w:rsidP="004C65D5">
      <w:pPr>
        <w:pStyle w:val="Zusammenfassung"/>
        <w:numPr>
          <w:ilvl w:val="2"/>
          <w:numId w:val="15"/>
        </w:numPr>
      </w:pPr>
      <w:r w:rsidRPr="004C65D5">
        <w:t xml:space="preserve">Lewis-Säuren sind Elektronenpaar-Akzeptoren, die durch ihren Elektronenmangel als </w:t>
      </w:r>
      <w:proofErr w:type="spellStart"/>
      <w:r w:rsidRPr="004C65D5">
        <w:t>elektrophile</w:t>
      </w:r>
      <w:proofErr w:type="spellEnd"/>
      <w:r w:rsidRPr="004C65D5">
        <w:t xml:space="preserve"> Teilchen gesehen werden können</w:t>
      </w:r>
      <w:r w:rsidR="003D2DB0">
        <w:t xml:space="preserve"> (also auch Teilchen-Ebene)</w:t>
      </w:r>
      <w:r w:rsidRPr="004C65D5">
        <w:t>. Lewis-Basen hingegen sind Elektronenpaar-</w:t>
      </w:r>
      <w:proofErr w:type="spellStart"/>
      <w:r w:rsidRPr="004C65D5">
        <w:t>Donatoren</w:t>
      </w:r>
      <w:proofErr w:type="spellEnd"/>
      <w:r w:rsidRPr="004C65D5">
        <w:t>, die mind</w:t>
      </w:r>
      <w:r w:rsidR="003D2DB0">
        <w:t>estens</w:t>
      </w:r>
      <w:r w:rsidRPr="004C65D5">
        <w:t xml:space="preserve"> ein freies Elektronenpaar besitzen und dieses für eine Bindung zur Verfügung stellen können. Sie sind </w:t>
      </w:r>
      <w:proofErr w:type="spellStart"/>
      <w:r w:rsidRPr="004C65D5">
        <w:t>nucleophile</w:t>
      </w:r>
      <w:proofErr w:type="spellEnd"/>
      <w:r w:rsidRPr="004C65D5">
        <w:t xml:space="preserve"> Teilchen. </w:t>
      </w:r>
    </w:p>
    <w:p w14:paraId="43BA5A51" w14:textId="77777777" w:rsidR="004C65D5" w:rsidRPr="004C65D5" w:rsidRDefault="004C65D5" w:rsidP="004C65D5">
      <w:pPr>
        <w:pStyle w:val="Zusammenfassung"/>
        <w:numPr>
          <w:ilvl w:val="2"/>
          <w:numId w:val="15"/>
        </w:numPr>
      </w:pPr>
      <w:r w:rsidRPr="004C65D5">
        <w:t>Bei der Reaktion einer Lewis-Säure mit einer Lewis-Base entsteht eine Koordinationsverbindung (Lewis-Säure-Base-Komplex).</w:t>
      </w:r>
    </w:p>
    <w:p w14:paraId="5F279FFA" w14:textId="78FDAAB1" w:rsidR="004C65D5" w:rsidRPr="004C65D5" w:rsidRDefault="004C65D5" w:rsidP="004C65D5">
      <w:pPr>
        <w:pStyle w:val="Zusammenfassung"/>
        <w:numPr>
          <w:ilvl w:val="2"/>
          <w:numId w:val="15"/>
        </w:numPr>
      </w:pPr>
      <w:r w:rsidRPr="004C65D5">
        <w:t>Die Stabilität solcher Koordinationsverbindungen kann mit dem Lewis-Konzept nicht bewertet werden</w:t>
      </w:r>
      <w:r w:rsidR="003D2DB0">
        <w:t xml:space="preserve"> - h</w:t>
      </w:r>
      <w:r w:rsidRPr="004C65D5">
        <w:t xml:space="preserve">ierfür ist die Erweiterung zum Pearson-Konzept (HSAB-Konzept) </w:t>
      </w:r>
      <w:r w:rsidR="003D2DB0">
        <w:t>erforderlich</w:t>
      </w:r>
      <w:r w:rsidRPr="004C65D5">
        <w:t>.</w:t>
      </w:r>
    </w:p>
    <w:p w14:paraId="744B1F5F" w14:textId="77777777" w:rsidR="003D2DB0" w:rsidRDefault="003D2DB0">
      <w:pPr>
        <w:spacing w:before="0"/>
        <w:jc w:val="left"/>
        <w:rPr>
          <w:rStyle w:val="Fett"/>
          <w:i/>
        </w:rPr>
      </w:pPr>
      <w:r>
        <w:rPr>
          <w:rStyle w:val="Fett"/>
        </w:rPr>
        <w:br w:type="page"/>
      </w:r>
    </w:p>
    <w:p w14:paraId="0E312FC3" w14:textId="3CFA95A1" w:rsidR="004C65D5" w:rsidRDefault="004C65D5" w:rsidP="004C65D5">
      <w:pPr>
        <w:pStyle w:val="EinstiegAbschluss"/>
      </w:pPr>
      <w:r>
        <w:rPr>
          <w:rStyle w:val="Fett"/>
        </w:rPr>
        <w:t>Abschluss 2:</w:t>
      </w:r>
      <w:r>
        <w:t xml:space="preserve"> Mit dem Vergleich der Säure-Base-Konzepte wird deutlich, dass eine Reduzierung auf ein Konzept zwar zur Erklärung eines speziellen Sachverhalts sinnvoll sein kann, jedoch kein einzelnes Konzept die Reichweite besitzt, das breite Spektrum chemischer Reaktionen in Gänze zu erklären. Daher ist es wichtig, die verschiedenen Konzepte mit ihren Stärken und Schwächen zu vermitteln und ihre Verknüpfung deutlich zu machen.</w:t>
      </w:r>
    </w:p>
    <w:p w14:paraId="1001FB93" w14:textId="0623B2AA" w:rsidR="00CB66C2" w:rsidRPr="004C65D5" w:rsidRDefault="00CB66C2" w:rsidP="00D155AE">
      <w:pPr>
        <w:pStyle w:val="EinstiegAbschluss"/>
      </w:pPr>
      <w:r>
        <w:rPr>
          <w:rStyle w:val="Fett"/>
        </w:rPr>
        <w:t>Abschluss 3:</w:t>
      </w:r>
      <w:r>
        <w:t xml:space="preserve"> </w:t>
      </w:r>
      <w:r w:rsidR="00D155AE" w:rsidRPr="00D155AE">
        <w:t>Die beiden Konzepte sind nicht konkurrierend, sondern ergänzen sich gegenseitig</w:t>
      </w:r>
      <w:r w:rsidR="003D2DB0">
        <w:t>.</w:t>
      </w:r>
      <w:r w:rsidR="00D155AE" w:rsidRPr="00D155AE">
        <w:t xml:space="preserve"> Wir müssen also </w:t>
      </w:r>
      <w:r w:rsidR="00D155AE">
        <w:t xml:space="preserve">doch </w:t>
      </w:r>
      <w:r w:rsidR="00D155AE" w:rsidRPr="00D155AE">
        <w:t xml:space="preserve">beide Konzepte </w:t>
      </w:r>
      <w:r w:rsidR="00D155AE">
        <w:t xml:space="preserve">für das Examen </w:t>
      </w:r>
      <w:r w:rsidR="003D2DB0">
        <w:t>lernen.</w:t>
      </w:r>
      <w:r w:rsidR="00D155AE" w:rsidRPr="00D155AE">
        <w:t xml:space="preserve"> Wenn ihr dachtet, dass es bei Lewis endet, habt ihr falsch gedacht. Denn auch das Lewis-Konzept muss erweitert werden. Anders als bei </w:t>
      </w:r>
      <w:proofErr w:type="spellStart"/>
      <w:r w:rsidR="00D155AE" w:rsidRPr="00D155AE">
        <w:t>Brønsted</w:t>
      </w:r>
      <w:proofErr w:type="spellEnd"/>
      <w:r w:rsidR="00D155AE" w:rsidRPr="00D155AE">
        <w:t xml:space="preserve">, bei dem der </w:t>
      </w:r>
      <w:proofErr w:type="spellStart"/>
      <w:r w:rsidR="00D155AE" w:rsidRPr="00D155AE">
        <w:t>pK</w:t>
      </w:r>
      <w:r w:rsidR="00D155AE" w:rsidRPr="003D2DB0">
        <w:rPr>
          <w:vertAlign w:val="subscript"/>
        </w:rPr>
        <w:t>S</w:t>
      </w:r>
      <w:proofErr w:type="spellEnd"/>
      <w:r w:rsidR="00D155AE" w:rsidRPr="00D155AE">
        <w:t xml:space="preserve">-Wert allein die Säurestärke charakterisiert, können Lewis-Säuren nicht nur durch ihre </w:t>
      </w:r>
      <w:proofErr w:type="spellStart"/>
      <w:r w:rsidR="00D155AE" w:rsidRPr="00D155AE">
        <w:t>Elektrophilie</w:t>
      </w:r>
      <w:proofErr w:type="spellEnd"/>
      <w:r w:rsidR="00D155AE" w:rsidRPr="00D155AE">
        <w:t xml:space="preserve"> in schwach und stark eingeordnet werden, sondern benötigen zusätzlich die Klassifizierung in hart und weich nach dem Konzept von Pearson. Also noch ein Konzept mehr, das wir fürs Staatsexamen </w:t>
      </w:r>
      <w:r w:rsidR="003D2DB0">
        <w:t>beherrschen</w:t>
      </w:r>
      <w:r w:rsidR="00D155AE" w:rsidRPr="00D155AE">
        <w:t xml:space="preserve"> müssen!</w:t>
      </w:r>
    </w:p>
    <w:p w14:paraId="371CDE91" w14:textId="77777777" w:rsidR="00F93935" w:rsidRDefault="00F93935" w:rsidP="00931B30">
      <w:pPr>
        <w:rPr>
          <w:b/>
          <w:bCs/>
        </w:rPr>
      </w:pPr>
    </w:p>
    <w:p w14:paraId="699321F0" w14:textId="77777777" w:rsidR="00931B30" w:rsidRPr="000E61E0" w:rsidRDefault="00931B30" w:rsidP="00931B30">
      <w:pPr>
        <w:rPr>
          <w:b/>
          <w:bCs/>
        </w:rPr>
      </w:pPr>
      <w:r w:rsidRPr="000E61E0">
        <w:rPr>
          <w:b/>
          <w:bCs/>
        </w:rPr>
        <w:t>Quellen:</w:t>
      </w:r>
    </w:p>
    <w:p w14:paraId="4C89D60B" w14:textId="77777777" w:rsidR="00A350F8" w:rsidRPr="00A350F8" w:rsidRDefault="00A350F8" w:rsidP="00A350F8">
      <w:pPr>
        <w:pStyle w:val="AufzhlungStandard"/>
        <w:rPr>
          <w:lang w:eastAsia="de-DE"/>
        </w:rPr>
      </w:pPr>
      <w:proofErr w:type="spellStart"/>
      <w:r w:rsidRPr="00A350F8">
        <w:rPr>
          <w:lang w:eastAsia="de-DE"/>
        </w:rPr>
        <w:t>Holleman</w:t>
      </w:r>
      <w:proofErr w:type="spellEnd"/>
      <w:r w:rsidRPr="00A350F8">
        <w:rPr>
          <w:lang w:eastAsia="de-DE"/>
        </w:rPr>
        <w:t xml:space="preserve">, A. F., Wiberg, N., Lehrbuch der anorganischen Chemie, 102. Auflage, Walter de </w:t>
      </w:r>
      <w:proofErr w:type="spellStart"/>
      <w:r w:rsidRPr="00A350F8">
        <w:rPr>
          <w:lang w:eastAsia="de-DE"/>
        </w:rPr>
        <w:t>Gruyter</w:t>
      </w:r>
      <w:proofErr w:type="spellEnd"/>
      <w:r w:rsidRPr="00A350F8">
        <w:rPr>
          <w:lang w:eastAsia="de-DE"/>
        </w:rPr>
        <w:t>, Berlin 2007.</w:t>
      </w:r>
    </w:p>
    <w:p w14:paraId="5EE54660" w14:textId="77777777" w:rsidR="00A350F8" w:rsidRPr="00A350F8" w:rsidRDefault="00A350F8" w:rsidP="00A350F8">
      <w:pPr>
        <w:pStyle w:val="AufzhlungStandard"/>
        <w:rPr>
          <w:lang w:eastAsia="de-DE"/>
        </w:rPr>
      </w:pPr>
      <w:r w:rsidRPr="00A350F8">
        <w:rPr>
          <w:lang w:eastAsia="de-DE"/>
        </w:rPr>
        <w:t xml:space="preserve">Christen, H. R., Meyer, G., Lehrbuch der allgemeinen und anorganischen Chemie, 9. Auflage, Otto </w:t>
      </w:r>
      <w:proofErr w:type="spellStart"/>
      <w:r w:rsidRPr="00A350F8">
        <w:rPr>
          <w:lang w:eastAsia="de-DE"/>
        </w:rPr>
        <w:t>Salle</w:t>
      </w:r>
      <w:proofErr w:type="spellEnd"/>
      <w:r w:rsidRPr="00A350F8">
        <w:rPr>
          <w:lang w:eastAsia="de-DE"/>
        </w:rPr>
        <w:t xml:space="preserve"> Verlag, </w:t>
      </w:r>
      <w:proofErr w:type="spellStart"/>
      <w:r w:rsidRPr="00A350F8">
        <w:rPr>
          <w:lang w:eastAsia="de-DE"/>
        </w:rPr>
        <w:t>Salle</w:t>
      </w:r>
      <w:proofErr w:type="spellEnd"/>
      <w:r w:rsidRPr="00A350F8">
        <w:rPr>
          <w:lang w:eastAsia="de-DE"/>
        </w:rPr>
        <w:t xml:space="preserve"> 1988. </w:t>
      </w:r>
    </w:p>
    <w:p w14:paraId="1CC9BDAC" w14:textId="77777777" w:rsidR="00A350F8" w:rsidRPr="00A350F8" w:rsidRDefault="00A350F8" w:rsidP="00A350F8">
      <w:pPr>
        <w:pStyle w:val="AufzhlungStandard"/>
        <w:rPr>
          <w:lang w:eastAsia="de-DE"/>
        </w:rPr>
      </w:pPr>
      <w:r w:rsidRPr="00A350F8">
        <w:rPr>
          <w:lang w:eastAsia="de-DE"/>
        </w:rPr>
        <w:t xml:space="preserve">Häusler, K., Werner </w:t>
      </w:r>
      <w:proofErr w:type="spellStart"/>
      <w:r w:rsidRPr="00A350F8">
        <w:rPr>
          <w:lang w:eastAsia="de-DE"/>
        </w:rPr>
        <w:t>Pavenzinger</w:t>
      </w:r>
      <w:proofErr w:type="spellEnd"/>
      <w:r w:rsidRPr="00A350F8">
        <w:rPr>
          <w:lang w:eastAsia="de-DE"/>
        </w:rPr>
        <w:t xml:space="preserve">, Unterricht Chemie, </w:t>
      </w:r>
      <w:proofErr w:type="spellStart"/>
      <w:r w:rsidRPr="00A350F8">
        <w:rPr>
          <w:lang w:eastAsia="de-DE"/>
        </w:rPr>
        <w:t>Aulis</w:t>
      </w:r>
      <w:proofErr w:type="spellEnd"/>
      <w:r w:rsidRPr="00A350F8">
        <w:rPr>
          <w:lang w:eastAsia="de-DE"/>
        </w:rPr>
        <w:t xml:space="preserve">-Verlag, Köln 1992. </w:t>
      </w:r>
    </w:p>
    <w:p w14:paraId="027E3F70" w14:textId="77777777" w:rsidR="00A350F8" w:rsidRPr="00A350F8" w:rsidRDefault="00A350F8" w:rsidP="00A350F8">
      <w:pPr>
        <w:pStyle w:val="AufzhlungStandard"/>
        <w:rPr>
          <w:lang w:eastAsia="de-DE"/>
        </w:rPr>
      </w:pPr>
      <w:r w:rsidRPr="00A350F8">
        <w:rPr>
          <w:lang w:eastAsia="de-DE"/>
        </w:rPr>
        <w:t xml:space="preserve">Hammer, H. </w:t>
      </w:r>
      <w:proofErr w:type="spellStart"/>
      <w:proofErr w:type="gramStart"/>
      <w:r w:rsidRPr="00A350F8">
        <w:rPr>
          <w:lang w:eastAsia="de-DE"/>
        </w:rPr>
        <w:t>O.,Praxis</w:t>
      </w:r>
      <w:proofErr w:type="spellEnd"/>
      <w:proofErr w:type="gramEnd"/>
      <w:r w:rsidRPr="00A350F8">
        <w:rPr>
          <w:lang w:eastAsia="de-DE"/>
        </w:rPr>
        <w:t xml:space="preserve"> der Naturwissenschaften Chemie, 44, 1995, 1. </w:t>
      </w:r>
    </w:p>
    <w:p w14:paraId="405457E5" w14:textId="77777777" w:rsidR="00A350F8" w:rsidRPr="00A350F8" w:rsidRDefault="00A350F8" w:rsidP="00A350F8">
      <w:pPr>
        <w:pStyle w:val="AufzhlungStandard"/>
        <w:rPr>
          <w:lang w:eastAsia="de-DE"/>
        </w:rPr>
      </w:pPr>
      <w:r w:rsidRPr="00A350F8">
        <w:rPr>
          <w:lang w:eastAsia="de-DE"/>
        </w:rPr>
        <w:t xml:space="preserve">Stein, R., Protolysen und Anwendungen des Massenwirkungsgesetzes auf Ionengleichgewichte, 1.Auflage, Klett-Verlag, Stuttgart 1997. </w:t>
      </w:r>
    </w:p>
    <w:p w14:paraId="7EBCCC79" w14:textId="77777777" w:rsidR="00A350F8" w:rsidRPr="00A350F8" w:rsidRDefault="00A350F8" w:rsidP="00A350F8">
      <w:pPr>
        <w:pStyle w:val="AufzhlungStandard"/>
        <w:rPr>
          <w:lang w:eastAsia="de-DE"/>
        </w:rPr>
      </w:pPr>
      <w:r w:rsidRPr="00A350F8">
        <w:rPr>
          <w:lang w:eastAsia="de-DE"/>
        </w:rPr>
        <w:t xml:space="preserve">Gutmann, V., Anorganische Chemie: eine Einführung, 5. Auflage, VCH, 1990 </w:t>
      </w:r>
    </w:p>
    <w:p w14:paraId="2BFD3E76" w14:textId="77777777" w:rsidR="00A350F8" w:rsidRPr="00A350F8" w:rsidRDefault="00A350F8" w:rsidP="00A350F8">
      <w:pPr>
        <w:pStyle w:val="AufzhlungStandard"/>
        <w:rPr>
          <w:lang w:eastAsia="de-DE"/>
        </w:rPr>
      </w:pPr>
      <w:proofErr w:type="spellStart"/>
      <w:r w:rsidRPr="00A350F8">
        <w:rPr>
          <w:lang w:eastAsia="de-DE"/>
        </w:rPr>
        <w:t>Jander</w:t>
      </w:r>
      <w:proofErr w:type="spellEnd"/>
      <w:r w:rsidRPr="00A350F8">
        <w:rPr>
          <w:lang w:eastAsia="de-DE"/>
        </w:rPr>
        <w:t xml:space="preserve">, G., Blasius, E., Lehrbuch der analytischen und </w:t>
      </w:r>
      <w:proofErr w:type="spellStart"/>
      <w:r w:rsidRPr="00A350F8">
        <w:rPr>
          <w:lang w:eastAsia="de-DE"/>
        </w:rPr>
        <w:t>präparativen</w:t>
      </w:r>
      <w:proofErr w:type="spellEnd"/>
      <w:r w:rsidRPr="00A350F8">
        <w:rPr>
          <w:lang w:eastAsia="de-DE"/>
        </w:rPr>
        <w:t xml:space="preserve"> anorganischen Chemie, 16. Auflage, S. Hirzel Verlag Stuttgart, 2006 </w:t>
      </w:r>
    </w:p>
    <w:p w14:paraId="2D51FC20" w14:textId="77777777" w:rsidR="00A350F8" w:rsidRPr="00A350F8" w:rsidRDefault="00A350F8" w:rsidP="00A350F8">
      <w:pPr>
        <w:pStyle w:val="AufzhlungStandard"/>
        <w:rPr>
          <w:lang w:eastAsia="de-DE"/>
        </w:rPr>
      </w:pPr>
      <w:r w:rsidRPr="00A350F8">
        <w:rPr>
          <w:lang w:eastAsia="de-DE"/>
        </w:rPr>
        <w:t xml:space="preserve">Riedel, E., </w:t>
      </w:r>
      <w:proofErr w:type="spellStart"/>
      <w:r w:rsidRPr="00A350F8">
        <w:rPr>
          <w:lang w:eastAsia="de-DE"/>
        </w:rPr>
        <w:t>Janiak</w:t>
      </w:r>
      <w:proofErr w:type="spellEnd"/>
      <w:r w:rsidRPr="00A350F8">
        <w:rPr>
          <w:lang w:eastAsia="de-DE"/>
        </w:rPr>
        <w:t xml:space="preserve"> C., Anorganische Chemie, de </w:t>
      </w:r>
      <w:proofErr w:type="spellStart"/>
      <w:r w:rsidRPr="00A350F8">
        <w:rPr>
          <w:lang w:eastAsia="de-DE"/>
        </w:rPr>
        <w:t>Gruyter</w:t>
      </w:r>
      <w:proofErr w:type="spellEnd"/>
      <w:r w:rsidRPr="00A350F8">
        <w:rPr>
          <w:lang w:eastAsia="de-DE"/>
        </w:rPr>
        <w:t xml:space="preserve">, Berlin, 2011. </w:t>
      </w:r>
    </w:p>
    <w:p w14:paraId="3D422780" w14:textId="0EB7178E" w:rsidR="00A350F8" w:rsidRPr="00A350F8" w:rsidRDefault="00180E97" w:rsidP="003D2DB0">
      <w:pPr>
        <w:pStyle w:val="AufzhlungStandard"/>
        <w:rPr>
          <w:lang w:eastAsia="de-DE"/>
        </w:rPr>
      </w:pPr>
      <w:hyperlink r:id="rId27" w:history="1">
        <w:r w:rsidR="003D2DB0" w:rsidRPr="00E02F79">
          <w:rPr>
            <w:rStyle w:val="Hyperlink"/>
          </w:rPr>
          <w:t>https://de.wikipedia.org/wiki/Johannes_Nicolaus_Br%C3%B8nsted</w:t>
        </w:r>
      </w:hyperlink>
      <w:r w:rsidR="003D2DB0">
        <w:t xml:space="preserve"> </w:t>
      </w:r>
      <w:r w:rsidR="00A350F8">
        <w:rPr>
          <w:lang w:eastAsia="de-DE"/>
        </w:rPr>
        <w:t>;</w:t>
      </w:r>
      <w:r w:rsidR="003D2DB0">
        <w:rPr>
          <w:lang w:eastAsia="de-DE"/>
        </w:rPr>
        <w:t xml:space="preserve"> 0</w:t>
      </w:r>
      <w:r w:rsidR="00A350F8" w:rsidRPr="00A350F8">
        <w:rPr>
          <w:lang w:eastAsia="de-DE"/>
        </w:rPr>
        <w:t>3.0</w:t>
      </w:r>
      <w:r w:rsidR="003D2DB0">
        <w:rPr>
          <w:lang w:eastAsia="de-DE"/>
        </w:rPr>
        <w:t>8</w:t>
      </w:r>
      <w:r w:rsidR="00A350F8" w:rsidRPr="00A350F8">
        <w:rPr>
          <w:lang w:eastAsia="de-DE"/>
        </w:rPr>
        <w:t>.202</w:t>
      </w:r>
      <w:r w:rsidR="003D2DB0">
        <w:rPr>
          <w:lang w:eastAsia="de-DE"/>
        </w:rPr>
        <w:t>2</w:t>
      </w:r>
    </w:p>
    <w:sectPr w:rsidR="00A350F8" w:rsidRPr="00A350F8" w:rsidSect="005F27C6">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4E142" w14:textId="77777777" w:rsidR="00603B5D" w:rsidRDefault="00603B5D" w:rsidP="005A7DCE">
      <w:pPr>
        <w:spacing w:before="0"/>
      </w:pPr>
      <w:r>
        <w:separator/>
      </w:r>
    </w:p>
  </w:endnote>
  <w:endnote w:type="continuationSeparator" w:id="0">
    <w:p w14:paraId="3AF04602" w14:textId="77777777" w:rsidR="00603B5D" w:rsidRDefault="00603B5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5429359" w14:textId="77777777" w:rsidR="0001387A" w:rsidRDefault="0001387A">
        <w:pPr>
          <w:pStyle w:val="Fuzeile"/>
          <w:jc w:val="center"/>
        </w:pPr>
        <w:r>
          <w:rPr>
            <w:noProof/>
            <w:lang w:eastAsia="de-DE"/>
          </w:rPr>
          <mc:AlternateContent>
            <mc:Choice Requires="wps">
              <w:drawing>
                <wp:inline distT="0" distB="0" distL="0" distR="0" wp14:anchorId="2A50D5EF" wp14:editId="7A2BF57B">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161BA662" w14:textId="6100F1B4" w:rsidR="0001387A" w:rsidRDefault="0001387A">
        <w:pPr>
          <w:pStyle w:val="Fuzeile"/>
          <w:jc w:val="center"/>
        </w:pPr>
        <w:r>
          <w:fldChar w:fldCharType="begin"/>
        </w:r>
        <w:r>
          <w:instrText>PAGE    \* MERGEFORMAT</w:instrText>
        </w:r>
        <w:r>
          <w:fldChar w:fldCharType="separate"/>
        </w:r>
        <w:r w:rsidR="00180E97">
          <w:rPr>
            <w:noProof/>
          </w:rPr>
          <w:t>9</w:t>
        </w:r>
        <w:r>
          <w:fldChar w:fldCharType="end"/>
        </w:r>
      </w:p>
    </w:sdtContent>
  </w:sdt>
  <w:p w14:paraId="3DCACA8E" w14:textId="77777777" w:rsidR="0001387A" w:rsidRDefault="0001387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F5E40" w14:textId="77777777" w:rsidR="00603B5D" w:rsidRDefault="00603B5D" w:rsidP="005A7DCE">
      <w:pPr>
        <w:spacing w:before="0"/>
      </w:pPr>
      <w:r>
        <w:separator/>
      </w:r>
    </w:p>
  </w:footnote>
  <w:footnote w:type="continuationSeparator" w:id="0">
    <w:p w14:paraId="0A911FF4" w14:textId="77777777" w:rsidR="00603B5D" w:rsidRDefault="00603B5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FD368D3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color w:val="auto"/>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5C5E136C"/>
    <w:lvl w:ilvl="0">
      <w:start w:val="1"/>
      <w:numFmt w:val="bullet"/>
      <w:pStyle w:val="Liste1Aufzhlung"/>
      <w:lvlText w:val=""/>
      <w:lvlJc w:val="left"/>
      <w:pPr>
        <w:ind w:left="454" w:hanging="454"/>
      </w:pPr>
      <w:rPr>
        <w:rFonts w:ascii="Symbol" w:hAnsi="Symbol" w:hint="default"/>
        <w:sz w:val="24"/>
        <w:szCs w:val="24"/>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40165BDA"/>
    <w:multiLevelType w:val="multilevel"/>
    <w:tmpl w:val="01E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5A4264E1"/>
    <w:multiLevelType w:val="multilevel"/>
    <w:tmpl w:val="D1CA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C07BCA"/>
    <w:multiLevelType w:val="multilevel"/>
    <w:tmpl w:val="A60A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6"/>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4"/>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16"/>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387A"/>
    <w:rsid w:val="0002383C"/>
    <w:rsid w:val="000256A8"/>
    <w:rsid w:val="00045EDE"/>
    <w:rsid w:val="000712A2"/>
    <w:rsid w:val="0007135E"/>
    <w:rsid w:val="00074491"/>
    <w:rsid w:val="000D4A1C"/>
    <w:rsid w:val="000E61E0"/>
    <w:rsid w:val="0015543D"/>
    <w:rsid w:val="00180E97"/>
    <w:rsid w:val="001B3E0F"/>
    <w:rsid w:val="001D6942"/>
    <w:rsid w:val="001E1ED4"/>
    <w:rsid w:val="002005EF"/>
    <w:rsid w:val="002379DF"/>
    <w:rsid w:val="0033663A"/>
    <w:rsid w:val="0036111E"/>
    <w:rsid w:val="00362C03"/>
    <w:rsid w:val="003D02F1"/>
    <w:rsid w:val="003D2DB0"/>
    <w:rsid w:val="00403D26"/>
    <w:rsid w:val="004C65D5"/>
    <w:rsid w:val="004D0FAE"/>
    <w:rsid w:val="004F5AF1"/>
    <w:rsid w:val="005633FE"/>
    <w:rsid w:val="00576945"/>
    <w:rsid w:val="0058690D"/>
    <w:rsid w:val="005A7DCE"/>
    <w:rsid w:val="005D329F"/>
    <w:rsid w:val="005F27C6"/>
    <w:rsid w:val="00603B5D"/>
    <w:rsid w:val="006C3647"/>
    <w:rsid w:val="006C46BC"/>
    <w:rsid w:val="006F7042"/>
    <w:rsid w:val="007161D1"/>
    <w:rsid w:val="00783295"/>
    <w:rsid w:val="007B2C80"/>
    <w:rsid w:val="007F18E1"/>
    <w:rsid w:val="008117E4"/>
    <w:rsid w:val="00825BFE"/>
    <w:rsid w:val="00850560"/>
    <w:rsid w:val="00883728"/>
    <w:rsid w:val="0089392E"/>
    <w:rsid w:val="008A524D"/>
    <w:rsid w:val="00931B30"/>
    <w:rsid w:val="00945ED7"/>
    <w:rsid w:val="00970488"/>
    <w:rsid w:val="009710A6"/>
    <w:rsid w:val="00A21130"/>
    <w:rsid w:val="00A33C8D"/>
    <w:rsid w:val="00A350F8"/>
    <w:rsid w:val="00A5383F"/>
    <w:rsid w:val="00AA5678"/>
    <w:rsid w:val="00AA5D66"/>
    <w:rsid w:val="00AB7E4B"/>
    <w:rsid w:val="00AE22D0"/>
    <w:rsid w:val="00AE53F0"/>
    <w:rsid w:val="00AF59A1"/>
    <w:rsid w:val="00AF7672"/>
    <w:rsid w:val="00B2740E"/>
    <w:rsid w:val="00C47CC6"/>
    <w:rsid w:val="00C6611D"/>
    <w:rsid w:val="00CB66C2"/>
    <w:rsid w:val="00D155AE"/>
    <w:rsid w:val="00D81F38"/>
    <w:rsid w:val="00D97908"/>
    <w:rsid w:val="00DB7964"/>
    <w:rsid w:val="00E0038D"/>
    <w:rsid w:val="00E14DE1"/>
    <w:rsid w:val="00E20AF3"/>
    <w:rsid w:val="00E37534"/>
    <w:rsid w:val="00E46BE8"/>
    <w:rsid w:val="00E54A99"/>
    <w:rsid w:val="00E8473B"/>
    <w:rsid w:val="00E93BC5"/>
    <w:rsid w:val="00F0263F"/>
    <w:rsid w:val="00F45877"/>
    <w:rsid w:val="00F76D18"/>
    <w:rsid w:val="00F93935"/>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ADD7D"/>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5877"/>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styleId="Listenabsatz">
    <w:name w:val="List Paragraph"/>
    <w:basedOn w:val="Standard"/>
    <w:link w:val="ListenabsatzZchn"/>
    <w:uiPriority w:val="34"/>
    <w:rsid w:val="001D6942"/>
    <w:pPr>
      <w:numPr>
        <w:numId w:val="3"/>
      </w:numPr>
      <w:contextualSpacing/>
    </w:pPr>
  </w:style>
  <w:style w:type="character" w:customStyle="1" w:styleId="ListenabsatzZchn">
    <w:name w:val="Listenabsatz Zchn"/>
    <w:basedOn w:val="Absatz-Standardschriftart"/>
    <w:link w:val="Listenabsatz"/>
    <w:uiPriority w:val="34"/>
    <w:rsid w:val="001D6942"/>
  </w:style>
  <w:style w:type="character" w:customStyle="1" w:styleId="RotZchn">
    <w:name w:val="Rot Zchn"/>
    <w:basedOn w:val="ListenabsatzZchn"/>
    <w:link w:val="Rot"/>
    <w:rsid w:val="008A524D"/>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character" w:customStyle="1" w:styleId="Liste1AufzhlungZchn">
    <w:name w:val="Liste 1 Aufzählung Zchn"/>
    <w:basedOn w:val="ListenabsatzZchn"/>
    <w:link w:val="Liste1Aufzhlung"/>
    <w:rsid w:val="0015543D"/>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AutorZchn">
    <w:name w:val="Autor Zchn"/>
    <w:basedOn w:val="Absatz-Standardschriftart"/>
    <w:link w:val="Autor"/>
    <w:rsid w:val="00FD7888"/>
    <w:rPr>
      <w:bCs/>
      <w:color w:val="000000" w:themeColor="text1"/>
      <w:sz w:val="20"/>
      <w:szCs w:val="40"/>
    </w:r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character" w:customStyle="1" w:styleId="BeispieleZchn">
    <w:name w:val="Beispiele Zchn"/>
    <w:basedOn w:val="Absatz-Standardschriftart"/>
    <w:link w:val="Beispiele"/>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lauZchn">
    <w:name w:val="Blau Zchn"/>
    <w:basedOn w:val="ListenabsatzZchn"/>
    <w:link w:val="Blau"/>
    <w:rsid w:val="00F76D18"/>
    <w:rPr>
      <w:color w:val="0000FF" w:themeColor="accent1"/>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Platzhaltertext">
    <w:name w:val="Placeholder Text"/>
    <w:basedOn w:val="Absatz-Standardschriftart"/>
    <w:uiPriority w:val="99"/>
    <w:semiHidden/>
    <w:rsid w:val="005F27C6"/>
    <w:rPr>
      <w:color w:val="808080"/>
    </w:rPr>
  </w:style>
  <w:style w:type="table" w:styleId="Tabellenraster">
    <w:name w:val="Table Grid"/>
    <w:basedOn w:val="NormaleTabelle"/>
    <w:uiPriority w:val="39"/>
    <w:rsid w:val="004C6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F27C6"/>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717">
      <w:bodyDiv w:val="1"/>
      <w:marLeft w:val="0"/>
      <w:marRight w:val="0"/>
      <w:marTop w:val="0"/>
      <w:marBottom w:val="0"/>
      <w:divBdr>
        <w:top w:val="none" w:sz="0" w:space="0" w:color="auto"/>
        <w:left w:val="none" w:sz="0" w:space="0" w:color="auto"/>
        <w:bottom w:val="none" w:sz="0" w:space="0" w:color="auto"/>
        <w:right w:val="none" w:sz="0" w:space="0" w:color="auto"/>
      </w:divBdr>
    </w:div>
    <w:div w:id="187570950">
      <w:bodyDiv w:val="1"/>
      <w:marLeft w:val="0"/>
      <w:marRight w:val="0"/>
      <w:marTop w:val="0"/>
      <w:marBottom w:val="0"/>
      <w:divBdr>
        <w:top w:val="none" w:sz="0" w:space="0" w:color="auto"/>
        <w:left w:val="none" w:sz="0" w:space="0" w:color="auto"/>
        <w:bottom w:val="none" w:sz="0" w:space="0" w:color="auto"/>
        <w:right w:val="none" w:sz="0" w:space="0" w:color="auto"/>
      </w:divBdr>
    </w:div>
    <w:div w:id="218589999">
      <w:bodyDiv w:val="1"/>
      <w:marLeft w:val="0"/>
      <w:marRight w:val="0"/>
      <w:marTop w:val="0"/>
      <w:marBottom w:val="0"/>
      <w:divBdr>
        <w:top w:val="none" w:sz="0" w:space="0" w:color="auto"/>
        <w:left w:val="none" w:sz="0" w:space="0" w:color="auto"/>
        <w:bottom w:val="none" w:sz="0" w:space="0" w:color="auto"/>
        <w:right w:val="none" w:sz="0" w:space="0" w:color="auto"/>
      </w:divBdr>
    </w:div>
    <w:div w:id="382827187">
      <w:bodyDiv w:val="1"/>
      <w:marLeft w:val="0"/>
      <w:marRight w:val="0"/>
      <w:marTop w:val="0"/>
      <w:marBottom w:val="0"/>
      <w:divBdr>
        <w:top w:val="none" w:sz="0" w:space="0" w:color="auto"/>
        <w:left w:val="none" w:sz="0" w:space="0" w:color="auto"/>
        <w:bottom w:val="none" w:sz="0" w:space="0" w:color="auto"/>
        <w:right w:val="none" w:sz="0" w:space="0" w:color="auto"/>
      </w:divBdr>
    </w:div>
    <w:div w:id="584727841">
      <w:bodyDiv w:val="1"/>
      <w:marLeft w:val="0"/>
      <w:marRight w:val="0"/>
      <w:marTop w:val="0"/>
      <w:marBottom w:val="0"/>
      <w:divBdr>
        <w:top w:val="none" w:sz="0" w:space="0" w:color="auto"/>
        <w:left w:val="none" w:sz="0" w:space="0" w:color="auto"/>
        <w:bottom w:val="none" w:sz="0" w:space="0" w:color="auto"/>
        <w:right w:val="none" w:sz="0" w:space="0" w:color="auto"/>
      </w:divBdr>
    </w:div>
    <w:div w:id="887449760">
      <w:bodyDiv w:val="1"/>
      <w:marLeft w:val="0"/>
      <w:marRight w:val="0"/>
      <w:marTop w:val="0"/>
      <w:marBottom w:val="0"/>
      <w:divBdr>
        <w:top w:val="none" w:sz="0" w:space="0" w:color="auto"/>
        <w:left w:val="none" w:sz="0" w:space="0" w:color="auto"/>
        <w:bottom w:val="none" w:sz="0" w:space="0" w:color="auto"/>
        <w:right w:val="none" w:sz="0" w:space="0" w:color="auto"/>
      </w:divBdr>
    </w:div>
    <w:div w:id="959608171">
      <w:bodyDiv w:val="1"/>
      <w:marLeft w:val="0"/>
      <w:marRight w:val="0"/>
      <w:marTop w:val="0"/>
      <w:marBottom w:val="0"/>
      <w:divBdr>
        <w:top w:val="none" w:sz="0" w:space="0" w:color="auto"/>
        <w:left w:val="none" w:sz="0" w:space="0" w:color="auto"/>
        <w:bottom w:val="none" w:sz="0" w:space="0" w:color="auto"/>
        <w:right w:val="none" w:sz="0" w:space="0" w:color="auto"/>
      </w:divBdr>
    </w:div>
    <w:div w:id="961570053">
      <w:bodyDiv w:val="1"/>
      <w:marLeft w:val="0"/>
      <w:marRight w:val="0"/>
      <w:marTop w:val="0"/>
      <w:marBottom w:val="0"/>
      <w:divBdr>
        <w:top w:val="none" w:sz="0" w:space="0" w:color="auto"/>
        <w:left w:val="none" w:sz="0" w:space="0" w:color="auto"/>
        <w:bottom w:val="none" w:sz="0" w:space="0" w:color="auto"/>
        <w:right w:val="none" w:sz="0" w:space="0" w:color="auto"/>
      </w:divBdr>
    </w:div>
    <w:div w:id="1556548728">
      <w:bodyDiv w:val="1"/>
      <w:marLeft w:val="0"/>
      <w:marRight w:val="0"/>
      <w:marTop w:val="0"/>
      <w:marBottom w:val="0"/>
      <w:divBdr>
        <w:top w:val="none" w:sz="0" w:space="0" w:color="auto"/>
        <w:left w:val="none" w:sz="0" w:space="0" w:color="auto"/>
        <w:bottom w:val="none" w:sz="0" w:space="0" w:color="auto"/>
        <w:right w:val="none" w:sz="0" w:space="0" w:color="auto"/>
      </w:divBdr>
    </w:div>
    <w:div w:id="1699116923">
      <w:bodyDiv w:val="1"/>
      <w:marLeft w:val="0"/>
      <w:marRight w:val="0"/>
      <w:marTop w:val="0"/>
      <w:marBottom w:val="0"/>
      <w:divBdr>
        <w:top w:val="none" w:sz="0" w:space="0" w:color="auto"/>
        <w:left w:val="none" w:sz="0" w:space="0" w:color="auto"/>
        <w:bottom w:val="none" w:sz="0" w:space="0" w:color="auto"/>
        <w:right w:val="none" w:sz="0" w:space="0" w:color="auto"/>
      </w:divBdr>
    </w:div>
    <w:div w:id="1712924922">
      <w:bodyDiv w:val="1"/>
      <w:marLeft w:val="0"/>
      <w:marRight w:val="0"/>
      <w:marTop w:val="0"/>
      <w:marBottom w:val="0"/>
      <w:divBdr>
        <w:top w:val="none" w:sz="0" w:space="0" w:color="auto"/>
        <w:left w:val="none" w:sz="0" w:space="0" w:color="auto"/>
        <w:bottom w:val="none" w:sz="0" w:space="0" w:color="auto"/>
        <w:right w:val="none" w:sz="0" w:space="0" w:color="auto"/>
      </w:divBdr>
    </w:div>
    <w:div w:id="18015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gif"/><Relationship Id="rId22" Type="http://schemas.openxmlformats.org/officeDocument/2006/relationships/image" Target="media/image14.jpeg"/><Relationship Id="rId27" Type="http://schemas.openxmlformats.org/officeDocument/2006/relationships/hyperlink" Target="https://de.wikipedia.org/wiki/Johannes_Nicolaus_Br%C3%B8nst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4D748-8EA8-416C-AC18-4AE30FA7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2378</Words>
  <Characters>14988</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16</cp:revision>
  <cp:lastPrinted>2022-08-03T11:43:00Z</cp:lastPrinted>
  <dcterms:created xsi:type="dcterms:W3CDTF">2022-08-02T15:08:00Z</dcterms:created>
  <dcterms:modified xsi:type="dcterms:W3CDTF">2022-08-03T11:43:00Z</dcterms:modified>
</cp:coreProperties>
</file>