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0D45A" w14:textId="77777777" w:rsidR="00E8473B" w:rsidRDefault="00E8473B" w:rsidP="00E8473B">
      <w:pPr>
        <w:pStyle w:val="Bilder"/>
      </w:pPr>
      <w:r w:rsidRPr="00716CB6">
        <w:rPr>
          <w:lang w:eastAsia="de-DE"/>
        </w:rPr>
        <mc:AlternateContent>
          <mc:Choice Requires="wpg">
            <w:drawing>
              <wp:inline distT="0" distB="0" distL="0" distR="0" wp14:anchorId="2426F5C6" wp14:editId="05AF6FEB">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1BBB2" w14:textId="77777777" w:rsidR="009D5917" w:rsidRDefault="009D5917"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426F5C6"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7FA1BBB2" w14:textId="77777777" w:rsidR="009D5917" w:rsidRDefault="009D5917"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36654CAF" wp14:editId="673BA5E5">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screen">
                      <a:lum contrast="40000"/>
                      <a:extLst>
                        <a:ext uri="{28A0092B-C50C-407E-A947-70E740481C1C}">
                          <a14:useLocalDpi xmlns:a14="http://schemas.microsoft.com/office/drawing/2010/main"/>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125F59CA" w14:textId="77777777" w:rsidR="00AE53F0" w:rsidRPr="00DF520D" w:rsidRDefault="00E8473B" w:rsidP="00DF520D">
      <w:pPr>
        <w:pStyle w:val="Seminar"/>
      </w:pPr>
      <w:r w:rsidRPr="00DF520D">
        <w:t>Seminar</w:t>
      </w:r>
      <w:r w:rsidR="00FD7888" w:rsidRPr="00DF520D">
        <w:t xml:space="preserve"> „Übungen im Vortragen – </w:t>
      </w:r>
      <w:r w:rsidR="00DF520D" w:rsidRPr="00DF520D">
        <w:t>AC</w:t>
      </w:r>
      <w:r w:rsidR="00FD7888" w:rsidRPr="00DF520D">
        <w:t>“</w:t>
      </w:r>
    </w:p>
    <w:p w14:paraId="6F044CBB" w14:textId="77777777" w:rsidR="00DF520D" w:rsidRPr="00DF520D" w:rsidRDefault="00DF520D" w:rsidP="00DF520D">
      <w:pPr>
        <w:pStyle w:val="Titel"/>
      </w:pPr>
      <w:r w:rsidRPr="00DF520D">
        <w:t xml:space="preserve">Vergleich der Säure-Base-Konzepte von Arrhenius und </w:t>
      </w:r>
      <w:proofErr w:type="spellStart"/>
      <w:r w:rsidRPr="00DF520D">
        <w:t>Brønsted</w:t>
      </w:r>
      <w:proofErr w:type="spellEnd"/>
      <w:r w:rsidRPr="00DF520D">
        <w:t xml:space="preserve"> anhand von Beispielen</w:t>
      </w:r>
    </w:p>
    <w:p w14:paraId="1300A489" w14:textId="3E4824AC" w:rsidR="00E8473B" w:rsidRDefault="00DF520D" w:rsidP="00E8473B">
      <w:pPr>
        <w:pStyle w:val="Autor"/>
      </w:pPr>
      <w:r>
        <w:t xml:space="preserve">Janina </w:t>
      </w:r>
      <w:proofErr w:type="spellStart"/>
      <w:r>
        <w:t>Munder</w:t>
      </w:r>
      <w:proofErr w:type="spellEnd"/>
      <w:r>
        <w:t xml:space="preserve">, WS 09/10; </w:t>
      </w:r>
      <w:proofErr w:type="spellStart"/>
      <w:r>
        <w:t>Nisanur</w:t>
      </w:r>
      <w:proofErr w:type="spellEnd"/>
      <w:r>
        <w:t xml:space="preserve"> </w:t>
      </w:r>
      <w:proofErr w:type="spellStart"/>
      <w:r>
        <w:t>Minaz</w:t>
      </w:r>
      <w:proofErr w:type="spellEnd"/>
      <w:r>
        <w:t>, WS 15/16</w:t>
      </w:r>
      <w:r w:rsidR="008E3FE9">
        <w:t xml:space="preserve">; Johanna Lorenz, WS 20/21 </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14:paraId="1AB4E653" w14:textId="77777777" w:rsidR="006C46BC" w:rsidRPr="006C46BC" w:rsidRDefault="006C46BC" w:rsidP="006C46BC">
          <w:pPr>
            <w:pStyle w:val="Inhaltsverzeichnisberschrift"/>
          </w:pPr>
          <w:r>
            <w:t>Gliederung</w:t>
          </w:r>
        </w:p>
        <w:p w14:paraId="0FCFE5B2" w14:textId="68830BE0" w:rsidR="00115303"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77020297" w:history="1">
            <w:r w:rsidR="00115303" w:rsidRPr="00172D07">
              <w:rPr>
                <w:rStyle w:val="Hyperlink"/>
                <w:noProof/>
              </w:rPr>
              <w:t>1</w:t>
            </w:r>
            <w:r w:rsidR="00115303">
              <w:rPr>
                <w:rFonts w:asciiTheme="minorHAnsi" w:eastAsiaTheme="minorEastAsia" w:hAnsiTheme="minorHAnsi"/>
                <w:noProof/>
                <w:sz w:val="22"/>
                <w:lang w:eastAsia="de-DE"/>
              </w:rPr>
              <w:tab/>
            </w:r>
            <w:r w:rsidR="00115303" w:rsidRPr="00172D07">
              <w:rPr>
                <w:rStyle w:val="Hyperlink"/>
                <w:noProof/>
              </w:rPr>
              <w:t>Konzept nach Br</w:t>
            </w:r>
            <w:r w:rsidR="00115303" w:rsidRPr="00172D07">
              <w:rPr>
                <w:rStyle w:val="Hyperlink"/>
                <w:rFonts w:cstheme="majorHAnsi"/>
                <w:noProof/>
              </w:rPr>
              <w:t>ø</w:t>
            </w:r>
            <w:r w:rsidR="00115303" w:rsidRPr="00172D07">
              <w:rPr>
                <w:rStyle w:val="Hyperlink"/>
                <w:noProof/>
              </w:rPr>
              <w:t>nsted</w:t>
            </w:r>
            <w:r w:rsidR="00115303">
              <w:rPr>
                <w:noProof/>
                <w:webHidden/>
              </w:rPr>
              <w:tab/>
            </w:r>
            <w:r w:rsidR="00115303">
              <w:rPr>
                <w:noProof/>
                <w:webHidden/>
              </w:rPr>
              <w:fldChar w:fldCharType="begin"/>
            </w:r>
            <w:r w:rsidR="00115303">
              <w:rPr>
                <w:noProof/>
                <w:webHidden/>
              </w:rPr>
              <w:instrText xml:space="preserve"> PAGEREF _Toc77020297 \h </w:instrText>
            </w:r>
            <w:r w:rsidR="00115303">
              <w:rPr>
                <w:noProof/>
                <w:webHidden/>
              </w:rPr>
            </w:r>
            <w:r w:rsidR="00115303">
              <w:rPr>
                <w:noProof/>
                <w:webHidden/>
              </w:rPr>
              <w:fldChar w:fldCharType="separate"/>
            </w:r>
            <w:r w:rsidR="0045092F">
              <w:rPr>
                <w:noProof/>
                <w:webHidden/>
              </w:rPr>
              <w:t>2</w:t>
            </w:r>
            <w:r w:rsidR="00115303">
              <w:rPr>
                <w:noProof/>
                <w:webHidden/>
              </w:rPr>
              <w:fldChar w:fldCharType="end"/>
            </w:r>
          </w:hyperlink>
        </w:p>
        <w:p w14:paraId="35ABA260" w14:textId="3BE28D6D" w:rsidR="00115303" w:rsidRDefault="0045092F">
          <w:pPr>
            <w:pStyle w:val="Verzeichnis1"/>
            <w:tabs>
              <w:tab w:val="left" w:pos="480"/>
              <w:tab w:val="right" w:leader="dot" w:pos="9344"/>
            </w:tabs>
            <w:rPr>
              <w:rFonts w:asciiTheme="minorHAnsi" w:eastAsiaTheme="minorEastAsia" w:hAnsiTheme="minorHAnsi"/>
              <w:noProof/>
              <w:sz w:val="22"/>
              <w:lang w:eastAsia="de-DE"/>
            </w:rPr>
          </w:pPr>
          <w:hyperlink w:anchor="_Toc77020298" w:history="1">
            <w:r w:rsidR="00115303" w:rsidRPr="00172D07">
              <w:rPr>
                <w:rStyle w:val="Hyperlink"/>
                <w:noProof/>
              </w:rPr>
              <w:t>2</w:t>
            </w:r>
            <w:r w:rsidR="00115303">
              <w:rPr>
                <w:rFonts w:asciiTheme="minorHAnsi" w:eastAsiaTheme="minorEastAsia" w:hAnsiTheme="minorHAnsi"/>
                <w:noProof/>
                <w:sz w:val="22"/>
                <w:lang w:eastAsia="de-DE"/>
              </w:rPr>
              <w:tab/>
            </w:r>
            <w:r w:rsidR="00115303" w:rsidRPr="00172D07">
              <w:rPr>
                <w:rStyle w:val="Hyperlink"/>
                <w:noProof/>
              </w:rPr>
              <w:t>Konzept nach Arrhenius</w:t>
            </w:r>
            <w:r w:rsidR="00115303">
              <w:rPr>
                <w:noProof/>
                <w:webHidden/>
              </w:rPr>
              <w:tab/>
            </w:r>
            <w:r w:rsidR="00115303">
              <w:rPr>
                <w:noProof/>
                <w:webHidden/>
              </w:rPr>
              <w:fldChar w:fldCharType="begin"/>
            </w:r>
            <w:r w:rsidR="00115303">
              <w:rPr>
                <w:noProof/>
                <w:webHidden/>
              </w:rPr>
              <w:instrText xml:space="preserve"> PAGEREF _Toc77020298 \h </w:instrText>
            </w:r>
            <w:r w:rsidR="00115303">
              <w:rPr>
                <w:noProof/>
                <w:webHidden/>
              </w:rPr>
            </w:r>
            <w:r w:rsidR="00115303">
              <w:rPr>
                <w:noProof/>
                <w:webHidden/>
              </w:rPr>
              <w:fldChar w:fldCharType="separate"/>
            </w:r>
            <w:r>
              <w:rPr>
                <w:noProof/>
                <w:webHidden/>
              </w:rPr>
              <w:t>6</w:t>
            </w:r>
            <w:r w:rsidR="00115303">
              <w:rPr>
                <w:noProof/>
                <w:webHidden/>
              </w:rPr>
              <w:fldChar w:fldCharType="end"/>
            </w:r>
          </w:hyperlink>
        </w:p>
        <w:p w14:paraId="14810602" w14:textId="457D0D69" w:rsidR="00115303" w:rsidRDefault="0045092F">
          <w:pPr>
            <w:pStyle w:val="Verzeichnis1"/>
            <w:tabs>
              <w:tab w:val="left" w:pos="480"/>
              <w:tab w:val="right" w:leader="dot" w:pos="9344"/>
            </w:tabs>
            <w:rPr>
              <w:rFonts w:asciiTheme="minorHAnsi" w:eastAsiaTheme="minorEastAsia" w:hAnsiTheme="minorHAnsi"/>
              <w:noProof/>
              <w:sz w:val="22"/>
              <w:lang w:eastAsia="de-DE"/>
            </w:rPr>
          </w:pPr>
          <w:hyperlink w:anchor="_Toc77020299" w:history="1">
            <w:r w:rsidR="00115303" w:rsidRPr="00172D07">
              <w:rPr>
                <w:rStyle w:val="Hyperlink"/>
                <w:noProof/>
              </w:rPr>
              <w:t>3</w:t>
            </w:r>
            <w:r w:rsidR="00115303">
              <w:rPr>
                <w:rFonts w:asciiTheme="minorHAnsi" w:eastAsiaTheme="minorEastAsia" w:hAnsiTheme="minorHAnsi"/>
                <w:noProof/>
                <w:sz w:val="22"/>
                <w:lang w:eastAsia="de-DE"/>
              </w:rPr>
              <w:tab/>
            </w:r>
            <w:r w:rsidR="00115303" w:rsidRPr="00172D07">
              <w:rPr>
                <w:rStyle w:val="Hyperlink"/>
                <w:noProof/>
              </w:rPr>
              <w:t>Vergleich der beiden Konzepte</w:t>
            </w:r>
            <w:r w:rsidR="00115303">
              <w:rPr>
                <w:noProof/>
                <w:webHidden/>
              </w:rPr>
              <w:tab/>
            </w:r>
            <w:r w:rsidR="00115303">
              <w:rPr>
                <w:noProof/>
                <w:webHidden/>
              </w:rPr>
              <w:fldChar w:fldCharType="begin"/>
            </w:r>
            <w:r w:rsidR="00115303">
              <w:rPr>
                <w:noProof/>
                <w:webHidden/>
              </w:rPr>
              <w:instrText xml:space="preserve"> PAGEREF _Toc77020299 \h </w:instrText>
            </w:r>
            <w:r w:rsidR="00115303">
              <w:rPr>
                <w:noProof/>
                <w:webHidden/>
              </w:rPr>
            </w:r>
            <w:r w:rsidR="00115303">
              <w:rPr>
                <w:noProof/>
                <w:webHidden/>
              </w:rPr>
              <w:fldChar w:fldCharType="separate"/>
            </w:r>
            <w:r>
              <w:rPr>
                <w:noProof/>
                <w:webHidden/>
              </w:rPr>
              <w:t>9</w:t>
            </w:r>
            <w:r w:rsidR="00115303">
              <w:rPr>
                <w:noProof/>
                <w:webHidden/>
              </w:rPr>
              <w:fldChar w:fldCharType="end"/>
            </w:r>
          </w:hyperlink>
        </w:p>
        <w:p w14:paraId="1636F7C9" w14:textId="34D038FE" w:rsidR="006C46BC" w:rsidRDefault="006C46BC">
          <w:r>
            <w:rPr>
              <w:b/>
              <w:bCs/>
            </w:rPr>
            <w:fldChar w:fldCharType="end"/>
          </w:r>
        </w:p>
      </w:sdtContent>
    </w:sdt>
    <w:p w14:paraId="55CC9583" w14:textId="77777777" w:rsidR="00FD7888" w:rsidRDefault="00FD7888" w:rsidP="00FD7888">
      <w:pPr>
        <w:pStyle w:val="EinstiegAbschluss"/>
      </w:pPr>
      <w:bookmarkStart w:id="0" w:name="_Überschrift_1"/>
      <w:bookmarkEnd w:id="0"/>
      <w:r w:rsidRPr="00C47CC6">
        <w:rPr>
          <w:rStyle w:val="Fett"/>
        </w:rPr>
        <w:t>Einstieg</w:t>
      </w:r>
      <w:r>
        <w:t>:</w:t>
      </w:r>
      <w:r w:rsidR="00C47CC6">
        <w:t xml:space="preserve"> </w:t>
      </w:r>
      <w:r w:rsidR="00DF520D">
        <w:t>Neutralisation einer Säure mit einer Base</w:t>
      </w:r>
    </w:p>
    <w:p w14:paraId="2490A4F9" w14:textId="77777777" w:rsidR="00DF520D" w:rsidRDefault="00DF520D" w:rsidP="00FD7888">
      <w:pPr>
        <w:pStyle w:val="EinstiegAbschluss"/>
      </w:pPr>
      <w:r>
        <w:rPr>
          <w:rStyle w:val="Fett"/>
        </w:rPr>
        <w:t>Zeitbedarf</w:t>
      </w:r>
      <w:r w:rsidRPr="00DF520D">
        <w:t>:</w:t>
      </w:r>
      <w:r>
        <w:t xml:space="preserve"> 5 Minuten</w:t>
      </w:r>
    </w:p>
    <w:p w14:paraId="5C15AAE3" w14:textId="77777777" w:rsidR="00DF520D" w:rsidRDefault="00DF520D" w:rsidP="00FD7888">
      <w:pPr>
        <w:pStyle w:val="EinstiegAbschluss"/>
      </w:pPr>
      <w:r>
        <w:rPr>
          <w:rStyle w:val="Fett"/>
        </w:rPr>
        <w:t>Ziel</w:t>
      </w:r>
      <w:r w:rsidRPr="00DF520D">
        <w:t>:</w:t>
      </w:r>
      <w:r>
        <w:t xml:space="preserve"> Säuren und Basen neutralisieren sich</w:t>
      </w:r>
    </w:p>
    <w:p w14:paraId="4649BCC7" w14:textId="77777777" w:rsidR="00DF520D" w:rsidRDefault="00DF520D" w:rsidP="00FD7888">
      <w:pPr>
        <w:pStyle w:val="EinstiegAbschluss"/>
      </w:pPr>
      <w:r>
        <w:rPr>
          <w:rStyle w:val="Fett"/>
        </w:rPr>
        <w:t>Material</w:t>
      </w:r>
      <w:r w:rsidRPr="00DF520D">
        <w:t>:</w:t>
      </w:r>
    </w:p>
    <w:p w14:paraId="15DBF0DE" w14:textId="77777777" w:rsidR="00DF520D" w:rsidRDefault="00DF520D" w:rsidP="00DF520D">
      <w:pPr>
        <w:pStyle w:val="EinstiegAbschluss"/>
        <w:numPr>
          <w:ilvl w:val="2"/>
          <w:numId w:val="5"/>
        </w:numPr>
        <w:ind w:left="426"/>
        <w:sectPr w:rsidR="00DF520D" w:rsidSect="00931B30">
          <w:footerReference w:type="default" r:id="rId9"/>
          <w:pgSz w:w="11906" w:h="16838"/>
          <w:pgMar w:top="851" w:right="1134" w:bottom="1134" w:left="1418" w:header="0" w:footer="0" w:gutter="0"/>
          <w:cols w:space="708"/>
          <w:titlePg/>
          <w:docGrid w:linePitch="360"/>
        </w:sectPr>
      </w:pPr>
    </w:p>
    <w:p w14:paraId="31B42E92" w14:textId="77777777" w:rsidR="00DF520D" w:rsidRDefault="00DF520D" w:rsidP="00DF520D">
      <w:pPr>
        <w:pStyle w:val="EinstiegAbschluss"/>
        <w:numPr>
          <w:ilvl w:val="2"/>
          <w:numId w:val="5"/>
        </w:numPr>
        <w:ind w:left="426"/>
      </w:pPr>
      <w:r>
        <w:lastRenderedPageBreak/>
        <w:t>Universalindikator-Papier</w:t>
      </w:r>
    </w:p>
    <w:p w14:paraId="686B5A2C" w14:textId="77777777" w:rsidR="00DF520D" w:rsidRDefault="00DF520D" w:rsidP="00DF520D">
      <w:pPr>
        <w:pStyle w:val="EinstiegAbschluss"/>
        <w:numPr>
          <w:ilvl w:val="2"/>
          <w:numId w:val="5"/>
        </w:numPr>
        <w:ind w:left="426"/>
      </w:pPr>
      <w:r>
        <w:t>Glasstab</w:t>
      </w:r>
    </w:p>
    <w:p w14:paraId="796F4098" w14:textId="77777777" w:rsidR="00DF520D" w:rsidRDefault="00DF520D" w:rsidP="00DF520D">
      <w:pPr>
        <w:pStyle w:val="EinstiegAbschluss"/>
        <w:numPr>
          <w:ilvl w:val="2"/>
          <w:numId w:val="5"/>
        </w:numPr>
        <w:ind w:left="426"/>
      </w:pPr>
      <w:r>
        <w:lastRenderedPageBreak/>
        <w:t>2 Voll-Pipetten, 20 mL</w:t>
      </w:r>
    </w:p>
    <w:p w14:paraId="3C0DF5AA" w14:textId="77777777" w:rsidR="00DF520D" w:rsidRDefault="00DF520D" w:rsidP="00DF520D">
      <w:pPr>
        <w:pStyle w:val="EinstiegAbschluss"/>
        <w:numPr>
          <w:ilvl w:val="2"/>
          <w:numId w:val="5"/>
        </w:numPr>
        <w:ind w:left="426"/>
      </w:pPr>
      <w:r>
        <w:t>2 Bechergläser, 50 mL</w:t>
      </w:r>
    </w:p>
    <w:p w14:paraId="7E964AB4" w14:textId="77777777" w:rsidR="00DF520D" w:rsidRDefault="00DF520D" w:rsidP="00DF520D">
      <w:pPr>
        <w:pStyle w:val="EinstiegAbschluss"/>
        <w:rPr>
          <w:rStyle w:val="Fett"/>
        </w:rPr>
        <w:sectPr w:rsidR="00DF520D" w:rsidSect="00DF520D">
          <w:type w:val="continuous"/>
          <w:pgSz w:w="11906" w:h="16838"/>
          <w:pgMar w:top="851" w:right="1134" w:bottom="1134" w:left="1418" w:header="0" w:footer="0" w:gutter="0"/>
          <w:cols w:num="2" w:space="708"/>
          <w:titlePg/>
          <w:docGrid w:linePitch="360"/>
        </w:sectPr>
      </w:pPr>
    </w:p>
    <w:p w14:paraId="66BCD453" w14:textId="77777777" w:rsidR="00DF520D" w:rsidRDefault="00DF520D" w:rsidP="00DF520D">
      <w:pPr>
        <w:pStyle w:val="EinstiegAbschluss"/>
      </w:pPr>
      <w:r w:rsidRPr="00DF520D">
        <w:rPr>
          <w:rStyle w:val="Fett"/>
        </w:rPr>
        <w:lastRenderedPageBreak/>
        <w:t>Chemikalien</w:t>
      </w:r>
      <w:r>
        <w:t>:</w:t>
      </w:r>
    </w:p>
    <w:p w14:paraId="752A5495" w14:textId="77777777" w:rsidR="00DF520D" w:rsidRDefault="00DF520D" w:rsidP="00DF520D">
      <w:pPr>
        <w:pStyle w:val="EinstiegAbschluss"/>
        <w:numPr>
          <w:ilvl w:val="2"/>
          <w:numId w:val="5"/>
        </w:numPr>
        <w:ind w:left="426"/>
        <w:rPr>
          <w:lang w:val="fr-FR"/>
        </w:rPr>
        <w:sectPr w:rsidR="00DF520D" w:rsidSect="00DF520D">
          <w:type w:val="continuous"/>
          <w:pgSz w:w="11906" w:h="16838"/>
          <w:pgMar w:top="851" w:right="1134" w:bottom="1134" w:left="1418" w:header="0" w:footer="0" w:gutter="0"/>
          <w:cols w:space="708"/>
          <w:titlePg/>
          <w:docGrid w:linePitch="360"/>
        </w:sectPr>
      </w:pPr>
      <w:bookmarkStart w:id="1" w:name="OLE_LINK104"/>
    </w:p>
    <w:p w14:paraId="73FBCF90" w14:textId="77777777" w:rsidR="00DF520D" w:rsidRPr="00576991" w:rsidRDefault="00DF520D" w:rsidP="00DF520D">
      <w:pPr>
        <w:pStyle w:val="EinstiegAbschluss"/>
        <w:numPr>
          <w:ilvl w:val="2"/>
          <w:numId w:val="5"/>
        </w:numPr>
        <w:ind w:left="284" w:hanging="284"/>
        <w:rPr>
          <w:lang w:val="en-US"/>
        </w:rPr>
      </w:pPr>
      <w:proofErr w:type="spellStart"/>
      <w:r w:rsidRPr="00DF520D">
        <w:rPr>
          <w:color w:val="FF0000" w:themeColor="accent2"/>
          <w:lang w:val="fr-FR"/>
        </w:rPr>
        <w:lastRenderedPageBreak/>
        <w:t>Salzsäure</w:t>
      </w:r>
      <w:proofErr w:type="spellEnd"/>
      <w:r w:rsidRPr="00CA4C9C">
        <w:rPr>
          <w:lang w:val="fr-FR"/>
        </w:rPr>
        <w:br/>
        <w:t>c= 0,1mol/L</w:t>
      </w:r>
      <w:r>
        <w:rPr>
          <w:lang w:val="fr-FR"/>
        </w:rPr>
        <w:tab/>
      </w:r>
      <w:r w:rsidRPr="00CA4C9C">
        <w:rPr>
          <w:lang w:val="fr-FR"/>
        </w:rPr>
        <w:br/>
      </w:r>
      <w:r w:rsidRPr="00DF520D">
        <w:rPr>
          <w:sz w:val="20"/>
          <w:szCs w:val="18"/>
          <w:lang w:val="fr-FR"/>
        </w:rPr>
        <w:t>CAS-Nr.: 7647-01-0</w:t>
      </w:r>
      <w:bookmarkEnd w:id="1"/>
    </w:p>
    <w:p w14:paraId="1E56B5D6" w14:textId="77777777" w:rsidR="00DF520D" w:rsidRPr="00576991" w:rsidRDefault="00DF520D" w:rsidP="00DF520D">
      <w:pPr>
        <w:pStyle w:val="EinstiegAbschluss"/>
        <w:numPr>
          <w:ilvl w:val="2"/>
          <w:numId w:val="5"/>
        </w:numPr>
        <w:ind w:left="284" w:hanging="254"/>
        <w:rPr>
          <w:lang w:val="en-US"/>
        </w:rPr>
      </w:pPr>
      <w:bookmarkStart w:id="2" w:name="OLE_LINK105"/>
      <w:proofErr w:type="spellStart"/>
      <w:r w:rsidRPr="00DF520D">
        <w:rPr>
          <w:color w:val="FF0000" w:themeColor="accent2"/>
          <w:lang w:val="fr-FR"/>
        </w:rPr>
        <w:lastRenderedPageBreak/>
        <w:t>Natronlauge</w:t>
      </w:r>
      <w:proofErr w:type="spellEnd"/>
      <w:r w:rsidRPr="00CA4C9C">
        <w:rPr>
          <w:lang w:val="fr-FR"/>
        </w:rPr>
        <w:br/>
        <w:t>c= 0,1mol/L</w:t>
      </w:r>
      <w:r>
        <w:rPr>
          <w:lang w:val="fr-FR"/>
        </w:rPr>
        <w:tab/>
      </w:r>
      <w:r w:rsidRPr="00CA4C9C">
        <w:rPr>
          <w:lang w:val="fr-FR"/>
        </w:rPr>
        <w:br/>
      </w:r>
      <w:r w:rsidRPr="00DF520D">
        <w:rPr>
          <w:sz w:val="20"/>
          <w:szCs w:val="18"/>
          <w:lang w:val="fr-FR"/>
        </w:rPr>
        <w:t>CAS-Nr.: 1310-73-2</w:t>
      </w:r>
      <w:bookmarkEnd w:id="2"/>
    </w:p>
    <w:p w14:paraId="7F8A8338" w14:textId="77777777" w:rsidR="00DF520D" w:rsidRPr="00576991" w:rsidRDefault="00DF520D" w:rsidP="00DF520D">
      <w:pPr>
        <w:pStyle w:val="EinstiegAbschluss"/>
        <w:rPr>
          <w:rStyle w:val="Fett"/>
          <w:lang w:val="en-US"/>
        </w:rPr>
        <w:sectPr w:rsidR="00DF520D" w:rsidRPr="00576991" w:rsidSect="00DF520D">
          <w:type w:val="continuous"/>
          <w:pgSz w:w="11906" w:h="16838"/>
          <w:pgMar w:top="851" w:right="1134" w:bottom="1134" w:left="1418" w:header="0" w:footer="0" w:gutter="0"/>
          <w:cols w:num="2" w:space="708"/>
          <w:titlePg/>
          <w:docGrid w:linePitch="360"/>
        </w:sectPr>
      </w:pPr>
    </w:p>
    <w:p w14:paraId="7FD8E92F" w14:textId="77777777" w:rsidR="00DF520D" w:rsidRPr="00DF520D" w:rsidRDefault="00DF520D" w:rsidP="00DF520D">
      <w:pPr>
        <w:pStyle w:val="EinstiegAbschluss"/>
      </w:pPr>
      <w:r w:rsidRPr="00DF520D">
        <w:rPr>
          <w:rStyle w:val="Fett"/>
        </w:rPr>
        <w:lastRenderedPageBreak/>
        <w:t>Durchführung 1</w:t>
      </w:r>
      <w:r>
        <w:t xml:space="preserve">: </w:t>
      </w:r>
      <w:r>
        <w:rPr>
          <w:rFonts w:cs="Arial"/>
        </w:rPr>
        <w:t>Von den abgemessenen farblosen Flüssigkeiten wird mit Hilfe des Glasstabs jeweils ein Tropfen auf ein Stück pH-Papier gegeben.</w:t>
      </w:r>
    </w:p>
    <w:p w14:paraId="3F76BB5E" w14:textId="77777777" w:rsidR="00DF520D" w:rsidRPr="00DF520D" w:rsidRDefault="00DF520D" w:rsidP="00DF520D">
      <w:pPr>
        <w:pStyle w:val="EinstiegAbschluss"/>
      </w:pPr>
      <w:r w:rsidRPr="00DF520D">
        <w:rPr>
          <w:rStyle w:val="Fett"/>
        </w:rPr>
        <w:t>Beobachtung 1</w:t>
      </w:r>
      <w:r>
        <w:t xml:space="preserve">: </w:t>
      </w:r>
      <w:r>
        <w:rPr>
          <w:rFonts w:cs="Arial"/>
        </w:rPr>
        <w:t>Verfärbungen des pH-Papiers nach rot bzw. blau.</w:t>
      </w:r>
    </w:p>
    <w:p w14:paraId="48FED266" w14:textId="77777777" w:rsidR="00DF520D" w:rsidRPr="00DF520D" w:rsidRDefault="00DF520D" w:rsidP="00DF520D">
      <w:pPr>
        <w:pStyle w:val="EinstiegAbschluss"/>
      </w:pPr>
      <w:r w:rsidRPr="00DF520D">
        <w:rPr>
          <w:rStyle w:val="Fett"/>
        </w:rPr>
        <w:t>Deutung 1</w:t>
      </w:r>
      <w:r>
        <w:t xml:space="preserve">: </w:t>
      </w:r>
      <w:r>
        <w:rPr>
          <w:rFonts w:cs="Arial"/>
        </w:rPr>
        <w:t>Bei den beiden farblosen Lösungen handelt es sich um eine Säure (rot) und eine Base (blau).</w:t>
      </w:r>
    </w:p>
    <w:p w14:paraId="72DA774E" w14:textId="77777777" w:rsidR="00DF520D" w:rsidRPr="00DF520D" w:rsidRDefault="00DF520D" w:rsidP="00DF520D">
      <w:pPr>
        <w:pStyle w:val="EinstiegAbschluss"/>
      </w:pPr>
      <w:r w:rsidRPr="00DF520D">
        <w:rPr>
          <w:rStyle w:val="Fett"/>
        </w:rPr>
        <w:t>Durchführung 2</w:t>
      </w:r>
      <w:r>
        <w:t xml:space="preserve">: </w:t>
      </w:r>
      <w:r>
        <w:rPr>
          <w:rFonts w:cs="Arial"/>
        </w:rPr>
        <w:t>Zusammenschütten der beiden farblosen Lösungen. Anschließend Messen des pH-Werts der Flüssigkeit mit Hilfe des Glasstabs und des pH-Papiers. </w:t>
      </w:r>
    </w:p>
    <w:p w14:paraId="421FECE3" w14:textId="77777777" w:rsidR="00DF520D" w:rsidRPr="00DF520D" w:rsidRDefault="00DF520D" w:rsidP="00DF520D">
      <w:pPr>
        <w:pStyle w:val="EinstiegAbschluss"/>
      </w:pPr>
      <w:r w:rsidRPr="00DF520D">
        <w:rPr>
          <w:rStyle w:val="Fett"/>
        </w:rPr>
        <w:t>Beobachtung 2</w:t>
      </w:r>
      <w:r>
        <w:t xml:space="preserve">: </w:t>
      </w:r>
      <w:r>
        <w:rPr>
          <w:rFonts w:cs="Arial"/>
        </w:rPr>
        <w:t>Verfärbung des pH-Papiers nach grün.</w:t>
      </w:r>
    </w:p>
    <w:p w14:paraId="5DCF9C8D" w14:textId="77777777" w:rsidR="00DF520D" w:rsidRPr="00DF520D" w:rsidRDefault="00DF520D" w:rsidP="00DF520D">
      <w:pPr>
        <w:pStyle w:val="EinstiegAbschluss"/>
      </w:pPr>
      <w:r w:rsidRPr="00DF520D">
        <w:rPr>
          <w:rStyle w:val="Fett"/>
        </w:rPr>
        <w:t>Deutung 2</w:t>
      </w:r>
      <w:r>
        <w:t xml:space="preserve">: </w:t>
      </w:r>
      <w:r>
        <w:rPr>
          <w:rFonts w:cs="Arial"/>
        </w:rPr>
        <w:t>Nach dem Zusammenschütten der beiden Lösungen ist die Flüssigkeit neutral (grün).</w:t>
      </w:r>
    </w:p>
    <w:p w14:paraId="00B5B022" w14:textId="77777777" w:rsidR="00DF520D" w:rsidRDefault="00DF520D" w:rsidP="00DF520D">
      <w:pPr>
        <w:pStyle w:val="EinstiegAbschluss"/>
      </w:pPr>
      <w:r w:rsidRPr="00DF520D">
        <w:rPr>
          <w:rStyle w:val="Fett"/>
        </w:rPr>
        <w:t>Entsorgung</w:t>
      </w:r>
      <w:r>
        <w:t>: Ausguss</w:t>
      </w:r>
    </w:p>
    <w:p w14:paraId="5532B2D6" w14:textId="77777777" w:rsidR="00DF520D" w:rsidRDefault="00DF520D" w:rsidP="00DF520D">
      <w:pPr>
        <w:pStyle w:val="EinstiegAbschluss"/>
      </w:pPr>
      <w:r w:rsidRPr="00DF520D">
        <w:rPr>
          <w:rStyle w:val="Fett"/>
        </w:rPr>
        <w:t>Quelle</w:t>
      </w:r>
      <w:r>
        <w:t>: Didaktik der Chemie, Universität Bayreuth</w:t>
      </w:r>
    </w:p>
    <w:p w14:paraId="15039536" w14:textId="77777777" w:rsidR="004C0AA2" w:rsidRPr="004C0AA2" w:rsidRDefault="004C0AA2" w:rsidP="004C0AA2">
      <w:pPr>
        <w:pStyle w:val="EinstiegAbschluss"/>
      </w:pPr>
      <w:r w:rsidRPr="004C0AA2">
        <w:t xml:space="preserve">Früher hatte man keine anderen Möglichkeiten gehabt bzw. gewusst, als Stoffe mit Hilfe der Sinnesorgane einzuteilen und zu gruppieren, so wurden auch Säuren früher nach </w:t>
      </w:r>
      <w:r w:rsidRPr="004C0AA2">
        <w:lastRenderedPageBreak/>
        <w:t xml:space="preserve">ihrem sauren Geschmack definiert. Irgendwann stellte sich diese Methode allerdings doch als etwas problematisch heraus und so wurde nach anderen Kennzeichnungen und Einteilungen von Stoffen gesucht. Dabei wurde unter anderem entdeckt, dass Säuren ihre sauren Eigenschaften verlieren, wenn man sie mit einem bestimmten Stoff, den Basen, mischt. </w:t>
      </w:r>
    </w:p>
    <w:p w14:paraId="457FF2E9" w14:textId="77777777" w:rsidR="004C0AA2" w:rsidRPr="004C0AA2" w:rsidRDefault="004C0AA2" w:rsidP="004C0AA2">
      <w:pPr>
        <w:pStyle w:val="EinstiegAbschluss"/>
      </w:pPr>
      <w:r w:rsidRPr="004C0AA2">
        <w:t xml:space="preserve">Beim Mischen verlieren beide der im Versuch verwendeten Lösungen ihre jeweiligen Eigenschaften. Mittlerweile gibt es eine Reihe von Konzepten, die das Verhalten von Säuren und Basen beschreiben und mit deren Hilfe sich auch derartige Neutralisationsreaktionen erklären lassen. Zwei davon werden im Folgenden vorgestellt: das Konzept von Arrhenius und das von </w:t>
      </w:r>
      <w:proofErr w:type="spellStart"/>
      <w:r w:rsidRPr="004C0AA2">
        <w:t>Brønsted</w:t>
      </w:r>
      <w:proofErr w:type="spellEnd"/>
      <w:r w:rsidRPr="004C0AA2">
        <w:t>.</w:t>
      </w:r>
    </w:p>
    <w:p w14:paraId="5896BA9F" w14:textId="537BEE02" w:rsidR="004C0AA2" w:rsidRDefault="004C0AA2" w:rsidP="004C0AA2">
      <w:pPr>
        <w:pStyle w:val="EinstiegAbschluss"/>
      </w:pPr>
      <w:r w:rsidRPr="004C0AA2">
        <w:rPr>
          <w:rStyle w:val="Fett"/>
        </w:rPr>
        <w:t>Einstieg 2</w:t>
      </w:r>
      <w:r w:rsidRPr="004C0AA2">
        <w:t xml:space="preserve">: In einer Prüfung behauptet die Schülerin auf Grund ihres Wissens, dass die Schwefelsäure eine Arrhenius-Säure </w:t>
      </w:r>
      <w:r w:rsidR="00576991">
        <w:t>sei</w:t>
      </w:r>
      <w:r w:rsidRPr="004C0AA2">
        <w:t xml:space="preserve">. Der Lehrer allerdings streicht diese Antwort durch und wertet diese Aussage der Schülerin als falsch. </w:t>
      </w:r>
      <w:r w:rsidR="00576991">
        <w:t>E</w:t>
      </w:r>
      <w:r w:rsidRPr="004C0AA2">
        <w:t xml:space="preserve">r ist der Meinung, dass die Schwefelsäure eine </w:t>
      </w:r>
      <w:proofErr w:type="spellStart"/>
      <w:r w:rsidRPr="004C0AA2">
        <w:t>Brønsted</w:t>
      </w:r>
      <w:proofErr w:type="spellEnd"/>
      <w:r w:rsidRPr="004C0AA2">
        <w:t xml:space="preserve">-Säure </w:t>
      </w:r>
      <w:r w:rsidR="00576991">
        <w:t>sei</w:t>
      </w:r>
      <w:r w:rsidRPr="004C0AA2">
        <w:t>. Wer von den Beiden hat nun Recht?</w:t>
      </w:r>
    </w:p>
    <w:p w14:paraId="5466A063" w14:textId="4D46DCE3" w:rsidR="008E3FE9" w:rsidRPr="004C0AA2" w:rsidRDefault="008E3FE9" w:rsidP="008E3FE9">
      <w:pPr>
        <w:pStyle w:val="EinstiegAbschluss"/>
      </w:pPr>
      <w:r>
        <w:rPr>
          <w:rStyle w:val="Fett"/>
        </w:rPr>
        <w:t>Einstieg 3</w:t>
      </w:r>
      <w:r w:rsidRPr="008E3FE9">
        <w:t>:</w:t>
      </w:r>
      <w:r>
        <w:t xml:space="preserve"> Beim Durchsuchen alter Chemieaufzeichnungen aus der Schule, fällt auf, dass in der Sekundarstufe I und II immer zuerst das Säure/Base Konzept nach Arrhenius behandelt und erst später mit dem Konzept nach </w:t>
      </w:r>
      <w:proofErr w:type="spellStart"/>
      <w:r>
        <w:t>Br</w:t>
      </w:r>
      <w:r>
        <w:rPr>
          <w:rFonts w:cs="Arial"/>
        </w:rPr>
        <w:t>ø</w:t>
      </w:r>
      <w:r>
        <w:t>nsted</w:t>
      </w:r>
      <w:proofErr w:type="spellEnd"/>
      <w:r>
        <w:t xml:space="preserve"> erweitert wird. Didaktische Studien im Fach Chemie zeigen allerdings, dass die Lernenden im Unterricht meist nur mit dem Konzept nach Arrhenius argumentieren, obwohl beide Konzepte ausführlich besprochen wurden und es sich bei dem Konzept nach </w:t>
      </w:r>
      <w:proofErr w:type="spellStart"/>
      <w:r>
        <w:t>Br</w:t>
      </w:r>
      <w:r>
        <w:rPr>
          <w:rFonts w:cs="Arial"/>
        </w:rPr>
        <w:t>ø</w:t>
      </w:r>
      <w:r>
        <w:t>nsted</w:t>
      </w:r>
      <w:proofErr w:type="spellEnd"/>
      <w:r>
        <w:t xml:space="preserve"> um das historisch modernere und weiter</w:t>
      </w:r>
      <w:r w:rsidR="00E2527B">
        <w:t xml:space="preserve"> </w:t>
      </w:r>
      <w:proofErr w:type="spellStart"/>
      <w:r>
        <w:t>entwickeltere</w:t>
      </w:r>
      <w:proofErr w:type="spellEnd"/>
      <w:r>
        <w:t xml:space="preserve"> Konzept handelt.</w:t>
      </w:r>
    </w:p>
    <w:p w14:paraId="06D8218D" w14:textId="033A650E" w:rsidR="008E3FE9" w:rsidRDefault="004C0AA2" w:rsidP="008E3FE9">
      <w:pPr>
        <w:pStyle w:val="berschrift1"/>
      </w:pPr>
      <w:bookmarkStart w:id="3" w:name="_Toc77020297"/>
      <w:r>
        <w:t xml:space="preserve">Konzept nach </w:t>
      </w:r>
      <w:proofErr w:type="spellStart"/>
      <w:r w:rsidR="008E3FE9">
        <w:t>Br</w:t>
      </w:r>
      <w:r w:rsidR="008E3FE9">
        <w:rPr>
          <w:rFonts w:cstheme="majorHAnsi"/>
        </w:rPr>
        <w:t>ø</w:t>
      </w:r>
      <w:r w:rsidR="008E3FE9">
        <w:t>nsted</w:t>
      </w:r>
      <w:bookmarkEnd w:id="3"/>
      <w:proofErr w:type="spellEnd"/>
    </w:p>
    <w:p w14:paraId="2134FA80" w14:textId="77777777" w:rsidR="00013D52" w:rsidRDefault="00013D52" w:rsidP="00013D52">
      <w:pPr>
        <w:pStyle w:val="Bilder"/>
      </w:pPr>
      <w:r>
        <w:rPr>
          <w:lang w:eastAsia="de-DE"/>
        </w:rPr>
        <w:drawing>
          <wp:inline distT="0" distB="0" distL="0" distR="0" wp14:anchorId="03D4E94B" wp14:editId="1A0693ED">
            <wp:extent cx="1715770" cy="2573655"/>
            <wp:effectExtent l="0" t="0" r="0" b="0"/>
            <wp:docPr id="19" name="Grafik 19" descr="Ein Bild, das Wand, Mann, Person,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descr="Ein Bild, das Wand, Mann, Person, Anzug enthält.&#10;&#10;Automatisch generierte Beschreibung"/>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715770" cy="2573655"/>
                    </a:xfrm>
                    <a:prstGeom prst="rect">
                      <a:avLst/>
                    </a:prstGeom>
                    <a:noFill/>
                    <a:ln>
                      <a:noFill/>
                    </a:ln>
                  </pic:spPr>
                </pic:pic>
              </a:graphicData>
            </a:graphic>
          </wp:inline>
        </w:drawing>
      </w:r>
    </w:p>
    <w:p w14:paraId="087AB9AD" w14:textId="52333861" w:rsidR="00013D52" w:rsidRDefault="00013D52" w:rsidP="00013D52">
      <w:pPr>
        <w:pStyle w:val="Beschriftung"/>
      </w:pPr>
      <w:r>
        <w:t xml:space="preserve">Abb. </w:t>
      </w:r>
      <w:r w:rsidR="00217507">
        <w:t>1</w:t>
      </w:r>
      <w:r>
        <w:t xml:space="preserve">: Johannes Nicolaus </w:t>
      </w:r>
      <w:proofErr w:type="spellStart"/>
      <w:r>
        <w:rPr>
          <w:rFonts w:cs="Arial"/>
        </w:rPr>
        <w:t>Brønsted</w:t>
      </w:r>
      <w:proofErr w:type="spellEnd"/>
      <w:r>
        <w:rPr>
          <w:rFonts w:cs="Arial"/>
        </w:rPr>
        <w:t xml:space="preserve"> (1879 - 1947) [</w:t>
      </w:r>
      <w:r>
        <w:rPr>
          <w:rFonts w:cs="Arial"/>
        </w:rPr>
        <w:fldChar w:fldCharType="begin"/>
      </w:r>
      <w:r>
        <w:rPr>
          <w:rFonts w:cs="Arial"/>
        </w:rPr>
        <w:instrText xml:space="preserve"> REF _Ref46736350 \r \h </w:instrText>
      </w:r>
      <w:r>
        <w:rPr>
          <w:rFonts w:cs="Arial"/>
        </w:rPr>
      </w:r>
      <w:r>
        <w:rPr>
          <w:rFonts w:cs="Arial"/>
        </w:rPr>
        <w:fldChar w:fldCharType="separate"/>
      </w:r>
      <w:r w:rsidR="0045092F">
        <w:rPr>
          <w:rFonts w:cs="Arial"/>
        </w:rPr>
        <w:t>6</w:t>
      </w:r>
      <w:r>
        <w:rPr>
          <w:rFonts w:cs="Arial"/>
        </w:rPr>
        <w:fldChar w:fldCharType="end"/>
      </w:r>
      <w:r>
        <w:rPr>
          <w:rFonts w:cs="Arial"/>
        </w:rPr>
        <w:t>]</w:t>
      </w:r>
    </w:p>
    <w:p w14:paraId="6731C5A9" w14:textId="754A1FC9" w:rsidR="00013D52" w:rsidRPr="00DC0A1D" w:rsidRDefault="00E76D0D" w:rsidP="00013D52">
      <w:r>
        <w:t xml:space="preserve">1923 entwickelte Johannes Nicolaus </w:t>
      </w:r>
      <w:proofErr w:type="spellStart"/>
      <w:r>
        <w:t>Br</w:t>
      </w:r>
      <w:r>
        <w:rPr>
          <w:rFonts w:cs="Arial"/>
        </w:rPr>
        <w:t>øn</w:t>
      </w:r>
      <w:r>
        <w:t>sted</w:t>
      </w:r>
      <w:proofErr w:type="spellEnd"/>
      <w:r>
        <w:t xml:space="preserve"> eine auf Protonenübertragung bezogene Säure/Base Definition. </w:t>
      </w:r>
      <w:r w:rsidR="00013D52" w:rsidRPr="00DC0A1D">
        <w:t>Bis</w:t>
      </w:r>
      <w:r>
        <w:t xml:space="preserve"> zu diesem Zeitpunkt</w:t>
      </w:r>
      <w:r w:rsidR="00013D52" w:rsidRPr="00DC0A1D">
        <w:t xml:space="preserve"> gab es keinen experimentellen Anhaltspunkt dafür, dass freie Wasserstoff</w:t>
      </w:r>
      <w:r w:rsidR="00013D52">
        <w:t>-I</w:t>
      </w:r>
      <w:r w:rsidR="00013D52" w:rsidRPr="00DC0A1D">
        <w:t xml:space="preserve">onen in wässrigen Systemen existieren, so dass man davon </w:t>
      </w:r>
      <w:proofErr w:type="gramStart"/>
      <w:r w:rsidR="00013D52" w:rsidRPr="00DC0A1D">
        <w:t>aus ging</w:t>
      </w:r>
      <w:proofErr w:type="gramEnd"/>
      <w:r w:rsidR="00013D52" w:rsidRPr="00DC0A1D">
        <w:t>, dass sich die Wasserstoff</w:t>
      </w:r>
      <w:r w:rsidR="00013D52">
        <w:t>-I</w:t>
      </w:r>
      <w:r w:rsidR="00013D52" w:rsidRPr="00DC0A1D">
        <w:t>onen im Augenblick ihres Freiwerdens bei der Dissoziation mit einem Wasser</w:t>
      </w:r>
      <w:r w:rsidR="00013D52">
        <w:t>-M</w:t>
      </w:r>
      <w:r w:rsidR="00013D52" w:rsidRPr="00DC0A1D">
        <w:t>olekül zu einem Oxonium-Ion (H</w:t>
      </w:r>
      <w:r w:rsidR="00013D52" w:rsidRPr="00E82A8C">
        <w:rPr>
          <w:vertAlign w:val="subscript"/>
        </w:rPr>
        <w:t>3</w:t>
      </w:r>
      <w:r w:rsidR="00013D52" w:rsidRPr="00DC0A1D">
        <w:t>O</w:t>
      </w:r>
      <w:r w:rsidR="00013D52" w:rsidRPr="00E82A8C">
        <w:rPr>
          <w:vertAlign w:val="superscript"/>
        </w:rPr>
        <w:t>+</w:t>
      </w:r>
      <w:r w:rsidR="00013D52" w:rsidRPr="00DC0A1D">
        <w:t>) vereinigen. Säure-Base-Reaktion sind demnach auf Wasserstoffionen</w:t>
      </w:r>
      <w:r w:rsidR="00013D52">
        <w:t>-Ü</w:t>
      </w:r>
      <w:r w:rsidR="00013D52" w:rsidRPr="00DC0A1D">
        <w:t xml:space="preserve">bergänge zurückzuführen. Auf dieser Grundlage entwickelte </w:t>
      </w:r>
      <w:proofErr w:type="spellStart"/>
      <w:r w:rsidR="00013D52" w:rsidRPr="00DC0A1D">
        <w:t>Brønsted</w:t>
      </w:r>
      <w:proofErr w:type="spellEnd"/>
      <w:r w:rsidR="00013D52" w:rsidRPr="00DC0A1D">
        <w:t xml:space="preserve"> </w:t>
      </w:r>
      <w:r>
        <w:t>s</w:t>
      </w:r>
      <w:r w:rsidR="00013D52" w:rsidRPr="00DC0A1D">
        <w:t xml:space="preserve">eine Säure-Base-Definition: </w:t>
      </w:r>
    </w:p>
    <w:p w14:paraId="7B78DDDA" w14:textId="77777777" w:rsidR="00013D52" w:rsidRPr="00DC0A1D" w:rsidRDefault="00013D52" w:rsidP="00013D52">
      <w:pPr>
        <w:pStyle w:val="Grn"/>
      </w:pPr>
      <w:proofErr w:type="spellStart"/>
      <w:r w:rsidRPr="00E82A8C">
        <w:rPr>
          <w:rStyle w:val="Fett"/>
        </w:rPr>
        <w:t>Brønsted</w:t>
      </w:r>
      <w:proofErr w:type="spellEnd"/>
      <w:r w:rsidRPr="00E82A8C">
        <w:rPr>
          <w:rStyle w:val="Fett"/>
        </w:rPr>
        <w:t>-Säuren</w:t>
      </w:r>
      <w:r w:rsidRPr="00DC0A1D">
        <w:t xml:space="preserve"> sind </w:t>
      </w:r>
      <w:r w:rsidRPr="00E2527B">
        <w:rPr>
          <w:b/>
          <w:bCs/>
        </w:rPr>
        <w:t>Teilchen</w:t>
      </w:r>
      <w:r w:rsidRPr="00DC0A1D">
        <w:t>, die Wasserstoff-Kationen abspalten können. Sie werden Protonen</w:t>
      </w:r>
      <w:r>
        <w:t>-D</w:t>
      </w:r>
      <w:r w:rsidRPr="00DC0A1D">
        <w:t xml:space="preserve">onatoren genannt. </w:t>
      </w:r>
    </w:p>
    <w:p w14:paraId="66E3DEE4" w14:textId="0BC11052" w:rsidR="00013D52" w:rsidRPr="00DC0A1D" w:rsidRDefault="00013D52" w:rsidP="00013D52">
      <w:r w:rsidRPr="00DC0A1D">
        <w:t>Basen</w:t>
      </w:r>
      <w:r>
        <w:t>-D</w:t>
      </w:r>
      <w:r w:rsidRPr="00DC0A1D">
        <w:t xml:space="preserve">efinition ist nicht analog, sondern komplementär formuliert: </w:t>
      </w:r>
    </w:p>
    <w:p w14:paraId="1F680857" w14:textId="5BFF1CA6" w:rsidR="00013D52" w:rsidRDefault="00013D52" w:rsidP="00013D52">
      <w:pPr>
        <w:pStyle w:val="Grn"/>
      </w:pPr>
      <w:proofErr w:type="spellStart"/>
      <w:r w:rsidRPr="00E82A8C">
        <w:rPr>
          <w:rStyle w:val="Fett"/>
        </w:rPr>
        <w:lastRenderedPageBreak/>
        <w:t>Brønsted</w:t>
      </w:r>
      <w:proofErr w:type="spellEnd"/>
      <w:r w:rsidRPr="00E82A8C">
        <w:rPr>
          <w:rStyle w:val="Fett"/>
        </w:rPr>
        <w:t>-Basen</w:t>
      </w:r>
      <w:r w:rsidRPr="00E82A8C">
        <w:t xml:space="preserve"> sind </w:t>
      </w:r>
      <w:r w:rsidRPr="00E2527B">
        <w:rPr>
          <w:b/>
          <w:bCs/>
        </w:rPr>
        <w:t>Teilchen</w:t>
      </w:r>
      <w:r w:rsidRPr="00E82A8C">
        <w:t>, die Wasserstoff-Kationen aufnehmen können. Sie werden Protonen</w:t>
      </w:r>
      <w:r>
        <w:t>-A</w:t>
      </w:r>
      <w:r w:rsidRPr="00E82A8C">
        <w:t>kzeptoren genannt.</w:t>
      </w:r>
    </w:p>
    <w:p w14:paraId="7514C765" w14:textId="77777777" w:rsidR="00013D52" w:rsidRPr="00DC0A1D" w:rsidRDefault="00013D52" w:rsidP="00013D52">
      <w:r w:rsidRPr="00DC0A1D">
        <w:t>Anders dargestellt:</w:t>
      </w:r>
    </w:p>
    <w:p w14:paraId="39326D12" w14:textId="77777777" w:rsidR="00013D52" w:rsidRDefault="00013D52" w:rsidP="00013D52">
      <w:pPr>
        <w:pStyle w:val="Bilder"/>
      </w:pPr>
      <w:r>
        <w:rPr>
          <w:lang w:eastAsia="de-DE"/>
        </w:rPr>
        <w:drawing>
          <wp:inline distT="0" distB="0" distL="0" distR="0" wp14:anchorId="0965AEFD" wp14:editId="1CF6C2C1">
            <wp:extent cx="2846705" cy="744855"/>
            <wp:effectExtent l="0" t="0" r="0" b="0"/>
            <wp:docPr id="20" name="Grafik 2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descr="Ein Bild, das Text enthält.&#10;&#10;Automatisch generierte Beschreibung"/>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2846705" cy="744855"/>
                    </a:xfrm>
                    <a:prstGeom prst="rect">
                      <a:avLst/>
                    </a:prstGeom>
                    <a:noFill/>
                    <a:ln>
                      <a:noFill/>
                    </a:ln>
                  </pic:spPr>
                </pic:pic>
              </a:graphicData>
            </a:graphic>
          </wp:inline>
        </w:drawing>
      </w:r>
    </w:p>
    <w:p w14:paraId="5E8F1D49" w14:textId="15EADD33" w:rsidR="00013D52" w:rsidRDefault="00013D52" w:rsidP="00013D52">
      <w:pPr>
        <w:pStyle w:val="Beschriftung"/>
      </w:pPr>
      <w:r>
        <w:t xml:space="preserve">Abb. </w:t>
      </w:r>
      <w:r w:rsidR="00217507">
        <w:t>2</w:t>
      </w:r>
      <w:r>
        <w:t>: Protonen-Abgabe</w:t>
      </w:r>
    </w:p>
    <w:p w14:paraId="336359E1" w14:textId="77777777" w:rsidR="00013D52" w:rsidRPr="00E82A8C" w:rsidRDefault="00013D52" w:rsidP="00013D52">
      <w:r w:rsidRPr="00E82A8C">
        <w:t xml:space="preserve">Eine Säure gibt ein </w:t>
      </w:r>
      <w:r w:rsidRPr="00E82A8C">
        <w:rPr>
          <w:rStyle w:val="RotZchn"/>
        </w:rPr>
        <w:t>Proton</w:t>
      </w:r>
      <w:r w:rsidRPr="00E82A8C">
        <w:t xml:space="preserve"> ab und wird dabei zur Base. Es handelt sich dabei um eine Gleichgewichtsreaktion. Man bezeichnet die Säure und die aus ihr entstehende Base als </w:t>
      </w:r>
      <w:r w:rsidRPr="00E82A8C">
        <w:rPr>
          <w:rStyle w:val="BlauZchn"/>
        </w:rPr>
        <w:t>konjugiertes Säure-Base-Paar</w:t>
      </w:r>
      <w:r w:rsidRPr="00E82A8C">
        <w:t>.</w:t>
      </w:r>
    </w:p>
    <w:p w14:paraId="057BD6D9" w14:textId="77777777" w:rsidR="00013D52" w:rsidRPr="00E82A8C" w:rsidRDefault="00013D52" w:rsidP="00013D52">
      <w:r w:rsidRPr="00E82A8C">
        <w:t xml:space="preserve">Ausgehend von der Annahme, dass freie Protonen in einer Lösung nicht existieren können, kann die Abspaltung des Protons nicht als isolierte Reaktion gesehen werden. Deshalb muss sie mit einer zweiten Reaktion gekoppelt sein, bei der das Proton </w:t>
      </w:r>
      <w:proofErr w:type="gramStart"/>
      <w:r w:rsidRPr="00E82A8C">
        <w:t>wieder aufgenommen</w:t>
      </w:r>
      <w:proofErr w:type="gramEnd"/>
      <w:r w:rsidRPr="00E82A8C">
        <w:t xml:space="preserve"> wird. Daher ist zusätzlich eine Base nötig, die das freiwerdende Proton </w:t>
      </w:r>
      <w:proofErr w:type="gramStart"/>
      <w:r w:rsidRPr="00E82A8C">
        <w:t>wieder aufnimmt</w:t>
      </w:r>
      <w:proofErr w:type="gramEnd"/>
      <w:r w:rsidRPr="00E82A8C">
        <w:t>.</w:t>
      </w:r>
    </w:p>
    <w:p w14:paraId="7AEDE898" w14:textId="77777777" w:rsidR="00013D52" w:rsidRDefault="00013D52" w:rsidP="00013D52">
      <w:pPr>
        <w:pStyle w:val="Bilder"/>
      </w:pPr>
      <w:r>
        <w:rPr>
          <w:lang w:eastAsia="de-DE"/>
        </w:rPr>
        <w:drawing>
          <wp:inline distT="0" distB="0" distL="0" distR="0" wp14:anchorId="419A2B59" wp14:editId="527DC8E0">
            <wp:extent cx="2837180" cy="744855"/>
            <wp:effectExtent l="0" t="0" r="1270" b="0"/>
            <wp:docPr id="21" name="Grafik 2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descr="Ein Bild, das Text enthält.&#10;&#10;Automatisch generierte Beschreibung"/>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2837180" cy="744855"/>
                    </a:xfrm>
                    <a:prstGeom prst="rect">
                      <a:avLst/>
                    </a:prstGeom>
                    <a:noFill/>
                    <a:ln>
                      <a:noFill/>
                    </a:ln>
                  </pic:spPr>
                </pic:pic>
              </a:graphicData>
            </a:graphic>
          </wp:inline>
        </w:drawing>
      </w:r>
    </w:p>
    <w:p w14:paraId="1400FE0A" w14:textId="7755EF66" w:rsidR="00013D52" w:rsidRDefault="00013D52" w:rsidP="00013D52">
      <w:pPr>
        <w:pStyle w:val="Beschriftung"/>
      </w:pPr>
      <w:r>
        <w:t xml:space="preserve">Abb. </w:t>
      </w:r>
      <w:r w:rsidR="00217507">
        <w:t>3</w:t>
      </w:r>
      <w:r>
        <w:t>: Protonen-Aufnahme</w:t>
      </w:r>
    </w:p>
    <w:p w14:paraId="051E91FD" w14:textId="77777777" w:rsidR="00013D52" w:rsidRDefault="00013D52" w:rsidP="00013D52">
      <w:pPr>
        <w:rPr>
          <w:rFonts w:cs="Arial"/>
        </w:rPr>
      </w:pPr>
      <w:r>
        <w:rPr>
          <w:rFonts w:cs="Arial"/>
        </w:rPr>
        <w:t>Somit ergibt sich für die gesamte Protonen-Übergangsreaktion:</w:t>
      </w:r>
    </w:p>
    <w:p w14:paraId="00D34DE9" w14:textId="77777777" w:rsidR="00013D52" w:rsidRDefault="00013D52" w:rsidP="00013D52">
      <w:pPr>
        <w:pStyle w:val="Bilder"/>
      </w:pPr>
      <w:r>
        <w:rPr>
          <w:lang w:eastAsia="de-DE"/>
        </w:rPr>
        <w:drawing>
          <wp:inline distT="0" distB="0" distL="0" distR="0" wp14:anchorId="3E902785" wp14:editId="3B48F39B">
            <wp:extent cx="2837180" cy="1216025"/>
            <wp:effectExtent l="0" t="0" r="1270" b="3175"/>
            <wp:docPr id="22" name="Grafik 2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descr="Ein Bild, das Text enthält.&#10;&#10;Automatisch generierte Beschreibung"/>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2837180" cy="1216025"/>
                    </a:xfrm>
                    <a:prstGeom prst="rect">
                      <a:avLst/>
                    </a:prstGeom>
                    <a:noFill/>
                    <a:ln>
                      <a:noFill/>
                    </a:ln>
                  </pic:spPr>
                </pic:pic>
              </a:graphicData>
            </a:graphic>
          </wp:inline>
        </w:drawing>
      </w:r>
    </w:p>
    <w:p w14:paraId="4560A38F" w14:textId="1A923393" w:rsidR="00013D52" w:rsidRDefault="00013D52" w:rsidP="00013D52">
      <w:pPr>
        <w:pStyle w:val="Beschriftung"/>
      </w:pPr>
      <w:r>
        <w:t>Abb.</w:t>
      </w:r>
      <w:r w:rsidR="00217507">
        <w:t>4</w:t>
      </w:r>
      <w:r>
        <w:t>: Gesamte Protonen-Übergangsreaktion</w:t>
      </w:r>
    </w:p>
    <w:p w14:paraId="276F7C78" w14:textId="77777777" w:rsidR="00013D52" w:rsidRPr="00E82A8C" w:rsidRDefault="00013D52" w:rsidP="00013D52">
      <w:r w:rsidRPr="00E82A8C">
        <w:t>An einer Protonen</w:t>
      </w:r>
      <w:r>
        <w:t>-Ü</w:t>
      </w:r>
      <w:r w:rsidRPr="00E82A8C">
        <w:t>bergangsreaktion (Protolyse</w:t>
      </w:r>
      <w:r>
        <w:t>-R</w:t>
      </w:r>
      <w:r w:rsidRPr="00E82A8C">
        <w:t xml:space="preserve">eaktion) sind immer </w:t>
      </w:r>
      <w:r w:rsidRPr="00E82A8C">
        <w:rPr>
          <w:rStyle w:val="Fett"/>
        </w:rPr>
        <w:t>zwei Säure-Base-Paare</w:t>
      </w:r>
      <w:r w:rsidRPr="00E82A8C">
        <w:t xml:space="preserve"> beteiligt, zwischen denen ein Gleichgewicht existiert. Säure-Base-Reaktionen werden als Protolysen bezeichnet. </w:t>
      </w:r>
    </w:p>
    <w:p w14:paraId="7B06CC86" w14:textId="1A577FC7" w:rsidR="00013D52" w:rsidRPr="00E76D0D" w:rsidRDefault="00013D52" w:rsidP="00013D52">
      <w:r w:rsidRPr="00E82A8C">
        <w:t xml:space="preserve">Beispiel: Reaktion von </w:t>
      </w:r>
      <w:r w:rsidR="00E76D0D">
        <w:t>Schwefelsäure (</w:t>
      </w:r>
      <w:r w:rsidRPr="00E82A8C">
        <w:t>H</w:t>
      </w:r>
      <w:r w:rsidRPr="00E82A8C">
        <w:rPr>
          <w:vertAlign w:val="subscript"/>
        </w:rPr>
        <w:t>2</w:t>
      </w:r>
      <w:r w:rsidRPr="00E82A8C">
        <w:t>SO</w:t>
      </w:r>
      <w:r w:rsidRPr="00E82A8C">
        <w:rPr>
          <w:vertAlign w:val="subscript"/>
        </w:rPr>
        <w:t>4</w:t>
      </w:r>
      <w:proofErr w:type="gramStart"/>
      <w:r w:rsidR="00E76D0D">
        <w:t>)</w:t>
      </w:r>
      <w:r w:rsidRPr="00E82A8C">
        <w:t xml:space="preserve"> </w:t>
      </w:r>
      <w:r w:rsidR="00E2527B">
        <w:t xml:space="preserve"> -</w:t>
      </w:r>
      <w:proofErr w:type="gramEnd"/>
      <w:r w:rsidR="00E2527B">
        <w:t xml:space="preserve"> </w:t>
      </w:r>
      <w:r w:rsidRPr="00E82A8C">
        <w:t>und</w:t>
      </w:r>
      <w:r w:rsidR="00E76D0D">
        <w:t xml:space="preserve"> Ammoniak (</w:t>
      </w:r>
      <w:r w:rsidRPr="00E82A8C">
        <w:t>NH</w:t>
      </w:r>
      <w:r w:rsidRPr="00E82A8C">
        <w:rPr>
          <w:vertAlign w:val="subscript"/>
        </w:rPr>
        <w:t>3</w:t>
      </w:r>
      <w:r w:rsidR="00E76D0D">
        <w:t>)</w:t>
      </w:r>
      <w:r w:rsidR="00E2527B">
        <w:t xml:space="preserve"> - Teilchen</w:t>
      </w:r>
    </w:p>
    <w:p w14:paraId="07C2D212" w14:textId="29CDC325" w:rsidR="00013D52" w:rsidRPr="00E82A8C" w:rsidRDefault="00E76D0D" w:rsidP="00013D52">
      <w:r>
        <w:t>Schwefelsäure (</w:t>
      </w:r>
      <w:r w:rsidR="00013D52" w:rsidRPr="00E82A8C">
        <w:t>H</w:t>
      </w:r>
      <w:r w:rsidR="00013D52" w:rsidRPr="00E82A8C">
        <w:rPr>
          <w:vertAlign w:val="subscript"/>
        </w:rPr>
        <w:t>2</w:t>
      </w:r>
      <w:r w:rsidR="00013D52" w:rsidRPr="00E82A8C">
        <w:t>SO</w:t>
      </w:r>
      <w:r w:rsidR="00013D52" w:rsidRPr="00E82A8C">
        <w:rPr>
          <w:vertAlign w:val="subscript"/>
        </w:rPr>
        <w:t>4</w:t>
      </w:r>
      <w:r>
        <w:t>)</w:t>
      </w:r>
      <w:r w:rsidR="00013D52" w:rsidRPr="00E82A8C">
        <w:t xml:space="preserve"> ist eine Säure und kann demnach Protonen abspalten. Das dabei entstehende </w:t>
      </w:r>
      <w:r>
        <w:t>Hydrogensulfat (</w:t>
      </w:r>
      <w:r w:rsidR="00013D52" w:rsidRPr="00E82A8C">
        <w:t>HSO</w:t>
      </w:r>
      <w:r w:rsidR="00013D52" w:rsidRPr="00E82A8C">
        <w:rPr>
          <w:vertAlign w:val="subscript"/>
        </w:rPr>
        <w:t>4</w:t>
      </w:r>
      <w:proofErr w:type="gramStart"/>
      <w:r w:rsidR="00013D52" w:rsidRPr="00E82A8C">
        <w:rPr>
          <w:vertAlign w:val="superscript"/>
        </w:rPr>
        <w:t>-</w:t>
      </w:r>
      <w:r>
        <w:t>)</w:t>
      </w:r>
      <w:r w:rsidR="00013D52" w:rsidRPr="00E82A8C">
        <w:t>-</w:t>
      </w:r>
      <w:proofErr w:type="gramEnd"/>
      <w:r>
        <w:t>Ani</w:t>
      </w:r>
      <w:r w:rsidR="00013D52" w:rsidRPr="00E82A8C">
        <w:t>on ist eine Base, da es Protonen aufnehmen kann. Die Schwefelsäure kann das Proton jedoch nicht abgeben, wenn keine Base vorhanden</w:t>
      </w:r>
      <w:r>
        <w:t xml:space="preserve"> ist</w:t>
      </w:r>
      <w:r w:rsidR="00013D52" w:rsidRPr="00E82A8C">
        <w:t xml:space="preserve">, die es aufnimmt. </w:t>
      </w:r>
      <w:r w:rsidR="00670494">
        <w:t>Deshalb benötigt</w:t>
      </w:r>
      <w:r w:rsidR="00013D52" w:rsidRPr="00E82A8C">
        <w:t xml:space="preserve"> man </w:t>
      </w:r>
      <w:r w:rsidR="00670494">
        <w:t xml:space="preserve">den </w:t>
      </w:r>
      <w:r w:rsidR="00013D52" w:rsidRPr="00E82A8C">
        <w:t>Ammoniak. Ammoniak wirkt als Base, da es das abgegebene Proton aufnehmen kann</w:t>
      </w:r>
      <w:r w:rsidR="00013D52">
        <w:t>.</w:t>
      </w:r>
      <w:r w:rsidR="00013D52">
        <w:br w:type="page"/>
      </w:r>
      <w:r w:rsidR="00013D52" w:rsidRPr="00E82A8C">
        <w:lastRenderedPageBreak/>
        <w:t>Die Gesamt</w:t>
      </w:r>
      <w:r w:rsidR="00013D52">
        <w:t>-R</w:t>
      </w:r>
      <w:r w:rsidR="00013D52" w:rsidRPr="00E82A8C">
        <w:t>eaktion:</w:t>
      </w:r>
    </w:p>
    <w:p w14:paraId="5801B542" w14:textId="77777777" w:rsidR="00013D52" w:rsidRDefault="00013D52" w:rsidP="00013D52">
      <w:pPr>
        <w:pStyle w:val="Bilder"/>
      </w:pPr>
      <w:r>
        <w:rPr>
          <w:lang w:eastAsia="de-DE"/>
        </w:rPr>
        <w:drawing>
          <wp:inline distT="0" distB="0" distL="0" distR="0" wp14:anchorId="78B6566D" wp14:editId="061E7AA1">
            <wp:extent cx="2846705" cy="1574165"/>
            <wp:effectExtent l="0" t="0" r="0" b="6985"/>
            <wp:docPr id="23" name="Grafik 2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descr="Ein Bild, das Text enthält.&#10;&#10;Automatisch generierte Beschreibung"/>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2846705" cy="1574165"/>
                    </a:xfrm>
                    <a:prstGeom prst="rect">
                      <a:avLst/>
                    </a:prstGeom>
                    <a:noFill/>
                    <a:ln>
                      <a:noFill/>
                    </a:ln>
                  </pic:spPr>
                </pic:pic>
              </a:graphicData>
            </a:graphic>
          </wp:inline>
        </w:drawing>
      </w:r>
    </w:p>
    <w:p w14:paraId="54939212" w14:textId="1286DA84" w:rsidR="00013D52" w:rsidRDefault="00013D52" w:rsidP="00013D52">
      <w:pPr>
        <w:pStyle w:val="Beschriftung"/>
      </w:pPr>
      <w:r>
        <w:t xml:space="preserve">Abb. </w:t>
      </w:r>
      <w:r w:rsidR="00217507">
        <w:t>5</w:t>
      </w:r>
      <w:fldSimple w:instr=" SEQ Abb. \* ARABIC ">
        <w:r w:rsidR="0045092F">
          <w:rPr>
            <w:noProof/>
          </w:rPr>
          <w:t>1</w:t>
        </w:r>
      </w:fldSimple>
      <w:r>
        <w:t>: Reaktionsgleichung der Reaktion von Schwefelsäure mit Ammoniak</w:t>
      </w:r>
    </w:p>
    <w:p w14:paraId="3C57A85D" w14:textId="77777777" w:rsidR="00013D52" w:rsidRDefault="00013D52" w:rsidP="00013D52">
      <w:r w:rsidRPr="009D5917">
        <w:rPr>
          <w:rStyle w:val="Fett"/>
        </w:rPr>
        <w:t>Versuch 2</w:t>
      </w:r>
      <w:r>
        <w:t>: Neutralisationsreaktion von Magensäure und Natriumhydrogencarbonat</w:t>
      </w:r>
    </w:p>
    <w:p w14:paraId="09E2B9E0" w14:textId="77777777" w:rsidR="00013D52" w:rsidRDefault="00013D52" w:rsidP="00013D52">
      <w:r w:rsidRPr="009D5917">
        <w:rPr>
          <w:rStyle w:val="Fett"/>
        </w:rPr>
        <w:t>Zeitbedarf</w:t>
      </w:r>
      <w:r>
        <w:t>: 4 Minuten</w:t>
      </w:r>
    </w:p>
    <w:p w14:paraId="5A0181CB" w14:textId="77777777" w:rsidR="00013D52" w:rsidRDefault="00013D52" w:rsidP="00013D52">
      <w:r w:rsidRPr="009D5917">
        <w:rPr>
          <w:rStyle w:val="Fett"/>
        </w:rPr>
        <w:t>Ziel</w:t>
      </w:r>
      <w:r>
        <w:t>: Neutralisationsreaktion</w:t>
      </w:r>
    </w:p>
    <w:p w14:paraId="06DD242A" w14:textId="77777777" w:rsidR="00013D52" w:rsidRDefault="00013D52" w:rsidP="00013D52">
      <w:r w:rsidRPr="009D5917">
        <w:rPr>
          <w:rStyle w:val="Fett"/>
        </w:rPr>
        <w:t>Material</w:t>
      </w:r>
      <w:r>
        <w:t>:</w:t>
      </w:r>
    </w:p>
    <w:p w14:paraId="6CC10372" w14:textId="77777777" w:rsidR="00013D52" w:rsidRDefault="00013D52" w:rsidP="00013D52">
      <w:pPr>
        <w:pStyle w:val="Liste1Aufzhlung"/>
        <w:sectPr w:rsidR="00013D52" w:rsidSect="00DF520D">
          <w:type w:val="continuous"/>
          <w:pgSz w:w="11906" w:h="16838"/>
          <w:pgMar w:top="851" w:right="1134" w:bottom="1134" w:left="1418" w:header="0" w:footer="0" w:gutter="0"/>
          <w:cols w:space="708"/>
          <w:titlePg/>
          <w:docGrid w:linePitch="360"/>
        </w:sectPr>
      </w:pPr>
    </w:p>
    <w:p w14:paraId="43AE225A" w14:textId="77777777" w:rsidR="00013D52" w:rsidRDefault="00013D52" w:rsidP="00013D52">
      <w:pPr>
        <w:pStyle w:val="Liste1Aufzhlung"/>
      </w:pPr>
      <w:r>
        <w:lastRenderedPageBreak/>
        <w:t>2 Voll-Pipetten, 20 </w:t>
      </w:r>
      <w:proofErr w:type="spellStart"/>
      <w:r>
        <w:t>mL</w:t>
      </w:r>
      <w:proofErr w:type="spellEnd"/>
    </w:p>
    <w:p w14:paraId="0A68ACF1" w14:textId="77777777" w:rsidR="00013D52" w:rsidRDefault="00013D52" w:rsidP="00013D52">
      <w:pPr>
        <w:pStyle w:val="Liste1Aufzhlung"/>
      </w:pPr>
      <w:r>
        <w:lastRenderedPageBreak/>
        <w:t>2 Bechergläser, 50 </w:t>
      </w:r>
      <w:proofErr w:type="spellStart"/>
      <w:r>
        <w:t>mL</w:t>
      </w:r>
      <w:proofErr w:type="spellEnd"/>
    </w:p>
    <w:p w14:paraId="6CBF4FA6" w14:textId="77777777" w:rsidR="00013D52" w:rsidRDefault="00013D52" w:rsidP="00013D52">
      <w:pPr>
        <w:rPr>
          <w:rStyle w:val="Fett"/>
        </w:rPr>
        <w:sectPr w:rsidR="00013D52" w:rsidSect="009D5917">
          <w:type w:val="continuous"/>
          <w:pgSz w:w="11906" w:h="16838"/>
          <w:pgMar w:top="851" w:right="1134" w:bottom="1134" w:left="1418" w:header="0" w:footer="0" w:gutter="0"/>
          <w:cols w:num="2" w:space="708"/>
          <w:titlePg/>
          <w:docGrid w:linePitch="360"/>
        </w:sectPr>
      </w:pPr>
    </w:p>
    <w:p w14:paraId="025F72B1" w14:textId="77777777" w:rsidR="00013D52" w:rsidRDefault="00013D52" w:rsidP="00013D52">
      <w:r w:rsidRPr="009D5917">
        <w:rPr>
          <w:rStyle w:val="Fett"/>
        </w:rPr>
        <w:lastRenderedPageBreak/>
        <w:t>Chemikalien</w:t>
      </w:r>
      <w:r>
        <w:t>:</w:t>
      </w:r>
    </w:p>
    <w:p w14:paraId="22BFAC9F" w14:textId="77777777" w:rsidR="00013D52" w:rsidRDefault="00013D52" w:rsidP="00013D52">
      <w:pPr>
        <w:pStyle w:val="Liste1Aufzhlung"/>
        <w:rPr>
          <w:rStyle w:val="RotZchn"/>
        </w:rPr>
        <w:sectPr w:rsidR="00013D52" w:rsidSect="00DF520D">
          <w:type w:val="continuous"/>
          <w:pgSz w:w="11906" w:h="16838"/>
          <w:pgMar w:top="851" w:right="1134" w:bottom="1134" w:left="1418" w:header="0" w:footer="0" w:gutter="0"/>
          <w:cols w:space="708"/>
          <w:titlePg/>
          <w:docGrid w:linePitch="360"/>
        </w:sectPr>
      </w:pPr>
    </w:p>
    <w:p w14:paraId="2E4E0BB5" w14:textId="77777777" w:rsidR="00013D52" w:rsidRPr="00576991" w:rsidRDefault="00013D52" w:rsidP="00013D52">
      <w:pPr>
        <w:pStyle w:val="Liste1Aufzhlung"/>
        <w:rPr>
          <w:lang w:val="en-US"/>
        </w:rPr>
      </w:pPr>
      <w:proofErr w:type="spellStart"/>
      <w:r w:rsidRPr="00576991">
        <w:rPr>
          <w:rStyle w:val="RotZchn"/>
          <w:lang w:val="en-US"/>
        </w:rPr>
        <w:lastRenderedPageBreak/>
        <w:t>Salzsäure</w:t>
      </w:r>
      <w:proofErr w:type="spellEnd"/>
      <w:r w:rsidRPr="00CA4C9C">
        <w:rPr>
          <w:lang w:val="fr-FR"/>
        </w:rPr>
        <w:br/>
        <w:t>c= 0,1mol/L</w:t>
      </w:r>
      <w:r>
        <w:rPr>
          <w:lang w:val="fr-FR"/>
        </w:rPr>
        <w:tab/>
      </w:r>
      <w:r w:rsidRPr="00CA4C9C">
        <w:rPr>
          <w:lang w:val="fr-FR"/>
        </w:rPr>
        <w:br/>
      </w:r>
      <w:r w:rsidRPr="00576991">
        <w:rPr>
          <w:rStyle w:val="CASNrZchn"/>
          <w:lang w:val="en-US"/>
        </w:rPr>
        <w:t>CAS-</w:t>
      </w:r>
      <w:proofErr w:type="spellStart"/>
      <w:r w:rsidRPr="00576991">
        <w:rPr>
          <w:rStyle w:val="CASNrZchn"/>
          <w:lang w:val="en-US"/>
        </w:rPr>
        <w:t>Nr</w:t>
      </w:r>
      <w:proofErr w:type="spellEnd"/>
      <w:r w:rsidRPr="00576991">
        <w:rPr>
          <w:rStyle w:val="CASNrZchn"/>
          <w:lang w:val="en-US"/>
        </w:rPr>
        <w:t>.: 7647-01-0</w:t>
      </w:r>
    </w:p>
    <w:p w14:paraId="0323F53A" w14:textId="77777777" w:rsidR="00013D52" w:rsidRDefault="00013D52" w:rsidP="00013D52">
      <w:pPr>
        <w:pStyle w:val="Liste1Aufzhlung"/>
      </w:pPr>
      <w:r w:rsidRPr="00E82A8C">
        <w:rPr>
          <w:rStyle w:val="RotZchn"/>
        </w:rPr>
        <w:t>Natriumhydrogencarbonat</w:t>
      </w:r>
      <w:r w:rsidRPr="000740FB">
        <w:br/>
      </w:r>
      <w:r w:rsidRPr="00E82A8C">
        <w:rPr>
          <w:rStyle w:val="CASNrZchn"/>
        </w:rPr>
        <w:t>CAS-Nr.: 144-55-8</w:t>
      </w:r>
    </w:p>
    <w:p w14:paraId="158356B7" w14:textId="77777777" w:rsidR="00013D52" w:rsidRPr="009D5917" w:rsidRDefault="00013D52" w:rsidP="00013D52">
      <w:pPr>
        <w:pStyle w:val="Liste1Aufzhlung"/>
        <w:rPr>
          <w:rStyle w:val="CASNrZchn"/>
          <w:sz w:val="24"/>
          <w:szCs w:val="22"/>
        </w:rPr>
      </w:pPr>
      <w:r w:rsidRPr="00E82A8C">
        <w:rPr>
          <w:rStyle w:val="RotZchn"/>
        </w:rPr>
        <w:lastRenderedPageBreak/>
        <w:t>Universal-Indikator</w:t>
      </w:r>
      <w:r w:rsidRPr="000740FB">
        <w:t xml:space="preserve"> (flüssig)</w:t>
      </w:r>
      <w:r>
        <w:tab/>
      </w:r>
      <w:r w:rsidRPr="000740FB">
        <w:br/>
      </w:r>
      <w:r w:rsidRPr="000740FB">
        <w:rPr>
          <w:noProof/>
          <w:lang w:eastAsia="de-DE"/>
        </w:rPr>
        <w:drawing>
          <wp:inline distT="0" distB="0" distL="0" distR="0" wp14:anchorId="5A531CAC" wp14:editId="417FD670">
            <wp:extent cx="358140" cy="358140"/>
            <wp:effectExtent l="0" t="0" r="3810" b="381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358140" cy="358140"/>
                    </a:xfrm>
                    <a:prstGeom prst="rect">
                      <a:avLst/>
                    </a:prstGeom>
                    <a:noFill/>
                  </pic:spPr>
                </pic:pic>
              </a:graphicData>
            </a:graphic>
          </wp:inline>
        </w:drawing>
      </w:r>
      <w:r w:rsidRPr="000740FB">
        <w:t xml:space="preserve"> </w:t>
      </w:r>
      <w:r w:rsidRPr="000740FB">
        <w:rPr>
          <w:noProof/>
          <w:lang w:eastAsia="de-DE"/>
        </w:rPr>
        <w:drawing>
          <wp:inline distT="0" distB="0" distL="0" distR="0" wp14:anchorId="60526C5D" wp14:editId="55141848">
            <wp:extent cx="358140" cy="365760"/>
            <wp:effectExtent l="0" t="0" r="381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358140" cy="365760"/>
                    </a:xfrm>
                    <a:prstGeom prst="rect">
                      <a:avLst/>
                    </a:prstGeom>
                    <a:noFill/>
                  </pic:spPr>
                </pic:pic>
              </a:graphicData>
            </a:graphic>
          </wp:inline>
        </w:drawing>
      </w:r>
      <w:r w:rsidRPr="000740FB">
        <w:t xml:space="preserve"> Achtung</w:t>
      </w:r>
      <w:r>
        <w:tab/>
      </w:r>
      <w:r w:rsidRPr="000740FB">
        <w:br/>
      </w:r>
      <w:r w:rsidRPr="00E82A8C">
        <w:rPr>
          <w:rStyle w:val="CASNrZchn"/>
        </w:rPr>
        <w:t>H226, H319</w:t>
      </w:r>
      <w:r w:rsidRPr="00E82A8C">
        <w:rPr>
          <w:rStyle w:val="CASNrZchn"/>
        </w:rPr>
        <w:tab/>
      </w:r>
      <w:r w:rsidRPr="00E82A8C">
        <w:rPr>
          <w:rStyle w:val="CASNrZchn"/>
        </w:rPr>
        <w:br/>
        <w:t>P210, P305+P351+P338</w:t>
      </w:r>
    </w:p>
    <w:p w14:paraId="6AA25723" w14:textId="77777777" w:rsidR="00013D52" w:rsidRDefault="00013D52" w:rsidP="00013D52">
      <w:pPr>
        <w:rPr>
          <w:rStyle w:val="Fett"/>
        </w:rPr>
        <w:sectPr w:rsidR="00013D52" w:rsidSect="009D5917">
          <w:type w:val="continuous"/>
          <w:pgSz w:w="11906" w:h="16838"/>
          <w:pgMar w:top="851" w:right="1134" w:bottom="1134" w:left="1418" w:header="0" w:footer="0" w:gutter="0"/>
          <w:cols w:num="2" w:space="708"/>
          <w:titlePg/>
          <w:docGrid w:linePitch="360"/>
        </w:sectPr>
      </w:pPr>
    </w:p>
    <w:p w14:paraId="70F5D472" w14:textId="77777777" w:rsidR="00013D52" w:rsidRDefault="00013D52" w:rsidP="00013D52">
      <w:pPr>
        <w:rPr>
          <w:rFonts w:cs="Arial"/>
        </w:rPr>
      </w:pPr>
      <w:r w:rsidRPr="009D5917">
        <w:rPr>
          <w:rStyle w:val="Fett"/>
        </w:rPr>
        <w:lastRenderedPageBreak/>
        <w:t>Durchführung 1</w:t>
      </w:r>
      <w:r>
        <w:t xml:space="preserve">: </w:t>
      </w:r>
      <w:r>
        <w:rPr>
          <w:rFonts w:cs="Arial"/>
        </w:rPr>
        <w:t>Zunächst werden die Säure und die Lauge im gleichen Mengen-Verhältnis abgemessen und in Bechergläser gegeben. Anschließend werden in jede der Flüssigkeiten einige Tropfen Universalindikator gegeben.</w:t>
      </w:r>
    </w:p>
    <w:p w14:paraId="21E4077C" w14:textId="77777777" w:rsidR="00013D52" w:rsidRDefault="00013D52" w:rsidP="00013D52">
      <w:pPr>
        <w:rPr>
          <w:rFonts w:cs="Arial"/>
        </w:rPr>
      </w:pPr>
      <w:r w:rsidRPr="009D5917">
        <w:rPr>
          <w:rStyle w:val="Fett"/>
        </w:rPr>
        <w:t>Beobachtung 1</w:t>
      </w:r>
      <w:r>
        <w:rPr>
          <w:rFonts w:cs="Arial"/>
        </w:rPr>
        <w:t>: Die Säure erscheint rot, die Lauge grün</w:t>
      </w:r>
    </w:p>
    <w:p w14:paraId="43FFF371" w14:textId="77777777" w:rsidR="00013D52" w:rsidRDefault="00013D52" w:rsidP="00013D52">
      <w:pPr>
        <w:rPr>
          <w:rFonts w:cs="Arial"/>
        </w:rPr>
      </w:pPr>
      <w:r w:rsidRPr="009D5917">
        <w:rPr>
          <w:rStyle w:val="Fett"/>
        </w:rPr>
        <w:t>Durchführung 2</w:t>
      </w:r>
      <w:r>
        <w:rPr>
          <w:rFonts w:cs="Arial"/>
        </w:rPr>
        <w:t>: Nun wird die Lauge zur Säure geschüttet</w:t>
      </w:r>
    </w:p>
    <w:p w14:paraId="4D2B1642" w14:textId="77777777" w:rsidR="00013D52" w:rsidRDefault="00013D52" w:rsidP="00013D52">
      <w:pPr>
        <w:rPr>
          <w:rFonts w:cs="Arial"/>
        </w:rPr>
      </w:pPr>
      <w:r w:rsidRPr="009D5917">
        <w:rPr>
          <w:rStyle w:val="Fett"/>
        </w:rPr>
        <w:t>Beobachtung 2</w:t>
      </w:r>
      <w:r>
        <w:rPr>
          <w:rFonts w:cs="Arial"/>
        </w:rPr>
        <w:t>: Die Lösung verfärbt sich gelb.</w:t>
      </w:r>
    </w:p>
    <w:p w14:paraId="0901C483" w14:textId="77777777" w:rsidR="00013D52" w:rsidRDefault="00013D52" w:rsidP="00013D52">
      <w:pPr>
        <w:rPr>
          <w:rFonts w:cs="Arial"/>
        </w:rPr>
      </w:pPr>
      <w:r w:rsidRPr="009D5917">
        <w:rPr>
          <w:rStyle w:val="Fett"/>
        </w:rPr>
        <w:t>Deutung</w:t>
      </w:r>
      <w:r>
        <w:rPr>
          <w:rFonts w:cs="Arial"/>
        </w:rPr>
        <w:t>: Die Säure wird durch das Natriumhydrogencarbonat neutralisiert. So schützt sich die Magen-Schleimhaut vor der Säure im Magen. Protonen-Abspaltung und Protonen-Aufnahme:</w:t>
      </w:r>
    </w:p>
    <w:p w14:paraId="23DC8399" w14:textId="77777777" w:rsidR="00013D52" w:rsidRPr="009D5917" w:rsidRDefault="00013D52" w:rsidP="00013D52">
      <w:pPr>
        <w:pStyle w:val="Formeln"/>
        <w:rPr>
          <w:rFonts w:eastAsiaTheme="minorEastAsia"/>
        </w:rPr>
      </w:pPr>
      <m:oMathPara>
        <m:oMath>
          <m:r>
            <m:rPr>
              <m:nor/>
            </m:rPr>
            <m:t xml:space="preserve">HCl </m:t>
          </m:r>
          <m:r>
            <m:rPr>
              <m:nor/>
            </m:rPr>
            <w:rPr>
              <w:rFonts w:ascii="Cambria Math" w:hAnsi="Cambria Math" w:cs="Cambria Math"/>
            </w:rPr>
            <m:t>⟶</m:t>
          </m:r>
          <m:r>
            <m:rPr>
              <m:nor/>
            </m:rPr>
            <m:t xml:space="preserve"> </m:t>
          </m:r>
          <m:sSup>
            <m:sSupPr>
              <m:ctrlPr>
                <w:rPr>
                  <w:rFonts w:ascii="Cambria Math" w:hAnsi="Cambria Math"/>
                </w:rPr>
              </m:ctrlPr>
            </m:sSupPr>
            <m:e>
              <m:r>
                <m:rPr>
                  <m:nor/>
                </m:rPr>
                <m:t>H</m:t>
              </m:r>
            </m:e>
            <m:sup>
              <m:r>
                <m:rPr>
                  <m:nor/>
                </m:rPr>
                <m:t>+</m:t>
              </m:r>
            </m:sup>
          </m:sSup>
          <m:r>
            <m:rPr>
              <m:nor/>
            </m:rPr>
            <w:rPr>
              <w:rFonts w:ascii="Cambria Math"/>
            </w:rPr>
            <m:t xml:space="preserve"> </m:t>
          </m:r>
          <m:r>
            <m:rPr>
              <m:nor/>
            </m:rPr>
            <m:t xml:space="preserve">+ </m:t>
          </m:r>
          <m:sSup>
            <m:sSupPr>
              <m:ctrlPr>
                <w:rPr>
                  <w:rFonts w:ascii="Cambria Math" w:hAnsi="Cambria Math"/>
                </w:rPr>
              </m:ctrlPr>
            </m:sSupPr>
            <m:e>
              <m:r>
                <m:rPr>
                  <m:nor/>
                </m:rPr>
                <m:t>Cl</m:t>
              </m:r>
            </m:e>
            <m:sup>
              <m:r>
                <m:rPr>
                  <m:nor/>
                </m:rPr>
                <m:t>-</m:t>
              </m:r>
            </m:sup>
          </m:sSup>
        </m:oMath>
      </m:oMathPara>
    </w:p>
    <w:p w14:paraId="5DB14C49" w14:textId="77777777" w:rsidR="00013D52" w:rsidRPr="009D5917" w:rsidRDefault="0045092F" w:rsidP="00013D52">
      <w:pPr>
        <w:pStyle w:val="Formeln"/>
        <w:rPr>
          <w:rFonts w:eastAsiaTheme="minorEastAsia"/>
        </w:rPr>
      </w:pPr>
      <m:oMathPara>
        <m:oMath>
          <m:sSub>
            <m:sSubPr>
              <m:ctrlPr>
                <w:rPr>
                  <w:rFonts w:ascii="Cambria Math" w:hAnsi="Cambria Math"/>
                </w:rPr>
              </m:ctrlPr>
            </m:sSubPr>
            <m:e>
              <m:r>
                <m:rPr>
                  <m:nor/>
                </m:rPr>
                <m:t>NaHCO</m:t>
              </m:r>
            </m:e>
            <m:sub>
              <m:r>
                <m:rPr>
                  <m:nor/>
                </m:rPr>
                <m:t>3</m:t>
              </m:r>
            </m:sub>
          </m:sSub>
          <m:r>
            <m:rPr>
              <m:nor/>
            </m:rPr>
            <w:rPr>
              <w:rFonts w:ascii="Cambria Math"/>
            </w:rPr>
            <m:t xml:space="preserve"> </m:t>
          </m:r>
          <m:r>
            <m:rPr>
              <m:nor/>
            </m:rPr>
            <m:t>+</m:t>
          </m:r>
          <m:r>
            <m:rPr>
              <m:sty m:val="p"/>
            </m:rPr>
            <w:rPr>
              <w:rFonts w:ascii="Cambria Math" w:hAnsi="Cambria Math"/>
            </w:rPr>
            <m:t xml:space="preserve"> </m:t>
          </m:r>
          <m:sSup>
            <m:sSupPr>
              <m:ctrlPr>
                <w:rPr>
                  <w:rFonts w:ascii="Cambria Math" w:hAnsi="Cambria Math"/>
                </w:rPr>
              </m:ctrlPr>
            </m:sSupPr>
            <m:e>
              <m:r>
                <m:rPr>
                  <m:nor/>
                </m:rPr>
                <m:t>H</m:t>
              </m:r>
            </m:e>
            <m:sup>
              <m:r>
                <m:rPr>
                  <m:nor/>
                </m:rPr>
                <m:t>+</m:t>
              </m:r>
            </m:sup>
          </m:sSup>
          <m:r>
            <m:rPr>
              <m:nor/>
            </m:rPr>
            <m:t xml:space="preserve"> </m:t>
          </m:r>
          <m:r>
            <m:rPr>
              <m:nor/>
            </m:rPr>
            <w:rPr>
              <w:rFonts w:ascii="Cambria Math" w:hAnsi="Cambria Math" w:cs="Cambria Math"/>
            </w:rPr>
            <m:t>⟶</m:t>
          </m:r>
          <m:r>
            <m:rPr>
              <m:sty m:val="p"/>
            </m:rPr>
            <w:rPr>
              <w:rFonts w:ascii="Cambria Math" w:hAnsi="Cambria Math"/>
            </w:rPr>
            <m:t xml:space="preserve"> </m:t>
          </m:r>
          <m:sSup>
            <m:sSupPr>
              <m:ctrlPr>
                <w:rPr>
                  <w:rFonts w:ascii="Cambria Math" w:hAnsi="Cambria Math"/>
                </w:rPr>
              </m:ctrlPr>
            </m:sSupPr>
            <m:e>
              <m:r>
                <m:rPr>
                  <m:nor/>
                </m:rPr>
                <m:t>Na</m:t>
              </m:r>
            </m:e>
            <m:sup>
              <m:r>
                <m:rPr>
                  <m:nor/>
                </m:rPr>
                <m:t>+</m:t>
              </m:r>
            </m:sup>
          </m:sSup>
          <m:r>
            <m:rPr>
              <m:nor/>
            </m:rPr>
            <w:rPr>
              <w:rFonts w:ascii="Cambria Math"/>
            </w:rPr>
            <m:t xml:space="preserve"> </m:t>
          </m:r>
          <m:r>
            <m:rPr>
              <m:nor/>
            </m:rPr>
            <m:t>+</m:t>
          </m:r>
          <m:r>
            <m:rPr>
              <m:sty m:val="p"/>
            </m:rPr>
            <w:rPr>
              <w:rFonts w:ascii="Cambria Math" w:hAnsi="Cambria Math"/>
            </w:rPr>
            <m:t xml:space="preserve"> </m:t>
          </m:r>
          <m:sSub>
            <m:sSubPr>
              <m:ctrlPr>
                <w:rPr>
                  <w:rFonts w:ascii="Cambria Math" w:hAnsi="Cambria Math"/>
                </w:rPr>
              </m:ctrlPr>
            </m:sSubPr>
            <m:e>
              <m:r>
                <m:rPr>
                  <m:nor/>
                </m:rPr>
                <m:t>H</m:t>
              </m:r>
            </m:e>
            <m:sub>
              <m:r>
                <m:rPr>
                  <m:nor/>
                </m:rPr>
                <m:t>2</m:t>
              </m:r>
            </m:sub>
          </m:sSub>
          <m:sSub>
            <m:sSubPr>
              <m:ctrlPr>
                <w:rPr>
                  <w:rFonts w:ascii="Cambria Math" w:hAnsi="Cambria Math"/>
                </w:rPr>
              </m:ctrlPr>
            </m:sSubPr>
            <m:e>
              <m:r>
                <m:rPr>
                  <m:nor/>
                </m:rPr>
                <m:t>CO</m:t>
              </m:r>
            </m:e>
            <m:sub>
              <m:r>
                <m:rPr>
                  <m:nor/>
                </m:rPr>
                <m:t>3</m:t>
              </m:r>
            </m:sub>
          </m:sSub>
        </m:oMath>
      </m:oMathPara>
    </w:p>
    <w:p w14:paraId="75C88633" w14:textId="77777777" w:rsidR="00013D52" w:rsidRPr="00576991" w:rsidRDefault="00013D52" w:rsidP="00013D52">
      <w:pPr>
        <w:pStyle w:val="Formeln"/>
        <w:rPr>
          <w:rFonts w:eastAsiaTheme="minorEastAsia"/>
          <w:lang w:val="en-US"/>
        </w:rPr>
      </w:pPr>
      <m:oMathPara>
        <m:oMath>
          <m:r>
            <m:rPr>
              <m:nor/>
            </m:rPr>
            <w:rPr>
              <w:lang w:val="en-US"/>
            </w:rPr>
            <m:t>HCl</m:t>
          </m:r>
          <m:r>
            <m:rPr>
              <m:nor/>
            </m:rPr>
            <w:rPr>
              <w:rFonts w:ascii="Cambria Math"/>
              <w:lang w:val="en-US"/>
            </w:rPr>
            <m:t xml:space="preserve"> </m:t>
          </m:r>
          <m:r>
            <m:rPr>
              <m:nor/>
            </m:rPr>
            <w:rPr>
              <w:lang w:val="en-US"/>
            </w:rPr>
            <m:t xml:space="preserve">+ </m:t>
          </m:r>
          <m:sSub>
            <m:sSubPr>
              <m:ctrlPr>
                <w:rPr>
                  <w:rFonts w:ascii="Cambria Math" w:hAnsi="Cambria Math"/>
                </w:rPr>
              </m:ctrlPr>
            </m:sSubPr>
            <m:e>
              <m:r>
                <m:rPr>
                  <m:nor/>
                </m:rPr>
                <w:rPr>
                  <w:lang w:val="en-US"/>
                </w:rPr>
                <m:t>NaHCO</m:t>
              </m:r>
            </m:e>
            <m:sub>
              <m:r>
                <m:rPr>
                  <m:nor/>
                </m:rPr>
                <w:rPr>
                  <w:lang w:val="en-US"/>
                </w:rPr>
                <m:t>3</m:t>
              </m:r>
            </m:sub>
          </m:sSub>
          <m:r>
            <m:rPr>
              <m:nor/>
            </m:rPr>
            <w:rPr>
              <w:lang w:val="en-US"/>
            </w:rPr>
            <m:t xml:space="preserve"> </m:t>
          </m:r>
          <m:r>
            <m:rPr>
              <m:nor/>
            </m:rPr>
            <w:rPr>
              <w:rFonts w:ascii="Cambria Math" w:hAnsi="Cambria Math" w:cs="Cambria Math"/>
            </w:rPr>
            <m:t>⟶</m:t>
          </m:r>
          <m:r>
            <m:rPr>
              <m:nor/>
            </m:rPr>
            <w:rPr>
              <w:rFonts w:ascii="Cambria Math" w:hAnsi="Cambria Math" w:cs="Cambria Math"/>
              <w:lang w:val="en-US"/>
            </w:rPr>
            <m:t xml:space="preserve"> </m:t>
          </m:r>
          <m:r>
            <m:rPr>
              <m:nor/>
            </m:rPr>
            <w:rPr>
              <w:lang w:val="en-US"/>
            </w:rPr>
            <m:t>NaCl</m:t>
          </m:r>
          <m:r>
            <m:rPr>
              <m:nor/>
            </m:rPr>
            <w:rPr>
              <w:rFonts w:ascii="Cambria Math"/>
              <w:lang w:val="en-US"/>
            </w:rPr>
            <m:t xml:space="preserve"> </m:t>
          </m:r>
          <m:r>
            <m:rPr>
              <m:nor/>
            </m:rPr>
            <w:rPr>
              <w:lang w:val="en-US"/>
            </w:rPr>
            <m:t xml:space="preserve">+ </m:t>
          </m:r>
          <m:sSub>
            <m:sSubPr>
              <m:ctrlPr>
                <w:rPr>
                  <w:rFonts w:ascii="Cambria Math" w:hAnsi="Cambria Math"/>
                </w:rPr>
              </m:ctrlPr>
            </m:sSubPr>
            <m:e>
              <m:r>
                <m:rPr>
                  <m:nor/>
                </m:rPr>
                <w:rPr>
                  <w:lang w:val="en-US"/>
                </w:rPr>
                <m:t>H</m:t>
              </m:r>
            </m:e>
            <m:sub>
              <m:r>
                <m:rPr>
                  <m:nor/>
                </m:rPr>
                <w:rPr>
                  <w:lang w:val="en-US"/>
                </w:rPr>
                <m:t>2</m:t>
              </m:r>
            </m:sub>
          </m:sSub>
          <m:sSub>
            <m:sSubPr>
              <m:ctrlPr>
                <w:rPr>
                  <w:rFonts w:ascii="Cambria Math" w:hAnsi="Cambria Math"/>
                </w:rPr>
              </m:ctrlPr>
            </m:sSubPr>
            <m:e>
              <m:r>
                <m:rPr>
                  <m:nor/>
                </m:rPr>
                <w:rPr>
                  <w:lang w:val="en-US"/>
                </w:rPr>
                <m:t>CO</m:t>
              </m:r>
            </m:e>
            <m:sub>
              <m:r>
                <m:rPr>
                  <m:nor/>
                </m:rPr>
                <w:rPr>
                  <w:lang w:val="en-US"/>
                </w:rPr>
                <m:t>3</m:t>
              </m:r>
            </m:sub>
          </m:sSub>
        </m:oMath>
      </m:oMathPara>
    </w:p>
    <w:p w14:paraId="28D15222" w14:textId="77777777" w:rsidR="00013D52" w:rsidRDefault="00013D52" w:rsidP="00013D52">
      <w:r w:rsidRPr="009D5917">
        <w:rPr>
          <w:rStyle w:val="Fett"/>
        </w:rPr>
        <w:t>Entsorgung</w:t>
      </w:r>
      <w:r>
        <w:t>: Ausguss</w:t>
      </w:r>
    </w:p>
    <w:p w14:paraId="0148A2B8" w14:textId="77777777" w:rsidR="00013D52" w:rsidRPr="009D5917" w:rsidRDefault="00013D52" w:rsidP="00013D52">
      <w:r w:rsidRPr="009D5917">
        <w:rPr>
          <w:rStyle w:val="Fett"/>
        </w:rPr>
        <w:t>Quelle</w:t>
      </w:r>
      <w:r>
        <w:t xml:space="preserve">: </w:t>
      </w:r>
      <w:hyperlink r:id="rId17" w:history="1">
        <w:r>
          <w:rPr>
            <w:rStyle w:val="Hyperlink"/>
            <w:rFonts w:cs="Arial"/>
          </w:rPr>
          <w:t>http://www.seilnacht.com/Lexikon/Neutrali.htm</w:t>
        </w:r>
      </w:hyperlink>
      <w:r>
        <w:rPr>
          <w:rFonts w:cs="Arial"/>
        </w:rPr>
        <w:t xml:space="preserve"> (Stand: 01.12.2017)</w:t>
      </w:r>
    </w:p>
    <w:p w14:paraId="62B41A10" w14:textId="77777777" w:rsidR="00E2527B" w:rsidRDefault="00E2527B">
      <w:pPr>
        <w:spacing w:before="0"/>
        <w:jc w:val="left"/>
        <w:rPr>
          <w:rStyle w:val="Fett"/>
        </w:rPr>
      </w:pPr>
      <w:r>
        <w:rPr>
          <w:rStyle w:val="Fett"/>
        </w:rPr>
        <w:br w:type="page"/>
      </w:r>
    </w:p>
    <w:p w14:paraId="5A972171" w14:textId="55C431B7" w:rsidR="00013D52" w:rsidRDefault="00013D52" w:rsidP="00013D52">
      <w:pPr>
        <w:rPr>
          <w:rFonts w:cs="Arial"/>
        </w:rPr>
      </w:pPr>
      <w:r w:rsidRPr="009D5917">
        <w:rPr>
          <w:rStyle w:val="Fett"/>
        </w:rPr>
        <w:lastRenderedPageBreak/>
        <w:t>Versuch 3</w:t>
      </w:r>
      <w:r>
        <w:rPr>
          <w:rFonts w:cs="Arial"/>
        </w:rPr>
        <w:t>: Herstellung von Ammoniumchlorid</w:t>
      </w:r>
      <w:r w:rsidR="000747CD">
        <w:rPr>
          <w:rFonts w:cs="Arial"/>
        </w:rPr>
        <w:t xml:space="preserve"> (Salmiakrauchexperiment)</w:t>
      </w:r>
    </w:p>
    <w:p w14:paraId="72EAD985" w14:textId="77777777" w:rsidR="00013D52" w:rsidRDefault="00013D52" w:rsidP="00013D52">
      <w:pPr>
        <w:rPr>
          <w:rFonts w:cs="Arial"/>
        </w:rPr>
      </w:pPr>
      <w:r w:rsidRPr="00286E43">
        <w:rPr>
          <w:rStyle w:val="Fett"/>
        </w:rPr>
        <w:t>Zeitbedarf</w:t>
      </w:r>
      <w:r>
        <w:rPr>
          <w:rFonts w:cs="Arial"/>
        </w:rPr>
        <w:t>: 5 Minuten</w:t>
      </w:r>
    </w:p>
    <w:p w14:paraId="36A7B715" w14:textId="77777777" w:rsidR="00013D52" w:rsidRDefault="00013D52" w:rsidP="00013D52">
      <w:r w:rsidRPr="00286E43">
        <w:rPr>
          <w:rStyle w:val="Fett"/>
        </w:rPr>
        <w:t>Ziel</w:t>
      </w:r>
      <w:r>
        <w:rPr>
          <w:rFonts w:cs="Arial"/>
        </w:rPr>
        <w:t xml:space="preserve">: Nachweis </w:t>
      </w:r>
      <w:proofErr w:type="spellStart"/>
      <w:r w:rsidRPr="00DC0A1D">
        <w:t>Brønsted</w:t>
      </w:r>
      <w:proofErr w:type="spellEnd"/>
      <w:r>
        <w:t>-Säure-Base-Reaktion</w:t>
      </w:r>
    </w:p>
    <w:p w14:paraId="5B276C88" w14:textId="77777777" w:rsidR="00013D52" w:rsidRDefault="00013D52" w:rsidP="00013D52">
      <w:r w:rsidRPr="00286E43">
        <w:rPr>
          <w:rStyle w:val="Fett"/>
        </w:rPr>
        <w:t>Material</w:t>
      </w:r>
      <w:r>
        <w:t xml:space="preserve">: </w:t>
      </w:r>
    </w:p>
    <w:p w14:paraId="127B7753" w14:textId="77777777" w:rsidR="00013D52" w:rsidRDefault="00013D52" w:rsidP="00013D52">
      <w:pPr>
        <w:pStyle w:val="Liste1Aufzhlung"/>
        <w:sectPr w:rsidR="00013D52" w:rsidSect="00DF520D">
          <w:type w:val="continuous"/>
          <w:pgSz w:w="11906" w:h="16838"/>
          <w:pgMar w:top="851" w:right="1134" w:bottom="1134" w:left="1418" w:header="0" w:footer="0" w:gutter="0"/>
          <w:cols w:space="708"/>
          <w:titlePg/>
          <w:docGrid w:linePitch="360"/>
        </w:sectPr>
      </w:pPr>
    </w:p>
    <w:p w14:paraId="259D5D6E" w14:textId="77777777" w:rsidR="00013D52" w:rsidRDefault="00013D52" w:rsidP="00013D52">
      <w:pPr>
        <w:pStyle w:val="Liste1Aufzhlung"/>
      </w:pPr>
      <w:r>
        <w:lastRenderedPageBreak/>
        <w:t>Stativ, Klammer, Muffe</w:t>
      </w:r>
    </w:p>
    <w:p w14:paraId="21161A3B" w14:textId="77777777" w:rsidR="00013D52" w:rsidRDefault="00013D52" w:rsidP="00013D52">
      <w:pPr>
        <w:pStyle w:val="Liste1Aufzhlung"/>
      </w:pPr>
      <w:r>
        <w:t>Glasrohr</w:t>
      </w:r>
    </w:p>
    <w:p w14:paraId="67F91808" w14:textId="77777777" w:rsidR="00013D52" w:rsidRDefault="00013D52" w:rsidP="00013D52">
      <w:pPr>
        <w:pStyle w:val="Liste1Aufzhlung"/>
      </w:pPr>
      <w:r>
        <w:lastRenderedPageBreak/>
        <w:t>Wattebausch</w:t>
      </w:r>
    </w:p>
    <w:p w14:paraId="5A1BD980" w14:textId="77777777" w:rsidR="00013D52" w:rsidRDefault="00013D52" w:rsidP="00013D52">
      <w:pPr>
        <w:pStyle w:val="Liste1Aufzhlung"/>
      </w:pPr>
      <w:r>
        <w:t>Tiegel-Zange</w:t>
      </w:r>
    </w:p>
    <w:p w14:paraId="7973E13B" w14:textId="77777777" w:rsidR="00013D52" w:rsidRDefault="00013D52" w:rsidP="00013D52">
      <w:pPr>
        <w:rPr>
          <w:rStyle w:val="Fett"/>
        </w:rPr>
        <w:sectPr w:rsidR="00013D52" w:rsidSect="00286E43">
          <w:type w:val="continuous"/>
          <w:pgSz w:w="11906" w:h="16838"/>
          <w:pgMar w:top="851" w:right="1134" w:bottom="1134" w:left="1418" w:header="0" w:footer="0" w:gutter="0"/>
          <w:cols w:num="2" w:space="708"/>
          <w:titlePg/>
          <w:docGrid w:linePitch="360"/>
        </w:sectPr>
      </w:pPr>
    </w:p>
    <w:p w14:paraId="6D949D8D" w14:textId="77777777" w:rsidR="00013D52" w:rsidRDefault="00013D52" w:rsidP="00013D52">
      <w:r w:rsidRPr="00286E43">
        <w:rPr>
          <w:rStyle w:val="Fett"/>
        </w:rPr>
        <w:lastRenderedPageBreak/>
        <w:t>Chemikalien</w:t>
      </w:r>
      <w:r>
        <w:t>:</w:t>
      </w:r>
    </w:p>
    <w:p w14:paraId="796D13A5" w14:textId="77777777" w:rsidR="00013D52" w:rsidRDefault="00013D52" w:rsidP="00013D52">
      <w:pPr>
        <w:pStyle w:val="Liste1Aufzhlung"/>
        <w:rPr>
          <w:rStyle w:val="RotZchn"/>
        </w:rPr>
        <w:sectPr w:rsidR="00013D52" w:rsidSect="00DF520D">
          <w:type w:val="continuous"/>
          <w:pgSz w:w="11906" w:h="16838"/>
          <w:pgMar w:top="851" w:right="1134" w:bottom="1134" w:left="1418" w:header="0" w:footer="0" w:gutter="0"/>
          <w:cols w:space="708"/>
          <w:titlePg/>
          <w:docGrid w:linePitch="360"/>
        </w:sectPr>
      </w:pPr>
    </w:p>
    <w:p w14:paraId="689790A8" w14:textId="77777777" w:rsidR="00013D52" w:rsidRDefault="00013D52" w:rsidP="00013D52">
      <w:pPr>
        <w:pStyle w:val="Liste1Aufzhlung"/>
        <w:jc w:val="left"/>
      </w:pPr>
      <w:r w:rsidRPr="009D5917">
        <w:rPr>
          <w:rStyle w:val="RotZchn"/>
        </w:rPr>
        <w:lastRenderedPageBreak/>
        <w:t>Salzsäure</w:t>
      </w:r>
      <w:r w:rsidRPr="000740FB">
        <w:br/>
        <w:t>w= 32% (</w:t>
      </w:r>
      <w:proofErr w:type="spellStart"/>
      <w:r w:rsidRPr="000740FB">
        <w:t>konz</w:t>
      </w:r>
      <w:proofErr w:type="spellEnd"/>
      <w:r w:rsidRPr="000740FB">
        <w:t>.)</w:t>
      </w:r>
      <w:r>
        <w:tab/>
      </w:r>
      <w:r w:rsidRPr="000740FB">
        <w:br/>
      </w:r>
      <w:r w:rsidRPr="009D5917">
        <w:rPr>
          <w:rStyle w:val="CASNrZchn"/>
        </w:rPr>
        <w:t>CAS-Nr.: 7647-01-0</w:t>
      </w:r>
      <w:r>
        <w:tab/>
      </w:r>
      <w:r w:rsidRPr="000740FB">
        <w:br/>
      </w:r>
      <w:r w:rsidRPr="000740FB">
        <w:rPr>
          <w:noProof/>
          <w:lang w:eastAsia="de-DE"/>
        </w:rPr>
        <w:drawing>
          <wp:inline distT="0" distB="0" distL="0" distR="0" wp14:anchorId="7EF45C97" wp14:editId="7F911645">
            <wp:extent cx="358140" cy="365760"/>
            <wp:effectExtent l="0" t="0" r="381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358140" cy="365760"/>
                    </a:xfrm>
                    <a:prstGeom prst="rect">
                      <a:avLst/>
                    </a:prstGeom>
                    <a:noFill/>
                  </pic:spPr>
                </pic:pic>
              </a:graphicData>
            </a:graphic>
          </wp:inline>
        </w:drawing>
      </w:r>
      <w:r w:rsidRPr="000740FB">
        <w:t xml:space="preserve"> </w:t>
      </w:r>
      <w:r w:rsidRPr="000740FB">
        <w:rPr>
          <w:noProof/>
          <w:lang w:eastAsia="de-DE"/>
        </w:rPr>
        <w:drawing>
          <wp:inline distT="0" distB="0" distL="0" distR="0" wp14:anchorId="7C105A5C" wp14:editId="1A678106">
            <wp:extent cx="358140" cy="365760"/>
            <wp:effectExtent l="0" t="0" r="381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358140" cy="365760"/>
                    </a:xfrm>
                    <a:prstGeom prst="rect">
                      <a:avLst/>
                    </a:prstGeom>
                    <a:noFill/>
                  </pic:spPr>
                </pic:pic>
              </a:graphicData>
            </a:graphic>
          </wp:inline>
        </w:drawing>
      </w:r>
      <w:r w:rsidRPr="000740FB">
        <w:t xml:space="preserve"> Gefahr</w:t>
      </w:r>
      <w:r>
        <w:tab/>
      </w:r>
      <w:r w:rsidRPr="000740FB">
        <w:br/>
      </w:r>
      <w:r w:rsidRPr="009D5917">
        <w:rPr>
          <w:rStyle w:val="CASNrZchn"/>
        </w:rPr>
        <w:t>H314, H335, H290</w:t>
      </w:r>
      <w:r w:rsidRPr="009D5917">
        <w:rPr>
          <w:rStyle w:val="CASNrZchn"/>
        </w:rPr>
        <w:tab/>
      </w:r>
      <w:r w:rsidRPr="009D5917">
        <w:rPr>
          <w:rStyle w:val="CASNrZchn"/>
        </w:rPr>
        <w:br/>
        <w:t>P260, P305+P351+P338, P303+P361+P353, P304+P340, P309+P311</w:t>
      </w:r>
    </w:p>
    <w:p w14:paraId="199576A4" w14:textId="77777777" w:rsidR="00013D52" w:rsidRPr="009D5917" w:rsidRDefault="00013D52" w:rsidP="00013D52">
      <w:pPr>
        <w:pStyle w:val="Liste1Aufzhlung"/>
        <w:spacing w:before="0"/>
        <w:jc w:val="left"/>
        <w:rPr>
          <w:rStyle w:val="CASNrZchn"/>
          <w:sz w:val="24"/>
          <w:szCs w:val="22"/>
        </w:rPr>
      </w:pPr>
      <w:r w:rsidRPr="009D5917">
        <w:rPr>
          <w:rStyle w:val="RotZchn"/>
        </w:rPr>
        <w:lastRenderedPageBreak/>
        <w:t>Ammoniak</w:t>
      </w:r>
      <w:r w:rsidRPr="000740FB">
        <w:t>-Lösung</w:t>
      </w:r>
      <w:r w:rsidRPr="000740FB">
        <w:br/>
        <w:t>w= 25% (</w:t>
      </w:r>
      <w:proofErr w:type="spellStart"/>
      <w:r w:rsidRPr="000740FB">
        <w:t>konz</w:t>
      </w:r>
      <w:proofErr w:type="spellEnd"/>
      <w:r w:rsidRPr="000740FB">
        <w:t>.)</w:t>
      </w:r>
      <w:r>
        <w:tab/>
      </w:r>
      <w:r w:rsidRPr="000740FB">
        <w:br/>
      </w:r>
      <w:r w:rsidRPr="009D5917">
        <w:rPr>
          <w:rStyle w:val="CASNrZchn"/>
        </w:rPr>
        <w:t>CAS-Nr.: 1336-21-6</w:t>
      </w:r>
      <w:r>
        <w:tab/>
      </w:r>
      <w:r w:rsidRPr="000740FB">
        <w:br/>
      </w:r>
      <w:r w:rsidRPr="000740FB">
        <w:rPr>
          <w:noProof/>
          <w:lang w:eastAsia="de-DE"/>
        </w:rPr>
        <w:drawing>
          <wp:inline distT="0" distB="0" distL="0" distR="0" wp14:anchorId="0FCD7190" wp14:editId="578A657F">
            <wp:extent cx="358140" cy="365760"/>
            <wp:effectExtent l="0" t="0" r="381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358140" cy="365760"/>
                    </a:xfrm>
                    <a:prstGeom prst="rect">
                      <a:avLst/>
                    </a:prstGeom>
                    <a:noFill/>
                  </pic:spPr>
                </pic:pic>
              </a:graphicData>
            </a:graphic>
          </wp:inline>
        </w:drawing>
      </w:r>
      <w:r w:rsidRPr="000740FB">
        <w:t xml:space="preserve"> </w:t>
      </w:r>
      <w:r w:rsidRPr="000740FB">
        <w:rPr>
          <w:noProof/>
          <w:lang w:eastAsia="de-DE"/>
        </w:rPr>
        <w:drawing>
          <wp:inline distT="0" distB="0" distL="0" distR="0" wp14:anchorId="73649E36" wp14:editId="76167F17">
            <wp:extent cx="358140" cy="365760"/>
            <wp:effectExtent l="0" t="0" r="381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358140" cy="365760"/>
                    </a:xfrm>
                    <a:prstGeom prst="rect">
                      <a:avLst/>
                    </a:prstGeom>
                    <a:noFill/>
                  </pic:spPr>
                </pic:pic>
              </a:graphicData>
            </a:graphic>
          </wp:inline>
        </w:drawing>
      </w:r>
      <w:r w:rsidRPr="000740FB">
        <w:t xml:space="preserve"> </w:t>
      </w:r>
      <w:r w:rsidRPr="000740FB">
        <w:rPr>
          <w:noProof/>
          <w:lang w:eastAsia="de-DE"/>
        </w:rPr>
        <w:drawing>
          <wp:inline distT="0" distB="0" distL="0" distR="0" wp14:anchorId="581690C3" wp14:editId="74BC68F8">
            <wp:extent cx="358140" cy="358140"/>
            <wp:effectExtent l="0" t="0" r="3810" b="381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358140" cy="358140"/>
                    </a:xfrm>
                    <a:prstGeom prst="rect">
                      <a:avLst/>
                    </a:prstGeom>
                    <a:noFill/>
                  </pic:spPr>
                </pic:pic>
              </a:graphicData>
            </a:graphic>
          </wp:inline>
        </w:drawing>
      </w:r>
      <w:r w:rsidRPr="000740FB">
        <w:t xml:space="preserve"> Gefahr</w:t>
      </w:r>
      <w:r>
        <w:tab/>
      </w:r>
      <w:r w:rsidRPr="000740FB">
        <w:br/>
      </w:r>
      <w:r w:rsidRPr="009D5917">
        <w:rPr>
          <w:rStyle w:val="CASNrZchn"/>
        </w:rPr>
        <w:t>H290, H314, H335, H400</w:t>
      </w:r>
      <w:r w:rsidRPr="009D5917">
        <w:rPr>
          <w:rStyle w:val="CASNrZchn"/>
        </w:rPr>
        <w:tab/>
      </w:r>
      <w:r w:rsidRPr="009D5917">
        <w:rPr>
          <w:rStyle w:val="CASNrZchn"/>
        </w:rPr>
        <w:br/>
        <w:t>P260, P273, P280, P301+P330+P331, P303+P361+P353, P305+P351+P338</w:t>
      </w:r>
    </w:p>
    <w:p w14:paraId="15F543DA" w14:textId="77777777" w:rsidR="00013D52" w:rsidRDefault="00013D52" w:rsidP="00013D52">
      <w:pPr>
        <w:rPr>
          <w:rStyle w:val="Fett"/>
        </w:rPr>
        <w:sectPr w:rsidR="00013D52" w:rsidSect="008B0B97">
          <w:type w:val="continuous"/>
          <w:pgSz w:w="11906" w:h="16838"/>
          <w:pgMar w:top="851" w:right="1134" w:bottom="1134" w:left="1418" w:header="0" w:footer="0" w:gutter="0"/>
          <w:cols w:num="2" w:space="708"/>
          <w:titlePg/>
          <w:docGrid w:linePitch="360"/>
        </w:sectPr>
      </w:pPr>
    </w:p>
    <w:p w14:paraId="7D38C69A" w14:textId="43ED528B" w:rsidR="00013D52" w:rsidRDefault="00013D52" w:rsidP="00013D52">
      <w:pPr>
        <w:rPr>
          <w:rFonts w:cs="Arial"/>
        </w:rPr>
      </w:pPr>
      <w:r w:rsidRPr="00286E43">
        <w:rPr>
          <w:rStyle w:val="Fett"/>
        </w:rPr>
        <w:lastRenderedPageBreak/>
        <w:t>Durchführung</w:t>
      </w:r>
      <w:r>
        <w:t xml:space="preserve">: </w:t>
      </w:r>
      <w:r>
        <w:rPr>
          <w:rFonts w:cs="Arial"/>
        </w:rPr>
        <w:t>Ein Wattebausch wird in konzentriertem Ammoniak eingetaucht</w:t>
      </w:r>
      <w:r w:rsidR="00670494">
        <w:rPr>
          <w:rFonts w:cs="Arial"/>
        </w:rPr>
        <w:t xml:space="preserve"> und in das eine Ende des Glasrohres gesteckt</w:t>
      </w:r>
      <w:r>
        <w:rPr>
          <w:rFonts w:cs="Arial"/>
        </w:rPr>
        <w:t xml:space="preserve">. Ein </w:t>
      </w:r>
      <w:r w:rsidR="00670494">
        <w:rPr>
          <w:rFonts w:cs="Arial"/>
        </w:rPr>
        <w:t>weiterer Wa</w:t>
      </w:r>
      <w:r>
        <w:rPr>
          <w:rFonts w:cs="Arial"/>
        </w:rPr>
        <w:t xml:space="preserve">ttebausch wird in konzentrierte Salzsäure eingetaucht und </w:t>
      </w:r>
      <w:r w:rsidR="00670494">
        <w:rPr>
          <w:rFonts w:cs="Arial"/>
        </w:rPr>
        <w:t>mit Hilfe einer Tiegelzange schnell i</w:t>
      </w:r>
      <w:r>
        <w:rPr>
          <w:rFonts w:cs="Arial"/>
        </w:rPr>
        <w:t>n d</w:t>
      </w:r>
      <w:r w:rsidR="00670494">
        <w:rPr>
          <w:rFonts w:cs="Arial"/>
        </w:rPr>
        <w:t>as andere</w:t>
      </w:r>
      <w:r>
        <w:rPr>
          <w:rFonts w:cs="Arial"/>
        </w:rPr>
        <w:t xml:space="preserve"> Enden des Glasrohr</w:t>
      </w:r>
      <w:r w:rsidR="00670494">
        <w:rPr>
          <w:rFonts w:cs="Arial"/>
        </w:rPr>
        <w:t>s geschoben</w:t>
      </w:r>
      <w:r>
        <w:rPr>
          <w:rFonts w:cs="Arial"/>
        </w:rPr>
        <w:t>.</w:t>
      </w:r>
    </w:p>
    <w:p w14:paraId="0627FBEF" w14:textId="5F402129" w:rsidR="00013D52" w:rsidRDefault="00EA5E86" w:rsidP="00013D52">
      <w:pPr>
        <w:pStyle w:val="Bilder"/>
      </w:pPr>
      <w:r>
        <w:rPr>
          <w:lang w:eastAsia="de-DE"/>
        </w:rPr>
        <w:drawing>
          <wp:inline distT="0" distB="0" distL="0" distR="0" wp14:anchorId="567BB9A5" wp14:editId="4ABA8B07">
            <wp:extent cx="3600000" cy="1998220"/>
            <wp:effectExtent l="0" t="0" r="635" b="254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fik 33"/>
                    <pic:cNvPicPr/>
                  </pic:nvPicPr>
                  <pic:blipFill rotWithShape="1">
                    <a:blip r:embed="rId20" cstate="screen">
                      <a:extLst>
                        <a:ext uri="{28A0092B-C50C-407E-A947-70E740481C1C}">
                          <a14:useLocalDpi xmlns:a14="http://schemas.microsoft.com/office/drawing/2010/main"/>
                        </a:ext>
                      </a:extLst>
                    </a:blip>
                    <a:srcRect/>
                    <a:stretch/>
                  </pic:blipFill>
                  <pic:spPr bwMode="auto">
                    <a:xfrm>
                      <a:off x="0" y="0"/>
                      <a:ext cx="3600000" cy="1998220"/>
                    </a:xfrm>
                    <a:prstGeom prst="rect">
                      <a:avLst/>
                    </a:prstGeom>
                    <a:ln>
                      <a:noFill/>
                    </a:ln>
                    <a:extLst>
                      <a:ext uri="{53640926-AAD7-44D8-BBD7-CCE9431645EC}">
                        <a14:shadowObscured xmlns:a14="http://schemas.microsoft.com/office/drawing/2010/main"/>
                      </a:ext>
                    </a:extLst>
                  </pic:spPr>
                </pic:pic>
              </a:graphicData>
            </a:graphic>
          </wp:inline>
        </w:drawing>
      </w:r>
    </w:p>
    <w:p w14:paraId="46F8A836" w14:textId="5D2D7775" w:rsidR="00013D52" w:rsidRDefault="00013D52" w:rsidP="00013D52">
      <w:pPr>
        <w:pStyle w:val="Beschriftung"/>
      </w:pPr>
      <w:r>
        <w:t>Abb.</w:t>
      </w:r>
      <w:r w:rsidR="00217507">
        <w:t xml:space="preserve"> 6</w:t>
      </w:r>
      <w:r>
        <w:t xml:space="preserve">: </w:t>
      </w:r>
      <w:r w:rsidR="0015511C">
        <w:t>Reaktion von Chlorwasserstoff-Gas mit Ammoniak-Gas zu</w:t>
      </w:r>
      <w:r w:rsidR="00EA5E86">
        <w:t xml:space="preserve"> </w:t>
      </w:r>
      <w:r w:rsidR="0015511C">
        <w:t xml:space="preserve">festem </w:t>
      </w:r>
      <w:bookmarkStart w:id="4" w:name="_GoBack"/>
      <w:bookmarkEnd w:id="4"/>
      <w:r>
        <w:t>Ammoniumchlorid</w:t>
      </w:r>
    </w:p>
    <w:p w14:paraId="4C59F5C9" w14:textId="05F54195" w:rsidR="00013D52" w:rsidRDefault="00013D52" w:rsidP="00013D52">
      <w:r w:rsidRPr="00286E43">
        <w:rPr>
          <w:rStyle w:val="Fett"/>
        </w:rPr>
        <w:t>Beobachtung</w:t>
      </w:r>
      <w:r>
        <w:t xml:space="preserve">: Im Glasrohr entsteht </w:t>
      </w:r>
      <w:r w:rsidR="00EA5E86">
        <w:t xml:space="preserve">weißer </w:t>
      </w:r>
      <w:r>
        <w:t>Rauch</w:t>
      </w:r>
    </w:p>
    <w:p w14:paraId="3236F584" w14:textId="77777777" w:rsidR="00013D52" w:rsidRPr="009D5917" w:rsidRDefault="00013D52" w:rsidP="00013D52">
      <w:r w:rsidRPr="00286E43">
        <w:rPr>
          <w:rStyle w:val="Fett"/>
        </w:rPr>
        <w:t>Deutung</w:t>
      </w:r>
      <w:r w:rsidRPr="009D5917">
        <w:t>: Salzsäure gibt ein Proton an den gasförmigen Ammoniak ab und es entsteht Ammoniumchlorid, welches mit Luft Rauch bildet.</w:t>
      </w:r>
    </w:p>
    <w:p w14:paraId="01758619" w14:textId="0E19F592" w:rsidR="00013D52" w:rsidRPr="009D5917" w:rsidRDefault="00013D52" w:rsidP="00013D52">
      <w:r w:rsidRPr="009D5917">
        <w:t>An</w:t>
      </w:r>
      <w:r w:rsidR="00602968">
        <w:t>hand</w:t>
      </w:r>
      <w:r w:rsidRPr="009D5917">
        <w:t xml:space="preserve"> der Reaktionsgleichung ist zu erkennen, dass </w:t>
      </w:r>
      <w:r w:rsidR="00602968">
        <w:t xml:space="preserve">bei </w:t>
      </w:r>
      <w:proofErr w:type="spellStart"/>
      <w:r w:rsidR="00602968" w:rsidRPr="009D5917">
        <w:t>Brønsted</w:t>
      </w:r>
      <w:r w:rsidR="00602968">
        <w:t>s</w:t>
      </w:r>
      <w:proofErr w:type="spellEnd"/>
      <w:r w:rsidR="00602968">
        <w:t xml:space="preserve"> Säure-Base Konzept keine Abhängigkeit von wässrigen Lösungen besteht und diese auch auf Reaktionen in der Gasphase anwendbar ist</w:t>
      </w:r>
      <w:r w:rsidRPr="009D5917">
        <w:t xml:space="preserve">. Bei der Säure-Base-Theorie von </w:t>
      </w:r>
      <w:proofErr w:type="spellStart"/>
      <w:r w:rsidRPr="009D5917">
        <w:t>Brønsted</w:t>
      </w:r>
      <w:proofErr w:type="spellEnd"/>
      <w:r w:rsidRPr="009D5917">
        <w:t xml:space="preserve"> sind Basen solche Stoffe, die Protonen aufnehmen können (Protonen</w:t>
      </w:r>
      <w:r>
        <w:t>-A</w:t>
      </w:r>
      <w:r w:rsidRPr="009D5917">
        <w:t>kzeptor). Ammonium fungiert in der obigen Reaktion als Protonen</w:t>
      </w:r>
      <w:r>
        <w:t>-A</w:t>
      </w:r>
      <w:r w:rsidRPr="009D5917">
        <w:t xml:space="preserve">kzeptor, </w:t>
      </w:r>
      <w:r w:rsidR="00602968">
        <w:t>da</w:t>
      </w:r>
      <w:r w:rsidRPr="009D5917">
        <w:t xml:space="preserve"> es Protonen aufnimmt.</w:t>
      </w:r>
    </w:p>
    <w:p w14:paraId="14A628F4" w14:textId="77777777" w:rsidR="00013D52" w:rsidRPr="00576991" w:rsidRDefault="0045092F" w:rsidP="00013D52">
      <w:pPr>
        <w:pStyle w:val="Formeln"/>
        <w:rPr>
          <w:rFonts w:eastAsiaTheme="minorEastAsia"/>
          <w:lang w:val="en-US"/>
        </w:rPr>
      </w:pPr>
      <m:oMathPara>
        <m:oMath>
          <m:sSub>
            <m:sSubPr>
              <m:ctrlPr>
                <w:rPr>
                  <w:rFonts w:ascii="Cambria Math" w:hAnsi="Cambria Math"/>
                </w:rPr>
              </m:ctrlPr>
            </m:sSubPr>
            <m:e>
              <m:r>
                <m:rPr>
                  <m:nor/>
                </m:rPr>
                <w:rPr>
                  <w:lang w:val="en-US"/>
                </w:rPr>
                <m:t>NH</m:t>
              </m:r>
            </m:e>
            <m:sub>
              <m:r>
                <m:rPr>
                  <m:nor/>
                </m:rPr>
                <w:rPr>
                  <w:lang w:val="en-US"/>
                </w:rPr>
                <m:t>3</m:t>
              </m:r>
            </m:sub>
          </m:sSub>
          <m:d>
            <m:dPr>
              <m:ctrlPr>
                <w:rPr>
                  <w:rFonts w:ascii="Cambria Math" w:hAnsi="Cambria Math"/>
                </w:rPr>
              </m:ctrlPr>
            </m:dPr>
            <m:e>
              <m:r>
                <m:rPr>
                  <m:nor/>
                </m:rPr>
                <w:rPr>
                  <w:lang w:val="en-US"/>
                </w:rPr>
                <m:t>g</m:t>
              </m:r>
            </m:e>
          </m:d>
          <m:r>
            <m:rPr>
              <m:nor/>
            </m:rPr>
            <w:rPr>
              <w:rFonts w:ascii="Cambria Math"/>
              <w:lang w:val="en-US"/>
            </w:rPr>
            <m:t xml:space="preserve"> </m:t>
          </m:r>
          <m:r>
            <m:rPr>
              <m:nor/>
            </m:rPr>
            <w:rPr>
              <w:lang w:val="en-US"/>
            </w:rPr>
            <m:t>+</m:t>
          </m:r>
          <m:r>
            <m:rPr>
              <m:nor/>
            </m:rPr>
            <w:rPr>
              <w:rFonts w:ascii="Cambria Math"/>
              <w:lang w:val="en-US"/>
            </w:rPr>
            <m:t xml:space="preserve"> </m:t>
          </m:r>
          <m:r>
            <m:rPr>
              <m:nor/>
            </m:rPr>
            <w:rPr>
              <w:lang w:val="en-US"/>
            </w:rPr>
            <m:t>HCl</m:t>
          </m:r>
          <m:d>
            <m:dPr>
              <m:ctrlPr>
                <w:rPr>
                  <w:rFonts w:ascii="Cambria Math" w:hAnsi="Cambria Math"/>
                </w:rPr>
              </m:ctrlPr>
            </m:dPr>
            <m:e>
              <m:r>
                <m:rPr>
                  <m:nor/>
                </m:rPr>
                <w:rPr>
                  <w:lang w:val="en-US"/>
                </w:rPr>
                <m:t>g</m:t>
              </m:r>
            </m:e>
          </m:d>
          <m:r>
            <m:rPr>
              <m:nor/>
            </m:rPr>
            <w:rPr>
              <w:lang w:val="en-US"/>
            </w:rPr>
            <m:t xml:space="preserve"> </m:t>
          </m:r>
          <m:r>
            <m:rPr>
              <m:nor/>
            </m:rPr>
            <w:rPr>
              <w:rFonts w:ascii="Cambria Math" w:hAnsi="Cambria Math" w:cs="Cambria Math"/>
            </w:rPr>
            <m:t>⟶</m:t>
          </m:r>
          <m:r>
            <m:rPr>
              <m:sty m:val="p"/>
            </m:rPr>
            <w:rPr>
              <w:rFonts w:ascii="Cambria Math" w:hAnsi="Cambria Math"/>
              <w:lang w:val="en-US"/>
            </w:rPr>
            <m:t xml:space="preserve"> </m:t>
          </m:r>
          <m:sSub>
            <m:sSubPr>
              <m:ctrlPr>
                <w:rPr>
                  <w:rFonts w:ascii="Cambria Math" w:hAnsi="Cambria Math"/>
                </w:rPr>
              </m:ctrlPr>
            </m:sSubPr>
            <m:e>
              <m:r>
                <m:rPr>
                  <m:nor/>
                </m:rPr>
                <w:rPr>
                  <w:lang w:val="en-US"/>
                </w:rPr>
                <m:t>NH</m:t>
              </m:r>
            </m:e>
            <m:sub>
              <m:r>
                <m:rPr>
                  <m:nor/>
                </m:rPr>
                <w:rPr>
                  <w:lang w:val="en-US"/>
                </w:rPr>
                <m:t>4</m:t>
              </m:r>
            </m:sub>
          </m:sSub>
          <m:r>
            <m:rPr>
              <m:nor/>
            </m:rPr>
            <w:rPr>
              <w:lang w:val="en-US"/>
            </w:rPr>
            <m:t>Cl(s)</m:t>
          </m:r>
        </m:oMath>
      </m:oMathPara>
    </w:p>
    <w:p w14:paraId="457DD123" w14:textId="77777777" w:rsidR="00013D52" w:rsidRDefault="00013D52" w:rsidP="00013D52">
      <w:r w:rsidRPr="00286E43">
        <w:rPr>
          <w:rStyle w:val="Fett"/>
        </w:rPr>
        <w:t>Entsorgung</w:t>
      </w:r>
      <w:r>
        <w:t>: Rückstandsbehälter</w:t>
      </w:r>
    </w:p>
    <w:p w14:paraId="06CD0F69" w14:textId="77777777" w:rsidR="00013D52" w:rsidRDefault="00013D52" w:rsidP="00013D52">
      <w:pPr>
        <w:rPr>
          <w:rFonts w:cs="Arial"/>
        </w:rPr>
      </w:pPr>
      <w:r w:rsidRPr="00286E43">
        <w:rPr>
          <w:rStyle w:val="Fett"/>
        </w:rPr>
        <w:t>Quelle</w:t>
      </w:r>
      <w:r>
        <w:t xml:space="preserve">: </w:t>
      </w:r>
      <w:r>
        <w:rPr>
          <w:rFonts w:cs="Arial"/>
        </w:rPr>
        <w:t>Häusler/</w:t>
      </w:r>
      <w:proofErr w:type="spellStart"/>
      <w:r>
        <w:rPr>
          <w:rFonts w:cs="Arial"/>
        </w:rPr>
        <w:t>Rampf</w:t>
      </w:r>
      <w:proofErr w:type="spellEnd"/>
      <w:r>
        <w:rPr>
          <w:rFonts w:cs="Arial"/>
        </w:rPr>
        <w:t xml:space="preserve">/Reichelt, Experimente für den Chemieunterricht - mit einer Einführung in die Labortechnik, </w:t>
      </w:r>
      <w:proofErr w:type="spellStart"/>
      <w:r>
        <w:rPr>
          <w:rFonts w:cs="Arial"/>
        </w:rPr>
        <w:t>Oldenbourg</w:t>
      </w:r>
      <w:proofErr w:type="spellEnd"/>
      <w:r>
        <w:rPr>
          <w:rFonts w:cs="Arial"/>
        </w:rPr>
        <w:t>, München 1991</w:t>
      </w:r>
    </w:p>
    <w:p w14:paraId="724376E4" w14:textId="6452D948" w:rsidR="00E2527B" w:rsidRDefault="00E2527B">
      <w:pPr>
        <w:spacing w:before="0"/>
        <w:jc w:val="left"/>
      </w:pPr>
      <w:r>
        <w:br w:type="page"/>
      </w:r>
    </w:p>
    <w:p w14:paraId="387F11CA" w14:textId="65545EC0" w:rsidR="00DC0A1D" w:rsidRDefault="00DC0A1D" w:rsidP="00DC0A1D">
      <w:pPr>
        <w:pStyle w:val="berschrift1"/>
      </w:pPr>
      <w:bookmarkStart w:id="5" w:name="_Toc77020298"/>
      <w:r>
        <w:lastRenderedPageBreak/>
        <w:t>Konzept</w:t>
      </w:r>
      <w:r w:rsidR="008E3FE9">
        <w:t xml:space="preserve"> nach Arrhenius</w:t>
      </w:r>
      <w:bookmarkEnd w:id="5"/>
    </w:p>
    <w:p w14:paraId="2711C362" w14:textId="77777777" w:rsidR="008E3FE9" w:rsidRDefault="008E3FE9" w:rsidP="008E3FE9">
      <w:pPr>
        <w:pStyle w:val="Bilder"/>
      </w:pPr>
      <w:r>
        <w:rPr>
          <w:lang w:eastAsia="de-DE"/>
        </w:rPr>
        <w:drawing>
          <wp:inline distT="0" distB="0" distL="0" distR="0" wp14:anchorId="2AFD7507" wp14:editId="587F607D">
            <wp:extent cx="1144307" cy="1800000"/>
            <wp:effectExtent l="0" t="0" r="0" b="0"/>
            <wp:docPr id="2" name="Grafik 2" descr="Ein Bild, das Text, Person, Mann,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Person, Mann, Anzug enthält.&#10;&#10;Automatisch generierte Beschreibung"/>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1144307" cy="1800000"/>
                    </a:xfrm>
                    <a:prstGeom prst="rect">
                      <a:avLst/>
                    </a:prstGeom>
                    <a:noFill/>
                    <a:ln>
                      <a:noFill/>
                    </a:ln>
                  </pic:spPr>
                </pic:pic>
              </a:graphicData>
            </a:graphic>
          </wp:inline>
        </w:drawing>
      </w:r>
    </w:p>
    <w:p w14:paraId="6F815559" w14:textId="08E827AC" w:rsidR="008E3FE9" w:rsidRDefault="008E3FE9" w:rsidP="008E3FE9">
      <w:pPr>
        <w:pStyle w:val="Beschriftung"/>
      </w:pPr>
      <w:r>
        <w:t xml:space="preserve">Abb. </w:t>
      </w:r>
      <w:r w:rsidR="00217507">
        <w:t>7</w:t>
      </w:r>
      <w:r>
        <w:t>: Svante Arrhenius (1859 - 1927) [</w:t>
      </w:r>
      <w:r>
        <w:fldChar w:fldCharType="begin"/>
      </w:r>
      <w:r>
        <w:instrText xml:space="preserve"> REF _Ref46734513 \r \h </w:instrText>
      </w:r>
      <w:r>
        <w:fldChar w:fldCharType="separate"/>
      </w:r>
      <w:r w:rsidR="0045092F">
        <w:t>5</w:t>
      </w:r>
      <w:r>
        <w:fldChar w:fldCharType="end"/>
      </w:r>
      <w:r>
        <w:t>]</w:t>
      </w:r>
    </w:p>
    <w:p w14:paraId="1FB6FCF5" w14:textId="6F4F5816" w:rsidR="00602968" w:rsidRDefault="00602968" w:rsidP="00602968">
      <w:r>
        <w:t xml:space="preserve">Bereits 1883 entwickelte Svante Arrhenius </w:t>
      </w:r>
      <w:proofErr w:type="gramStart"/>
      <w:r>
        <w:t>ein anderes Säure</w:t>
      </w:r>
      <w:proofErr w:type="gramEnd"/>
      <w:r>
        <w:t xml:space="preserve">/Base-Konzept, welches im Vergleich zu </w:t>
      </w:r>
      <w:proofErr w:type="spellStart"/>
      <w:r w:rsidRPr="009D5917">
        <w:t>Brønsted</w:t>
      </w:r>
      <w:proofErr w:type="spellEnd"/>
      <w:r>
        <w:t xml:space="preserve"> auf der Abhängigkeit von wässrigen Lösungen beruht</w:t>
      </w:r>
      <w:r w:rsidR="000747CD">
        <w:t>.</w:t>
      </w:r>
    </w:p>
    <w:p w14:paraId="4FB433DD" w14:textId="77777777" w:rsidR="008E3FE9" w:rsidRDefault="008E3FE9" w:rsidP="008E3FE9">
      <w:r w:rsidRPr="004C0AA2">
        <w:rPr>
          <w:rStyle w:val="Fett"/>
        </w:rPr>
        <w:t>Versuch 1</w:t>
      </w:r>
      <w:r>
        <w:t>: pH-Wert der Zitronensäure</w:t>
      </w:r>
    </w:p>
    <w:p w14:paraId="4F367AED" w14:textId="77777777" w:rsidR="008E3FE9" w:rsidRDefault="008E3FE9" w:rsidP="008E3FE9">
      <w:r w:rsidRPr="004C0AA2">
        <w:rPr>
          <w:rStyle w:val="Fett"/>
        </w:rPr>
        <w:t>Zeitbedarf</w:t>
      </w:r>
      <w:r>
        <w:t>: 3 Minuten</w:t>
      </w:r>
    </w:p>
    <w:p w14:paraId="7816C789" w14:textId="3A542B98" w:rsidR="008E3FE9" w:rsidRDefault="008E3FE9" w:rsidP="008E3FE9">
      <w:r w:rsidRPr="004C0AA2">
        <w:rPr>
          <w:rStyle w:val="Fett"/>
        </w:rPr>
        <w:t>Ziel</w:t>
      </w:r>
      <w:r>
        <w:t>: pH-Wert, Oxonium-Ionen</w:t>
      </w:r>
    </w:p>
    <w:p w14:paraId="1CF1D320" w14:textId="77777777" w:rsidR="008E3FE9" w:rsidRDefault="008E3FE9" w:rsidP="008E3FE9">
      <w:r w:rsidRPr="004C0AA2">
        <w:rPr>
          <w:rStyle w:val="Fett"/>
        </w:rPr>
        <w:t>Material</w:t>
      </w:r>
      <w:r>
        <w:t>:</w:t>
      </w:r>
    </w:p>
    <w:p w14:paraId="043D2BF3" w14:textId="77777777" w:rsidR="008E3FE9" w:rsidRDefault="008E3FE9" w:rsidP="008E3FE9">
      <w:pPr>
        <w:pStyle w:val="Liste1Aufzhlung"/>
        <w:sectPr w:rsidR="008E3FE9" w:rsidSect="00DF520D">
          <w:type w:val="continuous"/>
          <w:pgSz w:w="11906" w:h="16838"/>
          <w:pgMar w:top="851" w:right="1134" w:bottom="1134" w:left="1418" w:header="0" w:footer="0" w:gutter="0"/>
          <w:cols w:space="708"/>
          <w:titlePg/>
          <w:docGrid w:linePitch="360"/>
        </w:sectPr>
      </w:pPr>
    </w:p>
    <w:p w14:paraId="39CBBB08" w14:textId="77777777" w:rsidR="008E3FE9" w:rsidRDefault="008E3FE9" w:rsidP="008E3FE9">
      <w:pPr>
        <w:pStyle w:val="Liste1Aufzhlung"/>
      </w:pPr>
      <w:r>
        <w:lastRenderedPageBreak/>
        <w:t>Löffel-Spatel</w:t>
      </w:r>
    </w:p>
    <w:p w14:paraId="57D2ECC2" w14:textId="77777777" w:rsidR="008E3FE9" w:rsidRDefault="008E3FE9" w:rsidP="008E3FE9">
      <w:pPr>
        <w:pStyle w:val="Liste1Aufzhlung"/>
      </w:pPr>
      <w:r>
        <w:t>Uhrglas</w:t>
      </w:r>
    </w:p>
    <w:p w14:paraId="51D1B9EC" w14:textId="77777777" w:rsidR="008E3FE9" w:rsidRDefault="008E3FE9" w:rsidP="008E3FE9">
      <w:pPr>
        <w:pStyle w:val="Liste1Aufzhlung"/>
      </w:pPr>
      <w:r>
        <w:lastRenderedPageBreak/>
        <w:t>Universalindikator-Papier</w:t>
      </w:r>
    </w:p>
    <w:p w14:paraId="75D67EB4" w14:textId="77777777" w:rsidR="008E3FE9" w:rsidRDefault="008E3FE9" w:rsidP="008E3FE9">
      <w:pPr>
        <w:rPr>
          <w:rStyle w:val="Fett"/>
        </w:rPr>
        <w:sectPr w:rsidR="008E3FE9" w:rsidSect="004C0AA2">
          <w:type w:val="continuous"/>
          <w:pgSz w:w="11906" w:h="16838"/>
          <w:pgMar w:top="851" w:right="1134" w:bottom="1134" w:left="1418" w:header="0" w:footer="0" w:gutter="0"/>
          <w:cols w:num="2" w:space="708"/>
          <w:titlePg/>
          <w:docGrid w:linePitch="360"/>
        </w:sectPr>
      </w:pPr>
    </w:p>
    <w:p w14:paraId="40C7B5C7" w14:textId="77777777" w:rsidR="008E3FE9" w:rsidRDefault="008E3FE9" w:rsidP="008E3FE9">
      <w:r w:rsidRPr="004C0AA2">
        <w:rPr>
          <w:rStyle w:val="Fett"/>
        </w:rPr>
        <w:lastRenderedPageBreak/>
        <w:t>Chemikalien</w:t>
      </w:r>
      <w:r>
        <w:t>:</w:t>
      </w:r>
    </w:p>
    <w:p w14:paraId="48956CD5" w14:textId="77777777" w:rsidR="008E3FE9" w:rsidRDefault="008E3FE9" w:rsidP="008E3FE9">
      <w:pPr>
        <w:pStyle w:val="Liste1Aufzhlung"/>
        <w:rPr>
          <w:rStyle w:val="RotZchn"/>
        </w:rPr>
        <w:sectPr w:rsidR="008E3FE9" w:rsidSect="00DF520D">
          <w:type w:val="continuous"/>
          <w:pgSz w:w="11906" w:h="16838"/>
          <w:pgMar w:top="851" w:right="1134" w:bottom="1134" w:left="1418" w:header="0" w:footer="0" w:gutter="0"/>
          <w:cols w:space="708"/>
          <w:titlePg/>
          <w:docGrid w:linePitch="360"/>
        </w:sectPr>
      </w:pPr>
    </w:p>
    <w:p w14:paraId="277D038B" w14:textId="77777777" w:rsidR="008E3FE9" w:rsidRPr="004C0AA2" w:rsidRDefault="008E3FE9" w:rsidP="008E3FE9">
      <w:pPr>
        <w:pStyle w:val="Liste1Aufzhlung"/>
        <w:rPr>
          <w:rStyle w:val="CASNrZchn"/>
          <w:sz w:val="24"/>
          <w:szCs w:val="22"/>
        </w:rPr>
      </w:pPr>
      <w:r w:rsidRPr="004C0AA2">
        <w:rPr>
          <w:rStyle w:val="RotZchn"/>
        </w:rPr>
        <w:lastRenderedPageBreak/>
        <w:t>Zitronensäure</w:t>
      </w:r>
      <w:r w:rsidRPr="000740FB">
        <w:br/>
      </w:r>
      <w:r w:rsidRPr="004C0AA2">
        <w:rPr>
          <w:rStyle w:val="CASNrZchn"/>
        </w:rPr>
        <w:t>CAS-Nr.: 5949-29-1</w:t>
      </w:r>
      <w:r>
        <w:tab/>
      </w:r>
      <w:r w:rsidRPr="000740FB">
        <w:br/>
      </w:r>
      <w:r w:rsidRPr="000740FB">
        <w:rPr>
          <w:noProof/>
          <w:lang w:eastAsia="de-DE"/>
        </w:rPr>
        <w:drawing>
          <wp:inline distT="0" distB="0" distL="0" distR="0" wp14:anchorId="29A5782C" wp14:editId="4C0004E1">
            <wp:extent cx="358140" cy="365760"/>
            <wp:effectExtent l="0" t="0" r="381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358140" cy="365760"/>
                    </a:xfrm>
                    <a:prstGeom prst="rect">
                      <a:avLst/>
                    </a:prstGeom>
                    <a:noFill/>
                  </pic:spPr>
                </pic:pic>
              </a:graphicData>
            </a:graphic>
          </wp:inline>
        </w:drawing>
      </w:r>
      <w:r w:rsidRPr="000740FB">
        <w:t xml:space="preserve"> Achtung</w:t>
      </w:r>
      <w:r>
        <w:tab/>
      </w:r>
      <w:r w:rsidRPr="000740FB">
        <w:br/>
      </w:r>
      <w:r w:rsidRPr="004C0AA2">
        <w:rPr>
          <w:rStyle w:val="CASNrZchn"/>
        </w:rPr>
        <w:t>H319</w:t>
      </w:r>
      <w:r w:rsidRPr="004C0AA2">
        <w:rPr>
          <w:rStyle w:val="CASNrZchn"/>
        </w:rPr>
        <w:br/>
        <w:t>P280, P305+P351+P338, P337+P313</w:t>
      </w:r>
    </w:p>
    <w:p w14:paraId="01FDAF03" w14:textId="77777777" w:rsidR="008E3FE9" w:rsidRPr="004C0AA2" w:rsidRDefault="008E3FE9" w:rsidP="008E3FE9">
      <w:pPr>
        <w:pStyle w:val="Liste1Aufzhlung"/>
        <w:rPr>
          <w:rStyle w:val="RotZchn"/>
          <w:color w:val="auto"/>
        </w:rPr>
      </w:pPr>
      <w:r>
        <w:rPr>
          <w:rStyle w:val="RotZchn"/>
        </w:rPr>
        <w:br w:type="column"/>
      </w:r>
      <w:r>
        <w:rPr>
          <w:rStyle w:val="RotZchn"/>
        </w:rPr>
        <w:lastRenderedPageBreak/>
        <w:t>VE-Wasser</w:t>
      </w:r>
    </w:p>
    <w:p w14:paraId="7C2FAC73" w14:textId="77777777" w:rsidR="008E3FE9" w:rsidRDefault="008E3FE9" w:rsidP="008E3FE9">
      <w:pPr>
        <w:rPr>
          <w:rStyle w:val="Fett"/>
        </w:rPr>
        <w:sectPr w:rsidR="008E3FE9" w:rsidSect="004C0AA2">
          <w:type w:val="continuous"/>
          <w:pgSz w:w="11906" w:h="16838"/>
          <w:pgMar w:top="851" w:right="1134" w:bottom="1134" w:left="1418" w:header="0" w:footer="0" w:gutter="0"/>
          <w:cols w:num="2" w:space="708"/>
          <w:titlePg/>
          <w:docGrid w:linePitch="360"/>
        </w:sectPr>
      </w:pPr>
    </w:p>
    <w:p w14:paraId="4BF7B7FB" w14:textId="624E9C4F" w:rsidR="008E3FE9" w:rsidRDefault="008E3FE9" w:rsidP="008E3FE9">
      <w:r w:rsidRPr="004C0AA2">
        <w:rPr>
          <w:rStyle w:val="Fett"/>
        </w:rPr>
        <w:lastRenderedPageBreak/>
        <w:t>Durchführung 1</w:t>
      </w:r>
      <w:r>
        <w:t xml:space="preserve">: Man gibt zwei bis drei Löffel Zitronensäure auf </w:t>
      </w:r>
      <w:r w:rsidR="000747CD">
        <w:t>ein</w:t>
      </w:r>
      <w:r>
        <w:t xml:space="preserve"> Uhrglas und berührt sie anschließend mit dem Universalindikator-Papier.</w:t>
      </w:r>
    </w:p>
    <w:p w14:paraId="795A00DB" w14:textId="77777777" w:rsidR="008E3FE9" w:rsidRDefault="008E3FE9" w:rsidP="008E3FE9">
      <w:pPr>
        <w:pStyle w:val="Bilder"/>
      </w:pPr>
      <w:r>
        <w:rPr>
          <w:lang w:eastAsia="de-DE"/>
        </w:rPr>
        <w:drawing>
          <wp:inline distT="0" distB="0" distL="0" distR="0" wp14:anchorId="37C7FDDC" wp14:editId="4A0CC3E7">
            <wp:extent cx="3600000" cy="1806030"/>
            <wp:effectExtent l="0" t="0" r="635" b="3810"/>
            <wp:docPr id="14" name="Grafik 14" descr="Ein Bild, das Kunststof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Kunststoff enthält.&#10;&#10;Automatisch generierte Beschreibung"/>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3600000" cy="1806030"/>
                    </a:xfrm>
                    <a:prstGeom prst="rect">
                      <a:avLst/>
                    </a:prstGeom>
                    <a:noFill/>
                    <a:ln>
                      <a:noFill/>
                    </a:ln>
                  </pic:spPr>
                </pic:pic>
              </a:graphicData>
            </a:graphic>
          </wp:inline>
        </w:drawing>
      </w:r>
    </w:p>
    <w:p w14:paraId="0CDFC840" w14:textId="1914E834" w:rsidR="008E3FE9" w:rsidRDefault="008E3FE9" w:rsidP="008E3FE9">
      <w:pPr>
        <w:pStyle w:val="Beschriftung"/>
        <w:rPr>
          <w:rFonts w:cs="Arial"/>
        </w:rPr>
      </w:pPr>
      <w:r>
        <w:t xml:space="preserve">Abb. </w:t>
      </w:r>
      <w:r w:rsidR="00217507">
        <w:t>8:</w:t>
      </w:r>
      <w:r w:rsidRPr="004C0AA2">
        <w:rPr>
          <w:rFonts w:cs="Arial"/>
        </w:rPr>
        <w:t xml:space="preserve"> </w:t>
      </w:r>
      <w:r>
        <w:rPr>
          <w:rFonts w:cs="Arial"/>
        </w:rPr>
        <w:t>links Zitronensäure-Grana mit Indikatorpapier</w:t>
      </w:r>
      <w:r>
        <w:rPr>
          <w:rFonts w:cs="Arial"/>
        </w:rPr>
        <w:br/>
        <w:t>rechts gelöste Zitronensäure mit nassem Indikatorpapier.</w:t>
      </w:r>
    </w:p>
    <w:p w14:paraId="0011E7F1" w14:textId="77777777" w:rsidR="008E3FE9" w:rsidRDefault="008E3FE9" w:rsidP="008E3FE9">
      <w:r w:rsidRPr="004C0AA2">
        <w:rPr>
          <w:rStyle w:val="Fett"/>
        </w:rPr>
        <w:t>Beobachtung</w:t>
      </w:r>
      <w:r>
        <w:t>: Keine Änderung der pH-Papierfarbe</w:t>
      </w:r>
    </w:p>
    <w:p w14:paraId="49FBADDD" w14:textId="77777777" w:rsidR="008E3FE9" w:rsidRDefault="008E3FE9" w:rsidP="008E3FE9">
      <w:pPr>
        <w:rPr>
          <w:rFonts w:cs="Arial"/>
        </w:rPr>
      </w:pPr>
      <w:r w:rsidRPr="004C0AA2">
        <w:rPr>
          <w:rStyle w:val="Fett"/>
        </w:rPr>
        <w:t>Durchführung 2</w:t>
      </w:r>
      <w:r>
        <w:t xml:space="preserve">: </w:t>
      </w:r>
      <w:r>
        <w:rPr>
          <w:rFonts w:cs="Arial"/>
        </w:rPr>
        <w:t>Man gibt ein wenig Wasser auf die Zitronensäure und misst nun erneut den pH-Wert mit dem pH-Papier.</w:t>
      </w:r>
    </w:p>
    <w:p w14:paraId="5749E2A8" w14:textId="77777777" w:rsidR="008E3FE9" w:rsidRDefault="008E3FE9" w:rsidP="008E3FE9">
      <w:pPr>
        <w:rPr>
          <w:rFonts w:cs="Arial"/>
        </w:rPr>
      </w:pPr>
      <w:r w:rsidRPr="004C0AA2">
        <w:rPr>
          <w:rStyle w:val="Fett"/>
        </w:rPr>
        <w:lastRenderedPageBreak/>
        <w:t>Beobachtung 2</w:t>
      </w:r>
      <w:r>
        <w:rPr>
          <w:rFonts w:cs="Arial"/>
        </w:rPr>
        <w:t>: Verfärbung des pH-Papiers nach rot.</w:t>
      </w:r>
    </w:p>
    <w:p w14:paraId="488939AC" w14:textId="77777777" w:rsidR="008E3FE9" w:rsidRDefault="008E3FE9" w:rsidP="008E3FE9">
      <w:pPr>
        <w:rPr>
          <w:rFonts w:cs="Arial"/>
        </w:rPr>
      </w:pPr>
      <w:r w:rsidRPr="004C0AA2">
        <w:rPr>
          <w:rStyle w:val="Fett"/>
        </w:rPr>
        <w:t>Deutung</w:t>
      </w:r>
      <w:r>
        <w:rPr>
          <w:rFonts w:cs="Arial"/>
        </w:rPr>
        <w:t>: Der pH-Wert einer Säure gibt die Konzentration von Oxonium-Ionen an. Bei der Zitronensäure in fester Form sind die Protonen der Säure noch gebunden. Wird Wasser hinzugegeben, löst sich die Zitronensäure, indem sie ihre Protonen an das Wasser abgibt. Wasser fungiert somit als Lösungsmittel. Die dabei entstehenden Oxonium-Ionen lassen sich mit dem pH-Papier nachweisen.</w:t>
      </w:r>
    </w:p>
    <w:p w14:paraId="537651E0" w14:textId="77777777" w:rsidR="008E3FE9" w:rsidRPr="00576991" w:rsidRDefault="0045092F" w:rsidP="008E3FE9">
      <w:pPr>
        <w:pStyle w:val="Formeln"/>
        <w:rPr>
          <w:rFonts w:eastAsiaTheme="minorEastAsia"/>
          <w:lang w:val="en-US"/>
        </w:rPr>
      </w:pPr>
      <m:oMathPara>
        <m:oMath>
          <m:sSub>
            <m:sSubPr>
              <m:ctrlPr>
                <w:rPr>
                  <w:rFonts w:ascii="Cambria Math" w:hAnsi="Cambria Math"/>
                </w:rPr>
              </m:ctrlPr>
            </m:sSubPr>
            <m:e>
              <m:r>
                <m:rPr>
                  <m:nor/>
                </m:rPr>
                <w:rPr>
                  <w:lang w:val="en-US"/>
                </w:rPr>
                <m:t>C</m:t>
              </m:r>
            </m:e>
            <m:sub>
              <m:r>
                <m:rPr>
                  <m:nor/>
                </m:rPr>
                <w:rPr>
                  <w:lang w:val="en-US"/>
                </w:rPr>
                <m:t>5</m:t>
              </m:r>
            </m:sub>
          </m:sSub>
          <m:sSub>
            <m:sSubPr>
              <m:ctrlPr>
                <w:rPr>
                  <w:rFonts w:ascii="Cambria Math" w:hAnsi="Cambria Math"/>
                </w:rPr>
              </m:ctrlPr>
            </m:sSubPr>
            <m:e>
              <m:r>
                <m:rPr>
                  <m:nor/>
                </m:rPr>
                <w:rPr>
                  <w:lang w:val="en-US"/>
                </w:rPr>
                <m:t>H</m:t>
              </m:r>
            </m:e>
            <m:sub>
              <m:r>
                <m:rPr>
                  <m:nor/>
                </m:rPr>
                <w:rPr>
                  <w:lang w:val="en-US"/>
                </w:rPr>
                <m:t>7</m:t>
              </m:r>
            </m:sub>
          </m:sSub>
          <m:sSub>
            <m:sSubPr>
              <m:ctrlPr>
                <w:rPr>
                  <w:rFonts w:ascii="Cambria Math" w:hAnsi="Cambria Math"/>
                </w:rPr>
              </m:ctrlPr>
            </m:sSubPr>
            <m:e>
              <m:r>
                <m:rPr>
                  <m:nor/>
                </m:rPr>
                <w:rPr>
                  <w:lang w:val="en-US"/>
                </w:rPr>
                <m:t>O</m:t>
              </m:r>
            </m:e>
            <m:sub>
              <m:r>
                <m:rPr>
                  <m:nor/>
                </m:rPr>
                <w:rPr>
                  <w:lang w:val="en-US"/>
                </w:rPr>
                <m:t>5</m:t>
              </m:r>
            </m:sub>
          </m:sSub>
          <m:r>
            <m:rPr>
              <m:nor/>
            </m:rPr>
            <w:rPr>
              <w:lang w:val="en-US"/>
            </w:rPr>
            <m:t>COOH</m:t>
          </m:r>
          <m:d>
            <m:dPr>
              <m:ctrlPr>
                <w:rPr>
                  <w:rFonts w:ascii="Cambria Math" w:hAnsi="Cambria Math"/>
                </w:rPr>
              </m:ctrlPr>
            </m:dPr>
            <m:e>
              <m:r>
                <m:rPr>
                  <m:nor/>
                </m:rPr>
                <w:rPr>
                  <w:lang w:val="en-US"/>
                </w:rPr>
                <m:t>s</m:t>
              </m:r>
            </m:e>
          </m:d>
          <m:r>
            <m:rPr>
              <m:nor/>
            </m:rPr>
            <w:rPr>
              <w:rFonts w:ascii="Cambria Math"/>
              <w:lang w:val="en-US"/>
            </w:rPr>
            <m:t xml:space="preserve"> </m:t>
          </m:r>
          <m:r>
            <m:rPr>
              <m:nor/>
            </m:rPr>
            <w:rPr>
              <w:lang w:val="en-US"/>
            </w:rPr>
            <m:t xml:space="preserve">+ </m:t>
          </m:r>
          <m:sSub>
            <m:sSubPr>
              <m:ctrlPr>
                <w:rPr>
                  <w:rFonts w:ascii="Cambria Math" w:hAnsi="Cambria Math"/>
                </w:rPr>
              </m:ctrlPr>
            </m:sSubPr>
            <m:e>
              <m:r>
                <m:rPr>
                  <m:nor/>
                </m:rPr>
                <w:rPr>
                  <w:lang w:val="en-US"/>
                </w:rPr>
                <m:t>H</m:t>
              </m:r>
            </m:e>
            <m:sub>
              <m:r>
                <m:rPr>
                  <m:nor/>
                </m:rPr>
                <w:rPr>
                  <w:lang w:val="en-US"/>
                </w:rPr>
                <m:t>2</m:t>
              </m:r>
            </m:sub>
          </m:sSub>
          <m:r>
            <m:rPr>
              <m:nor/>
            </m:rPr>
            <w:rPr>
              <w:lang w:val="en-US"/>
            </w:rPr>
            <m:t xml:space="preserve">O → </m:t>
          </m:r>
          <m:sSub>
            <m:sSubPr>
              <m:ctrlPr>
                <w:rPr>
                  <w:rFonts w:ascii="Cambria Math" w:hAnsi="Cambria Math"/>
                </w:rPr>
              </m:ctrlPr>
            </m:sSubPr>
            <m:e>
              <m:r>
                <m:rPr>
                  <m:nor/>
                </m:rPr>
                <w:rPr>
                  <w:lang w:val="en-US"/>
                </w:rPr>
                <m:t>C</m:t>
              </m:r>
            </m:e>
            <m:sub>
              <m:r>
                <m:rPr>
                  <m:nor/>
                </m:rPr>
                <w:rPr>
                  <w:lang w:val="en-US"/>
                </w:rPr>
                <m:t>5</m:t>
              </m:r>
            </m:sub>
          </m:sSub>
          <m:sSub>
            <m:sSubPr>
              <m:ctrlPr>
                <w:rPr>
                  <w:rFonts w:ascii="Cambria Math" w:hAnsi="Cambria Math"/>
                </w:rPr>
              </m:ctrlPr>
            </m:sSubPr>
            <m:e>
              <m:r>
                <m:rPr>
                  <m:nor/>
                </m:rPr>
                <w:rPr>
                  <w:lang w:val="en-US"/>
                </w:rPr>
                <m:t>H</m:t>
              </m:r>
            </m:e>
            <m:sub>
              <m:r>
                <m:rPr>
                  <m:nor/>
                </m:rPr>
                <w:rPr>
                  <w:lang w:val="en-US"/>
                </w:rPr>
                <m:t>7</m:t>
              </m:r>
            </m:sub>
          </m:sSub>
          <m:sSub>
            <m:sSubPr>
              <m:ctrlPr>
                <w:rPr>
                  <w:rFonts w:ascii="Cambria Math" w:hAnsi="Cambria Math"/>
                </w:rPr>
              </m:ctrlPr>
            </m:sSubPr>
            <m:e>
              <m:r>
                <m:rPr>
                  <m:nor/>
                </m:rPr>
                <w:rPr>
                  <w:lang w:val="en-US"/>
                </w:rPr>
                <m:t>O</m:t>
              </m:r>
            </m:e>
            <m:sub>
              <m:r>
                <m:rPr>
                  <m:nor/>
                </m:rPr>
                <w:rPr>
                  <w:lang w:val="en-US"/>
                </w:rPr>
                <m:t>5</m:t>
              </m:r>
            </m:sub>
          </m:sSub>
          <m:sSup>
            <m:sSupPr>
              <m:ctrlPr>
                <w:rPr>
                  <w:rFonts w:ascii="Cambria Math" w:hAnsi="Cambria Math"/>
                </w:rPr>
              </m:ctrlPr>
            </m:sSupPr>
            <m:e>
              <m:r>
                <m:rPr>
                  <m:nor/>
                </m:rPr>
                <w:rPr>
                  <w:lang w:val="en-US"/>
                </w:rPr>
                <m:t>COO</m:t>
              </m:r>
            </m:e>
            <m:sup>
              <m:r>
                <m:rPr>
                  <m:nor/>
                </m:rPr>
                <w:rPr>
                  <w:lang w:val="en-US"/>
                </w:rPr>
                <m:t>-</m:t>
              </m:r>
            </m:sup>
          </m:sSup>
          <m:r>
            <m:rPr>
              <m:nor/>
            </m:rPr>
            <w:rPr>
              <w:rFonts w:ascii="Cambria Math"/>
              <w:lang w:val="en-US"/>
            </w:rPr>
            <m:t xml:space="preserve"> </m:t>
          </m:r>
          <m:r>
            <m:rPr>
              <m:nor/>
            </m:rPr>
            <w:rPr>
              <w:lang w:val="en-US"/>
            </w:rPr>
            <m:t xml:space="preserve">+ </m:t>
          </m:r>
          <m:sSup>
            <m:sSupPr>
              <m:ctrlPr>
                <w:rPr>
                  <w:rFonts w:ascii="Cambria Math" w:hAnsi="Cambria Math"/>
                </w:rPr>
              </m:ctrlPr>
            </m:sSupPr>
            <m:e>
              <m:r>
                <m:rPr>
                  <m:nor/>
                </m:rPr>
                <w:rPr>
                  <w:lang w:val="en-US"/>
                </w:rPr>
                <m:t>H</m:t>
              </m:r>
            </m:e>
            <m:sup>
              <m:r>
                <m:rPr>
                  <m:nor/>
                </m:rPr>
                <w:rPr>
                  <w:lang w:val="en-US"/>
                </w:rPr>
                <m:t>+</m:t>
              </m:r>
            </m:sup>
          </m:sSup>
        </m:oMath>
      </m:oMathPara>
    </w:p>
    <w:p w14:paraId="7D2FE8C5" w14:textId="77777777" w:rsidR="008E3FE9" w:rsidRDefault="008E3FE9" w:rsidP="008E3FE9">
      <w:r w:rsidRPr="004C0AA2">
        <w:rPr>
          <w:rStyle w:val="Fett"/>
        </w:rPr>
        <w:t>Entsorgung</w:t>
      </w:r>
      <w:r>
        <w:t>: Ausguss</w:t>
      </w:r>
    </w:p>
    <w:p w14:paraId="3201CB13" w14:textId="77777777" w:rsidR="008E3FE9" w:rsidRDefault="008E3FE9" w:rsidP="008E3FE9">
      <w:r>
        <w:t>Quelle: Didaktik der Chemie, Universität Bayreuth, Experimentierkurs</w:t>
      </w:r>
    </w:p>
    <w:p w14:paraId="09D854F9" w14:textId="77777777" w:rsidR="008E3FE9" w:rsidRPr="00576991" w:rsidRDefault="008E3FE9" w:rsidP="008E3FE9">
      <w:pPr>
        <w:rPr>
          <w:color w:val="0000FF" w:themeColor="accent1"/>
        </w:rPr>
      </w:pPr>
      <w:r w:rsidRPr="00576991">
        <w:rPr>
          <w:color w:val="0000FF" w:themeColor="accent1"/>
        </w:rPr>
        <w:t>Problem: Warum lässt sich der pH-Wert der Zitronensäure erst nach der Zugabe von Wasser messen?</w:t>
      </w:r>
    </w:p>
    <w:p w14:paraId="4B40895B" w14:textId="77777777" w:rsidR="008E3FE9" w:rsidRPr="004C0AA2" w:rsidRDefault="008E3FE9" w:rsidP="008E3FE9">
      <w:r w:rsidRPr="004C0AA2">
        <w:t>Dazu wird zunächst die Struktur</w:t>
      </w:r>
      <w:r>
        <w:t>-F</w:t>
      </w:r>
      <w:r w:rsidRPr="004C0AA2">
        <w:t xml:space="preserve">ormel der Säure betrachtet. Die Zitronensäure besitzt drei </w:t>
      </w:r>
      <w:proofErr w:type="spellStart"/>
      <w:r w:rsidRPr="004C0AA2">
        <w:t>Carboxyl</w:t>
      </w:r>
      <w:proofErr w:type="spellEnd"/>
      <w:r>
        <w:t>-G</w:t>
      </w:r>
      <w:r w:rsidRPr="004C0AA2">
        <w:t xml:space="preserve">ruppen: </w:t>
      </w:r>
    </w:p>
    <w:p w14:paraId="05E24B0B" w14:textId="77777777" w:rsidR="008E3FE9" w:rsidRDefault="008E3FE9" w:rsidP="008E3FE9">
      <w:pPr>
        <w:pStyle w:val="Bilder"/>
      </w:pPr>
      <w:r>
        <w:rPr>
          <w:lang w:eastAsia="de-DE"/>
        </w:rPr>
        <w:drawing>
          <wp:inline distT="0" distB="0" distL="0" distR="0" wp14:anchorId="7D169756" wp14:editId="66B8B29B">
            <wp:extent cx="1687195" cy="1696720"/>
            <wp:effectExtent l="0" t="0" r="8255" b="0"/>
            <wp:docPr id="15" name="Grafik 15" descr="Ein Bild, das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Ein Bild, das Uhr enthält.&#10;&#10;Automatisch generierte Beschreibung"/>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1687195" cy="1696720"/>
                    </a:xfrm>
                    <a:prstGeom prst="rect">
                      <a:avLst/>
                    </a:prstGeom>
                    <a:noFill/>
                    <a:ln>
                      <a:noFill/>
                    </a:ln>
                  </pic:spPr>
                </pic:pic>
              </a:graphicData>
            </a:graphic>
          </wp:inline>
        </w:drawing>
      </w:r>
    </w:p>
    <w:p w14:paraId="55659673" w14:textId="374E7AAA" w:rsidR="008E3FE9" w:rsidRDefault="008E3FE9" w:rsidP="008E3FE9">
      <w:pPr>
        <w:pStyle w:val="Beschriftung"/>
      </w:pPr>
      <w:r>
        <w:t>Abb.</w:t>
      </w:r>
      <w:r w:rsidR="00217507">
        <w:t>9</w:t>
      </w:r>
      <w:r>
        <w:t>: Struktur-Formel der Zitronensäure</w:t>
      </w:r>
    </w:p>
    <w:p w14:paraId="35498F1F" w14:textId="77777777" w:rsidR="008E3FE9" w:rsidRDefault="008E3FE9" w:rsidP="008E3FE9">
      <w:r>
        <w:t xml:space="preserve">Bei der Frage hilft </w:t>
      </w:r>
      <w:r>
        <w:rPr>
          <w:b/>
          <w:bCs/>
        </w:rPr>
        <w:t>Arrhenius</w:t>
      </w:r>
      <w:r>
        <w:t xml:space="preserve"> weiter. Dieser nahm an, dass die Moleküle der </w:t>
      </w:r>
      <w:r>
        <w:rPr>
          <w:b/>
          <w:bCs/>
        </w:rPr>
        <w:t>Säuren und Basen beim</w:t>
      </w:r>
      <w:r>
        <w:t xml:space="preserve"> </w:t>
      </w:r>
      <w:r>
        <w:rPr>
          <w:b/>
          <w:bCs/>
        </w:rPr>
        <w:t>Vorgang des Lösens in Wasser in Kationen und Anionen zerfallen</w:t>
      </w:r>
      <w:r>
        <w:t xml:space="preserve"> bzw. die Moleküle in entgegengesetzt geladene Ionen auseinanderweichen, also dissoziieren.</w:t>
      </w:r>
    </w:p>
    <w:p w14:paraId="69479623" w14:textId="77777777" w:rsidR="00013D52" w:rsidRDefault="008E3FE9" w:rsidP="008E3FE9">
      <w:pPr>
        <w:rPr>
          <w:rFonts w:cs="Arial"/>
        </w:rPr>
      </w:pPr>
      <w:r>
        <w:rPr>
          <w:rFonts w:cs="Arial"/>
        </w:rPr>
        <w:t>Die Zitronensäure dissoziiert demnach in wässrigem Medium in ein Kation und ein Anion. Da sich der pH-Wert der Säure im wässrigen Medium messen ließ, liegt die Vermutung nahe, dass bei der Dissoziation Wasserstoffionen frei werden.</w:t>
      </w:r>
    </w:p>
    <w:p w14:paraId="2947C186" w14:textId="7E3C459D" w:rsidR="008E3FE9" w:rsidRDefault="008E3FE9" w:rsidP="008E3FE9">
      <w:pPr>
        <w:rPr>
          <w:rFonts w:cs="Arial"/>
        </w:rPr>
      </w:pPr>
      <w:r>
        <w:rPr>
          <w:rFonts w:cs="Arial"/>
        </w:rPr>
        <w:t>Somit ergibt sich:</w:t>
      </w:r>
    </w:p>
    <w:p w14:paraId="40D7EA8D" w14:textId="77777777" w:rsidR="008E3FE9" w:rsidRDefault="008E3FE9" w:rsidP="008E3FE9">
      <w:pPr>
        <w:pStyle w:val="Bilder"/>
      </w:pPr>
      <w:r>
        <w:rPr>
          <w:lang w:eastAsia="de-DE"/>
        </w:rPr>
        <w:drawing>
          <wp:inline distT="0" distB="0" distL="0" distR="0" wp14:anchorId="56A8C198" wp14:editId="2317C388">
            <wp:extent cx="5373370" cy="1725295"/>
            <wp:effectExtent l="0" t="0" r="0" b="8255"/>
            <wp:docPr id="16" name="Grafik 16" descr="Ein Bild, das Text,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Ein Bild, das Text, Uhr enthält.&#10;&#10;Automatisch generierte Beschreibung"/>
                    <pic:cNvPicPr>
                      <a:picLocks noChangeAspect="1" noChangeArrowheads="1"/>
                    </pic:cNvPicPr>
                  </pic:nvPicPr>
                  <pic:blipFill>
                    <a:blip r:embed="rId24">
                      <a:extLst>
                        <a:ext uri="{28A0092B-C50C-407E-A947-70E740481C1C}">
                          <a14:useLocalDpi xmlns:a14="http://schemas.microsoft.com/office/drawing/2010/main"/>
                        </a:ext>
                      </a:extLst>
                    </a:blip>
                    <a:srcRect/>
                    <a:stretch>
                      <a:fillRect/>
                    </a:stretch>
                  </pic:blipFill>
                  <pic:spPr bwMode="auto">
                    <a:xfrm>
                      <a:off x="0" y="0"/>
                      <a:ext cx="5373370" cy="1725295"/>
                    </a:xfrm>
                    <a:prstGeom prst="rect">
                      <a:avLst/>
                    </a:prstGeom>
                    <a:noFill/>
                    <a:ln>
                      <a:noFill/>
                    </a:ln>
                  </pic:spPr>
                </pic:pic>
              </a:graphicData>
            </a:graphic>
          </wp:inline>
        </w:drawing>
      </w:r>
    </w:p>
    <w:p w14:paraId="364DF7E4" w14:textId="7852BEED" w:rsidR="008E3FE9" w:rsidRDefault="008E3FE9" w:rsidP="008E3FE9">
      <w:pPr>
        <w:pStyle w:val="Beschriftung"/>
      </w:pPr>
      <w:r>
        <w:t>Abb.</w:t>
      </w:r>
      <w:r w:rsidR="00217507">
        <w:t>10</w:t>
      </w:r>
      <w:r>
        <w:t>: Dissoziation der Zitronensäure</w:t>
      </w:r>
    </w:p>
    <w:p w14:paraId="682BC968" w14:textId="77777777" w:rsidR="008E3FE9" w:rsidRPr="009D6CF1" w:rsidRDefault="008E3FE9" w:rsidP="008E3FE9">
      <w:r w:rsidRPr="009D6CF1">
        <w:t>Zitronensäure gibt im wässrigen Medium ein (bzw. bis zu drei) Wasserstoff</w:t>
      </w:r>
      <w:r>
        <w:t>-I</w:t>
      </w:r>
      <w:r w:rsidRPr="009D6CF1">
        <w:t>on(en) ab. Übrig bleibt das Säurerest</w:t>
      </w:r>
      <w:r>
        <w:t>-A</w:t>
      </w:r>
      <w:r w:rsidRPr="009D6CF1">
        <w:t>nion.</w:t>
      </w:r>
    </w:p>
    <w:p w14:paraId="72DA83FA" w14:textId="77777777" w:rsidR="008E3FE9" w:rsidRPr="009D6CF1" w:rsidRDefault="008E3FE9" w:rsidP="008E3FE9">
      <w:r w:rsidRPr="009D6CF1">
        <w:t xml:space="preserve">Arrhenius-Säuren und -Basen lassen sich demnach wie folgt definieren: </w:t>
      </w:r>
    </w:p>
    <w:p w14:paraId="44060EEC" w14:textId="07E5FEF5" w:rsidR="008E3FE9" w:rsidRPr="009D6CF1" w:rsidRDefault="008E3FE9" w:rsidP="008E3FE9">
      <w:pPr>
        <w:pStyle w:val="Grn"/>
        <w:numPr>
          <w:ilvl w:val="2"/>
          <w:numId w:val="8"/>
        </w:numPr>
      </w:pPr>
      <w:r w:rsidRPr="009D6CF1">
        <w:lastRenderedPageBreak/>
        <w:t xml:space="preserve">Säure: Arrhenius-Säuren </w:t>
      </w:r>
      <w:r w:rsidR="00E2527B">
        <w:t xml:space="preserve">sind </w:t>
      </w:r>
      <w:r w:rsidR="00E2527B" w:rsidRPr="00E2527B">
        <w:rPr>
          <w:b/>
          <w:bCs/>
        </w:rPr>
        <w:t>Stoffe</w:t>
      </w:r>
      <w:r w:rsidR="00E2527B">
        <w:t xml:space="preserve">, die </w:t>
      </w:r>
      <w:r w:rsidRPr="009D6CF1">
        <w:t>in wässriger Lösung in</w:t>
      </w:r>
      <w:r>
        <w:t xml:space="preserve"> </w:t>
      </w:r>
      <w:r w:rsidRPr="009D6CF1">
        <w:t>Wasserstoff-Kationen (H</w:t>
      </w:r>
      <w:r w:rsidRPr="009D6CF1">
        <w:rPr>
          <w:vertAlign w:val="superscript"/>
        </w:rPr>
        <w:t>+</w:t>
      </w:r>
      <w:r w:rsidRPr="009D6CF1">
        <w:t>) und Säurerest-Anionen</w:t>
      </w:r>
      <w:r w:rsidR="00E2527B" w:rsidRPr="00E2527B">
        <w:t xml:space="preserve"> </w:t>
      </w:r>
      <w:r w:rsidR="00E2527B" w:rsidRPr="009D6CF1">
        <w:t>dissoziieren</w:t>
      </w:r>
      <w:r w:rsidRPr="009D6CF1">
        <w:t>.</w:t>
      </w:r>
    </w:p>
    <w:p w14:paraId="37774C60" w14:textId="57ED4D47" w:rsidR="008E3FE9" w:rsidRPr="009D6CF1" w:rsidRDefault="008E3FE9" w:rsidP="008E3FE9">
      <w:pPr>
        <w:pStyle w:val="Grn"/>
        <w:numPr>
          <w:ilvl w:val="2"/>
          <w:numId w:val="8"/>
        </w:numPr>
      </w:pPr>
      <w:r w:rsidRPr="009D6CF1">
        <w:t xml:space="preserve">Base: Arrhenius-Basen </w:t>
      </w:r>
      <w:r w:rsidR="00E2527B">
        <w:t xml:space="preserve">sind </w:t>
      </w:r>
      <w:r w:rsidR="00E2527B" w:rsidRPr="00E2527B">
        <w:rPr>
          <w:b/>
          <w:bCs/>
        </w:rPr>
        <w:t>Stoffe</w:t>
      </w:r>
      <w:r w:rsidR="00E2527B">
        <w:t xml:space="preserve">, die </w:t>
      </w:r>
      <w:r w:rsidRPr="009D6CF1">
        <w:t>in wässriger Lösung in Hydroxid-Anionen</w:t>
      </w:r>
      <w:r>
        <w:t xml:space="preserve"> </w:t>
      </w:r>
      <w:r w:rsidRPr="009D6CF1">
        <w:t>(OH</w:t>
      </w:r>
      <w:r w:rsidRPr="009D6CF1">
        <w:rPr>
          <w:vertAlign w:val="superscript"/>
        </w:rPr>
        <w:t>-</w:t>
      </w:r>
      <w:r w:rsidRPr="009D6CF1">
        <w:t>) und Metall-Kationen</w:t>
      </w:r>
      <w:r w:rsidR="00E2527B" w:rsidRPr="00E2527B">
        <w:t xml:space="preserve"> </w:t>
      </w:r>
      <w:r w:rsidR="00E2527B" w:rsidRPr="009D6CF1">
        <w:t>dissoziieren</w:t>
      </w:r>
      <w:r w:rsidRPr="009D6CF1">
        <w:t>.</w:t>
      </w:r>
    </w:p>
    <w:p w14:paraId="76B9D424" w14:textId="77777777" w:rsidR="008E3FE9" w:rsidRDefault="008E3FE9" w:rsidP="008E3FE9">
      <w:r w:rsidRPr="009D6CF1">
        <w:t xml:space="preserve">Beispiele: </w:t>
      </w:r>
    </w:p>
    <w:p w14:paraId="520C5E0A" w14:textId="77777777" w:rsidR="008E3FE9" w:rsidRPr="009D6CF1" w:rsidRDefault="0045092F" w:rsidP="008E3FE9">
      <w:pPr>
        <w:pStyle w:val="Formeln"/>
        <w:rPr>
          <w:rFonts w:eastAsiaTheme="minorEastAsia"/>
        </w:rPr>
      </w:pPr>
      <m:oMathPara>
        <m:oMath>
          <m:sSub>
            <m:sSubPr>
              <m:ctrlPr>
                <w:rPr>
                  <w:rFonts w:ascii="Cambria Math" w:hAnsi="Cambria Math"/>
                </w:rPr>
              </m:ctrlPr>
            </m:sSubPr>
            <m:e>
              <m:r>
                <m:rPr>
                  <m:nor/>
                </m:rPr>
                <m:t>H</m:t>
              </m:r>
            </m:e>
            <m:sub>
              <m:r>
                <m:rPr>
                  <m:nor/>
                </m:rPr>
                <m:t>2</m:t>
              </m:r>
            </m:sub>
          </m:sSub>
          <m:sSub>
            <m:sSubPr>
              <m:ctrlPr>
                <w:rPr>
                  <w:rFonts w:ascii="Cambria Math" w:hAnsi="Cambria Math"/>
                </w:rPr>
              </m:ctrlPr>
            </m:sSubPr>
            <m:e>
              <m:r>
                <m:rPr>
                  <m:nor/>
                </m:rPr>
                <m:t>SO</m:t>
              </m:r>
            </m:e>
            <m:sub>
              <m:r>
                <m:rPr>
                  <m:nor/>
                </m:rPr>
                <m:t>4</m:t>
              </m:r>
            </m:sub>
          </m:sSub>
          <m:r>
            <m:rPr>
              <m:nor/>
            </m:rPr>
            <m:t xml:space="preserve"> </m:t>
          </m:r>
          <m:r>
            <m:rPr>
              <m:nor/>
            </m:rPr>
            <w:rPr>
              <w:rFonts w:ascii="Cambria Math" w:hAnsi="Cambria Math" w:cs="Cambria Math"/>
            </w:rPr>
            <m:t>⇌</m:t>
          </m:r>
          <m:r>
            <m:rPr>
              <m:nor/>
            </m:rPr>
            <m:t xml:space="preserve"> </m:t>
          </m:r>
          <m:sSubSup>
            <m:sSubSupPr>
              <m:ctrlPr>
                <w:rPr>
                  <w:rFonts w:ascii="Cambria Math" w:hAnsi="Cambria Math"/>
                </w:rPr>
              </m:ctrlPr>
            </m:sSubSupPr>
            <m:e>
              <m:r>
                <m:rPr>
                  <m:nor/>
                </m:rPr>
                <m:t>SO</m:t>
              </m:r>
            </m:e>
            <m:sub>
              <m:r>
                <m:rPr>
                  <m:nor/>
                </m:rPr>
                <m:t>2</m:t>
              </m:r>
            </m:sub>
            <m:sup>
              <m:r>
                <m:rPr>
                  <m:nor/>
                </m:rPr>
                <m:t>4-</m:t>
              </m:r>
            </m:sup>
          </m:sSubSup>
          <m:r>
            <m:rPr>
              <m:nor/>
            </m:rPr>
            <w:rPr>
              <w:rFonts w:ascii="Cambria Math"/>
            </w:rPr>
            <m:t xml:space="preserve"> </m:t>
          </m:r>
          <m:r>
            <m:rPr>
              <m:nor/>
            </m:rPr>
            <m:t>+</m:t>
          </m:r>
          <m:r>
            <m:rPr>
              <m:nor/>
            </m:rPr>
            <w:rPr>
              <w:rFonts w:ascii="Cambria Math"/>
            </w:rPr>
            <m:t xml:space="preserve"> </m:t>
          </m:r>
          <m:r>
            <m:rPr>
              <m:nor/>
            </m:rPr>
            <m:t>2</m:t>
          </m:r>
          <m:sSup>
            <m:sSupPr>
              <m:ctrlPr>
                <w:rPr>
                  <w:rFonts w:ascii="Cambria Math" w:hAnsi="Cambria Math"/>
                </w:rPr>
              </m:ctrlPr>
            </m:sSupPr>
            <m:e>
              <m:r>
                <m:rPr>
                  <m:nor/>
                </m:rPr>
                <m:t>H</m:t>
              </m:r>
            </m:e>
            <m:sup>
              <m:r>
                <m:rPr>
                  <m:nor/>
                </m:rPr>
                <m:t>+</m:t>
              </m:r>
            </m:sup>
          </m:sSup>
        </m:oMath>
      </m:oMathPara>
    </w:p>
    <w:p w14:paraId="3F80944D" w14:textId="77777777" w:rsidR="008E3FE9" w:rsidRPr="009D6CF1" w:rsidRDefault="008E3FE9" w:rsidP="008E3FE9">
      <w:pPr>
        <w:pStyle w:val="Formeln"/>
        <w:rPr>
          <w:rFonts w:eastAsiaTheme="minorEastAsia"/>
        </w:rPr>
      </w:pPr>
      <m:oMathPara>
        <m:oMath>
          <m:r>
            <m:rPr>
              <m:nor/>
            </m:rPr>
            <m:t>Ba</m:t>
          </m:r>
          <m:sSub>
            <m:sSubPr>
              <m:ctrlPr>
                <w:rPr>
                  <w:rFonts w:ascii="Cambria Math" w:hAnsi="Cambria Math"/>
                </w:rPr>
              </m:ctrlPr>
            </m:sSubPr>
            <m:e>
              <m:d>
                <m:dPr>
                  <m:ctrlPr>
                    <w:rPr>
                      <w:rFonts w:ascii="Cambria Math" w:hAnsi="Cambria Math"/>
                    </w:rPr>
                  </m:ctrlPr>
                </m:dPr>
                <m:e>
                  <m:r>
                    <m:rPr>
                      <m:nor/>
                    </m:rPr>
                    <m:t>OH</m:t>
                  </m:r>
                </m:e>
              </m:d>
            </m:e>
            <m:sub>
              <m:r>
                <m:rPr>
                  <m:nor/>
                </m:rPr>
                <m:t>2</m:t>
              </m:r>
            </m:sub>
          </m:sSub>
          <m:r>
            <m:rPr>
              <m:nor/>
            </m:rPr>
            <m:t xml:space="preserve"> </m:t>
          </m:r>
          <m:r>
            <m:rPr>
              <m:nor/>
            </m:rPr>
            <w:rPr>
              <w:rFonts w:ascii="Cambria Math" w:hAnsi="Cambria Math" w:cs="Cambria Math"/>
            </w:rPr>
            <m:t>⇌</m:t>
          </m:r>
          <m:r>
            <m:rPr>
              <m:nor/>
            </m:rPr>
            <m:t xml:space="preserve"> </m:t>
          </m:r>
          <m:sSup>
            <m:sSupPr>
              <m:ctrlPr>
                <w:rPr>
                  <w:rFonts w:ascii="Cambria Math" w:hAnsi="Cambria Math"/>
                </w:rPr>
              </m:ctrlPr>
            </m:sSupPr>
            <m:e>
              <m:r>
                <m:rPr>
                  <m:nor/>
                </m:rPr>
                <m:t>Ba</m:t>
              </m:r>
            </m:e>
            <m:sup>
              <m:r>
                <m:rPr>
                  <m:nor/>
                </m:rPr>
                <m:t>2+</m:t>
              </m:r>
            </m:sup>
          </m:sSup>
          <m:r>
            <m:rPr>
              <m:nor/>
            </m:rPr>
            <w:rPr>
              <w:rFonts w:ascii="Cambria Math"/>
            </w:rPr>
            <m:t xml:space="preserve"> </m:t>
          </m:r>
          <m:r>
            <m:rPr>
              <m:nor/>
            </m:rPr>
            <m:t>+</m:t>
          </m:r>
          <m:r>
            <m:rPr>
              <m:nor/>
            </m:rPr>
            <w:rPr>
              <w:rFonts w:ascii="Cambria Math"/>
            </w:rPr>
            <m:t xml:space="preserve"> </m:t>
          </m:r>
          <m:r>
            <m:rPr>
              <m:nor/>
            </m:rPr>
            <m:t>2</m:t>
          </m:r>
          <m:sSup>
            <m:sSupPr>
              <m:ctrlPr>
                <w:rPr>
                  <w:rFonts w:ascii="Cambria Math" w:hAnsi="Cambria Math"/>
                </w:rPr>
              </m:ctrlPr>
            </m:sSupPr>
            <m:e>
              <m:r>
                <m:rPr>
                  <m:nor/>
                </m:rPr>
                <m:t>OH</m:t>
              </m:r>
            </m:e>
            <m:sup>
              <m:r>
                <m:rPr>
                  <m:nor/>
                </m:rPr>
                <m:t>-</m:t>
              </m:r>
            </m:sup>
          </m:sSup>
        </m:oMath>
      </m:oMathPara>
    </w:p>
    <w:p w14:paraId="42C632AD" w14:textId="49AC6DF8" w:rsidR="008E3FE9" w:rsidRDefault="008E3FE9" w:rsidP="008E3FE9">
      <w:pPr>
        <w:pStyle w:val="Beschriftung"/>
      </w:pPr>
      <w:r>
        <w:t>Abb</w:t>
      </w:r>
      <w:r w:rsidR="00217507">
        <w:t>.11</w:t>
      </w:r>
      <w:r>
        <w:t>: Beispiele für die Definition nach Arrhenius</w:t>
      </w:r>
    </w:p>
    <w:p w14:paraId="4892F57B" w14:textId="77777777" w:rsidR="008E3FE9" w:rsidRPr="009D6CF1" w:rsidRDefault="008E3FE9" w:rsidP="008E3FE9">
      <w:r w:rsidRPr="009D6CF1">
        <w:t>Dabei handelte es sich um eine 0,1</w:t>
      </w:r>
      <w:r>
        <w:t> </w:t>
      </w:r>
      <w:r w:rsidRPr="009D6CF1">
        <w:t>molare Salzsäure und eine 0,1</w:t>
      </w:r>
      <w:r>
        <w:t> </w:t>
      </w:r>
      <w:r w:rsidRPr="009D6CF1">
        <w:t>molare Natronlauge. Säure und Base liegen also dissoziiert vor. Mischt man sie, dann ergibt sich folgende Gesamt</w:t>
      </w:r>
      <w:r>
        <w:t>-R</w:t>
      </w:r>
      <w:r w:rsidRPr="009D6CF1">
        <w:t>eaktion:</w:t>
      </w:r>
    </w:p>
    <w:p w14:paraId="48E05955" w14:textId="77777777" w:rsidR="008E3FE9" w:rsidRPr="00E82A8C" w:rsidRDefault="008E3FE9" w:rsidP="008E3FE9">
      <w:pPr>
        <w:pStyle w:val="Formeln"/>
      </w:pPr>
      <m:oMathPara>
        <m:oMath>
          <m:r>
            <m:rPr>
              <m:nor/>
            </m:rPr>
            <m:t xml:space="preserve">HCl </m:t>
          </m:r>
          <m:r>
            <m:rPr>
              <m:nor/>
            </m:rPr>
            <w:rPr>
              <w:rFonts w:ascii="Cambria Math" w:hAnsi="Cambria Math" w:cs="Cambria Math"/>
            </w:rPr>
            <m:t>⟶</m:t>
          </m:r>
          <m:r>
            <m:rPr>
              <m:nor/>
            </m:rPr>
            <m:t xml:space="preserve"> </m:t>
          </m:r>
          <m:sSup>
            <m:sSupPr>
              <m:ctrlPr>
                <w:rPr>
                  <w:rFonts w:ascii="Cambria Math" w:hAnsi="Cambria Math"/>
                </w:rPr>
              </m:ctrlPr>
            </m:sSupPr>
            <m:e>
              <m:r>
                <m:rPr>
                  <m:nor/>
                </m:rPr>
                <m:t>H</m:t>
              </m:r>
            </m:e>
            <m:sup>
              <m:r>
                <m:rPr>
                  <m:nor/>
                </m:rPr>
                <m:t>+</m:t>
              </m:r>
            </m:sup>
          </m:sSup>
          <m:r>
            <m:rPr>
              <m:nor/>
            </m:rPr>
            <m:t xml:space="preserve">+ </m:t>
          </m:r>
          <m:sSup>
            <m:sSupPr>
              <m:ctrlPr>
                <w:rPr>
                  <w:rFonts w:ascii="Cambria Math" w:hAnsi="Cambria Math"/>
                </w:rPr>
              </m:ctrlPr>
            </m:sSupPr>
            <m:e>
              <m:r>
                <m:rPr>
                  <m:nor/>
                </m:rPr>
                <m:t>Cl</m:t>
              </m:r>
            </m:e>
            <m:sup>
              <m:r>
                <m:rPr>
                  <m:nor/>
                </m:rPr>
                <m:t>-</m:t>
              </m:r>
            </m:sup>
          </m:sSup>
        </m:oMath>
      </m:oMathPara>
    </w:p>
    <w:p w14:paraId="61CFF010" w14:textId="77777777" w:rsidR="008E3FE9" w:rsidRPr="00E82A8C" w:rsidRDefault="008E3FE9" w:rsidP="008E3FE9">
      <w:pPr>
        <w:pStyle w:val="Formeln"/>
      </w:pPr>
      <w:proofErr w:type="spellStart"/>
      <m:oMathPara>
        <m:oMath>
          <m:r>
            <m:rPr>
              <m:nor/>
            </m:rPr>
            <m:t>NaOH</m:t>
          </m:r>
          <w:proofErr w:type="spellEnd"/>
          <m:r>
            <m:rPr>
              <m:nor/>
            </m:rPr>
            <m:t xml:space="preserve">  </m:t>
          </m:r>
          <m:r>
            <m:rPr>
              <m:nor/>
            </m:rPr>
            <w:rPr>
              <w:rFonts w:ascii="Cambria Math" w:hAnsi="Cambria Math" w:cs="Cambria Math"/>
            </w:rPr>
            <m:t>⟶</m:t>
          </m:r>
          <m:r>
            <m:rPr>
              <m:nor/>
            </m:rPr>
            <m:t xml:space="preserve"> </m:t>
          </m:r>
          <m:sSup>
            <m:sSupPr>
              <m:ctrlPr>
                <w:rPr>
                  <w:rFonts w:ascii="Cambria Math" w:hAnsi="Cambria Math"/>
                </w:rPr>
              </m:ctrlPr>
            </m:sSupPr>
            <m:e>
              <m:r>
                <m:rPr>
                  <m:nor/>
                </m:rPr>
                <m:t>Na</m:t>
              </m:r>
            </m:e>
            <m:sup>
              <m:r>
                <m:rPr>
                  <m:nor/>
                </m:rPr>
                <m:t>+</m:t>
              </m:r>
            </m:sup>
          </m:sSup>
          <m:r>
            <m:rPr>
              <m:nor/>
            </m:rPr>
            <m:t xml:space="preserve"> + </m:t>
          </m:r>
          <m:sSup>
            <m:sSupPr>
              <m:ctrlPr>
                <w:rPr>
                  <w:rFonts w:ascii="Cambria Math" w:hAnsi="Cambria Math"/>
                </w:rPr>
              </m:ctrlPr>
            </m:sSupPr>
            <m:e>
              <m:r>
                <m:rPr>
                  <m:nor/>
                </m:rPr>
                <m:t>OH</m:t>
              </m:r>
            </m:e>
            <m:sup>
              <m:r>
                <m:rPr>
                  <m:nor/>
                </m:rPr>
                <m:t>-</m:t>
              </m:r>
            </m:sup>
          </m:sSup>
        </m:oMath>
      </m:oMathPara>
    </w:p>
    <w:p w14:paraId="01397C05" w14:textId="77777777" w:rsidR="008E3FE9" w:rsidRPr="00E82A8C" w:rsidRDefault="008E3FE9" w:rsidP="008E3FE9">
      <w:pPr>
        <w:pStyle w:val="Formeln"/>
      </w:pPr>
      <m:oMathPara>
        <m:oMath>
          <m:r>
            <m:rPr>
              <m:nor/>
            </m:rPr>
            <m:t xml:space="preserve">HCl + </m:t>
          </m:r>
          <w:proofErr w:type="spellStart"/>
          <m:r>
            <m:rPr>
              <m:nor/>
            </m:rPr>
            <m:t>NaOH</m:t>
          </m:r>
          <w:proofErr w:type="spellEnd"/>
          <m:r>
            <m:rPr>
              <m:nor/>
            </m:rPr>
            <m:t xml:space="preserve">  </m:t>
          </m:r>
          <m:r>
            <m:rPr>
              <m:nor/>
            </m:rPr>
            <w:rPr>
              <w:rFonts w:ascii="Cambria Math" w:hAnsi="Cambria Math" w:cs="Cambria Math"/>
            </w:rPr>
            <m:t>⟶</m:t>
          </m:r>
          <m:r>
            <m:rPr>
              <m:nor/>
            </m:rPr>
            <m:t xml:space="preserve"> NaCl + </m:t>
          </m:r>
          <m:sSub>
            <m:sSubPr>
              <m:ctrlPr>
                <w:rPr>
                  <w:rFonts w:ascii="Cambria Math" w:hAnsi="Cambria Math"/>
                </w:rPr>
              </m:ctrlPr>
            </m:sSubPr>
            <m:e>
              <m:r>
                <m:rPr>
                  <m:nor/>
                </m:rPr>
                <m:t>H</m:t>
              </m:r>
            </m:e>
            <m:sub>
              <m:r>
                <m:rPr>
                  <m:nor/>
                </m:rPr>
                <m:t>2</m:t>
              </m:r>
            </m:sub>
          </m:sSub>
          <m:r>
            <m:rPr>
              <m:nor/>
            </m:rPr>
            <m:t>O</m:t>
          </m:r>
        </m:oMath>
      </m:oMathPara>
    </w:p>
    <w:p w14:paraId="15577601" w14:textId="77777777" w:rsidR="008E3FE9" w:rsidRPr="00DC0A1D" w:rsidRDefault="008E3FE9" w:rsidP="008E3FE9">
      <w:r w:rsidRPr="00DC0A1D">
        <w:t xml:space="preserve">Die entstandene Lösung reagiert weder basisch noch sauer. Es handelt sich um eine neutrale Lösung, die sich so verhält wie eine Lösung von Kochsalz NaCl in Wasser. </w:t>
      </w:r>
    </w:p>
    <w:p w14:paraId="5756C1F4" w14:textId="77777777" w:rsidR="008E3FE9" w:rsidRPr="00DC0A1D" w:rsidRDefault="008E3FE9" w:rsidP="008E3FE9">
      <w:r w:rsidRPr="00DC0A1D">
        <w:t xml:space="preserve">Die Umsetzung: </w:t>
      </w:r>
    </w:p>
    <w:p w14:paraId="365B9ED2" w14:textId="77777777" w:rsidR="008E3FE9" w:rsidRPr="00DC0A1D" w:rsidRDefault="008E3FE9" w:rsidP="008E3FE9">
      <w:pPr>
        <w:pStyle w:val="Formeln"/>
      </w:pPr>
      <w:r>
        <w:t xml:space="preserve">Säure + Base </w:t>
      </w:r>
      <w:r>
        <w:rPr>
          <w:rFonts w:cs="Arial"/>
        </w:rPr>
        <w:t>→</w:t>
      </w:r>
      <w:r>
        <w:t xml:space="preserve"> Salz + Wasser</w:t>
      </w:r>
    </w:p>
    <w:p w14:paraId="73E8B31B" w14:textId="77777777" w:rsidR="008E3FE9" w:rsidRDefault="008E3FE9" w:rsidP="008E3FE9">
      <w:pPr>
        <w:rPr>
          <w:rFonts w:cs="Arial"/>
        </w:rPr>
      </w:pPr>
      <w:r>
        <w:rPr>
          <w:rFonts w:cs="Arial"/>
        </w:rPr>
        <w:t>Die eigentliche chemische Reaktion jeder Neutralisation ist dabei die Vereinigung von Protonen und Hydroxid-Ionen zu Wasser-Molekülen:</w:t>
      </w:r>
    </w:p>
    <w:p w14:paraId="412C0453" w14:textId="77777777" w:rsidR="008E3FE9" w:rsidRPr="00DC0A1D" w:rsidRDefault="0045092F" w:rsidP="008E3FE9">
      <w:pPr>
        <w:pStyle w:val="Formeln"/>
        <w:rPr>
          <w:rFonts w:eastAsiaTheme="minorEastAsia"/>
        </w:rPr>
      </w:pPr>
      <m:oMathPara>
        <m:oMath>
          <m:sSup>
            <m:sSupPr>
              <m:ctrlPr>
                <w:rPr>
                  <w:rFonts w:ascii="Cambria Math" w:hAnsi="Cambria Math"/>
                </w:rPr>
              </m:ctrlPr>
            </m:sSupPr>
            <m:e>
              <m:r>
                <m:rPr>
                  <m:nor/>
                </m:rPr>
                <m:t>H</m:t>
              </m:r>
            </m:e>
            <m:sup>
              <m:r>
                <m:rPr>
                  <m:nor/>
                </m:rPr>
                <m:t>+</m:t>
              </m:r>
            </m:sup>
          </m:sSup>
          <m:r>
            <m:rPr>
              <m:nor/>
            </m:rPr>
            <w:rPr>
              <w:rFonts w:ascii="Cambria Math"/>
            </w:rPr>
            <m:t xml:space="preserve"> </m:t>
          </m:r>
          <m:r>
            <m:rPr>
              <m:nor/>
            </m:rPr>
            <m:t>+</m:t>
          </m:r>
          <m:r>
            <m:rPr>
              <m:nor/>
            </m:rPr>
            <w:rPr>
              <w:rFonts w:ascii="Cambria Math"/>
            </w:rPr>
            <m:t xml:space="preserve"> </m:t>
          </m:r>
          <m:sSup>
            <m:sSupPr>
              <m:ctrlPr>
                <w:rPr>
                  <w:rFonts w:ascii="Cambria Math" w:hAnsi="Cambria Math"/>
                </w:rPr>
              </m:ctrlPr>
            </m:sSupPr>
            <m:e>
              <m:r>
                <m:rPr>
                  <m:nor/>
                </m:rPr>
                <m:t>OH</m:t>
              </m:r>
            </m:e>
            <m:sup>
              <m:r>
                <m:rPr>
                  <m:nor/>
                </m:rPr>
                <m:t>-</m:t>
              </m:r>
            </m:sup>
          </m:sSup>
          <m:r>
            <m:rPr>
              <m:nor/>
            </m:rPr>
            <m:t xml:space="preserve"> </m:t>
          </m:r>
          <m:r>
            <m:rPr>
              <m:nor/>
            </m:rPr>
            <w:rPr>
              <w:rFonts w:ascii="Cambria Math" w:hAnsi="Cambria Math" w:cs="Cambria Math"/>
            </w:rPr>
            <m:t>⟶</m:t>
          </m:r>
          <m:r>
            <m:rPr>
              <m:nor/>
            </m:rPr>
            <m:t xml:space="preserve"> </m:t>
          </m:r>
          <m:sSub>
            <m:sSubPr>
              <m:ctrlPr>
                <w:rPr>
                  <w:rFonts w:ascii="Cambria Math" w:hAnsi="Cambria Math"/>
                </w:rPr>
              </m:ctrlPr>
            </m:sSubPr>
            <m:e>
              <m:r>
                <m:rPr>
                  <m:nor/>
                </m:rPr>
                <m:t>H</m:t>
              </m:r>
            </m:e>
            <m:sub>
              <m:r>
                <m:rPr>
                  <m:nor/>
                </m:rPr>
                <m:t>2</m:t>
              </m:r>
            </m:sub>
          </m:sSub>
          <m:r>
            <m:rPr>
              <m:nor/>
            </m:rPr>
            <m:t>O</m:t>
          </m:r>
        </m:oMath>
      </m:oMathPara>
    </w:p>
    <w:p w14:paraId="50AEC52F" w14:textId="7055FCC8" w:rsidR="008E3FE9" w:rsidRPr="00DC0A1D" w:rsidRDefault="008E3FE9" w:rsidP="008E3FE9">
      <w:r w:rsidRPr="00DC0A1D">
        <w:t xml:space="preserve">Diese erste allgemeingültige Säure-Base-Theorie von Arrhenius wurde </w:t>
      </w:r>
      <w:r w:rsidR="000747CD">
        <w:t xml:space="preserve">bereits 40 Jahre vor </w:t>
      </w:r>
      <w:proofErr w:type="spellStart"/>
      <w:r w:rsidR="000747CD" w:rsidRPr="009D5917">
        <w:t>Brønsted</w:t>
      </w:r>
      <w:r w:rsidR="000747CD">
        <w:t>s</w:t>
      </w:r>
      <w:proofErr w:type="spellEnd"/>
      <w:r w:rsidR="000747CD">
        <w:t xml:space="preserve"> Theorie</w:t>
      </w:r>
      <w:r w:rsidRPr="00DC0A1D">
        <w:t xml:space="preserve"> bekannt. Für die damalige Zeit ergab sich dadurch eine neue Sichtweise in Bezug auf Säuren und Basen. Denn Arrhenius erkannte, dass die sauren Eigenschaften einer Lösung durch die Wasserstoff</w:t>
      </w:r>
      <w:r>
        <w:t>-I</w:t>
      </w:r>
      <w:r w:rsidRPr="00DC0A1D">
        <w:t>onen (H</w:t>
      </w:r>
      <w:r w:rsidRPr="00DC0A1D">
        <w:rPr>
          <w:vertAlign w:val="superscript"/>
        </w:rPr>
        <w:t>+</w:t>
      </w:r>
      <w:r w:rsidRPr="00DC0A1D">
        <w:t>) und die basischen Eigenschaften durch Hydroxid</w:t>
      </w:r>
      <w:r>
        <w:t>-I</w:t>
      </w:r>
      <w:r w:rsidRPr="00DC0A1D">
        <w:t>onen (OH</w:t>
      </w:r>
      <w:r w:rsidRPr="00DC0A1D">
        <w:rPr>
          <w:vertAlign w:val="superscript"/>
        </w:rPr>
        <w:t>-</w:t>
      </w:r>
      <w:r w:rsidRPr="00DC0A1D">
        <w:t>) zustande kommen. Durch die Entdeckung der Dissoziation konnte auch die Stärke einer Säure bestimmt werden, denn je höher der Grad der Dissoziation einer Säure, desto stärker ist die Säure. Weiterhin wurde die Wechselwirkung zwischen den Antagonisten Säure und Base auf der Grundlage der Reaktion von Hydroxid</w:t>
      </w:r>
      <w:r>
        <w:t>-I</w:t>
      </w:r>
      <w:r w:rsidRPr="00DC0A1D">
        <w:t>onen und Wasserstoff</w:t>
      </w:r>
      <w:r>
        <w:t>-I</w:t>
      </w:r>
      <w:r w:rsidRPr="00DC0A1D">
        <w:t>onen verständlich (Vorgang der Neutralisation). Der entscheidende neue Aspekt war, dass die Definition von Säure und Base in den submikroskopischen Bereich der Modell</w:t>
      </w:r>
      <w:r>
        <w:t>-V</w:t>
      </w:r>
      <w:r w:rsidRPr="00DC0A1D">
        <w:t xml:space="preserve">orstellungen verlegt wird. </w:t>
      </w:r>
    </w:p>
    <w:p w14:paraId="70C3EAC0" w14:textId="2DCF7E31" w:rsidR="008E3FE9" w:rsidRPr="008E3FE9" w:rsidRDefault="008E3FE9" w:rsidP="008E3FE9">
      <w:r w:rsidRPr="00DC0A1D">
        <w:t>Allerdings weist das Konzept auch deutliche Mängel auf. Zum einen ist es nur auf Säuren und Basen in wässriger Lösung anwendbar. Zum anderen müssen Säuren Wasserstoff</w:t>
      </w:r>
      <w:r>
        <w:t>-I</w:t>
      </w:r>
      <w:r w:rsidRPr="00DC0A1D">
        <w:t xml:space="preserve">onen enthalten und Basen müssen Hydroxy-Verbindungen sein. </w:t>
      </w:r>
    </w:p>
    <w:p w14:paraId="1C7D2100" w14:textId="0343C3FC" w:rsidR="00E2527B" w:rsidRDefault="00E2527B" w:rsidP="00E2527B">
      <w:r>
        <w:br w:type="page"/>
      </w:r>
    </w:p>
    <w:p w14:paraId="3DBA3045" w14:textId="45BA7090" w:rsidR="00286E43" w:rsidRDefault="00286E43" w:rsidP="00286E43">
      <w:pPr>
        <w:pStyle w:val="berschrift1"/>
      </w:pPr>
      <w:bookmarkStart w:id="6" w:name="_Toc77020299"/>
      <w:r>
        <w:lastRenderedPageBreak/>
        <w:t>Vergleich der beiden Konzepte</w:t>
      </w:r>
      <w:bookmarkEnd w:id="6"/>
    </w:p>
    <w:tbl>
      <w:tblPr>
        <w:tblStyle w:val="Tabellenraster"/>
        <w:tblW w:w="3942" w:type="pct"/>
        <w:jc w:val="center"/>
        <w:tblLook w:val="04A0" w:firstRow="1" w:lastRow="0" w:firstColumn="1" w:lastColumn="0" w:noHBand="0" w:noVBand="1"/>
      </w:tblPr>
      <w:tblGrid>
        <w:gridCol w:w="1240"/>
        <w:gridCol w:w="3296"/>
        <w:gridCol w:w="2835"/>
      </w:tblGrid>
      <w:tr w:rsidR="009E56E2" w:rsidRPr="00286E43" w14:paraId="373E236A" w14:textId="77777777" w:rsidTr="009E56E2">
        <w:trPr>
          <w:jc w:val="center"/>
        </w:trPr>
        <w:tc>
          <w:tcPr>
            <w:tcW w:w="0" w:type="auto"/>
            <w:tcBorders>
              <w:top w:val="nil"/>
              <w:left w:val="nil"/>
              <w:bottom w:val="single" w:sz="4" w:space="0" w:color="auto"/>
              <w:right w:val="single" w:sz="4" w:space="0" w:color="auto"/>
            </w:tcBorders>
            <w:hideMark/>
          </w:tcPr>
          <w:p w14:paraId="2ADAADF2" w14:textId="77777777" w:rsidR="009E56E2" w:rsidRPr="00286E43" w:rsidRDefault="009E56E2" w:rsidP="009E56E2">
            <w:pPr>
              <w:jc w:val="center"/>
              <w:rPr>
                <w:rStyle w:val="Fett"/>
              </w:rPr>
            </w:pPr>
          </w:p>
        </w:tc>
        <w:tc>
          <w:tcPr>
            <w:tcW w:w="2236" w:type="pct"/>
            <w:tcBorders>
              <w:left w:val="single" w:sz="4" w:space="0" w:color="auto"/>
              <w:right w:val="single" w:sz="4" w:space="0" w:color="auto"/>
            </w:tcBorders>
            <w:shd w:val="clear" w:color="auto" w:fill="C7C7C7" w:themeFill="background2" w:themeFillShade="E6"/>
          </w:tcPr>
          <w:p w14:paraId="5E3B5C2E" w14:textId="44F7824D" w:rsidR="009E56E2" w:rsidRPr="00286E43" w:rsidRDefault="009E56E2" w:rsidP="009E56E2">
            <w:pPr>
              <w:spacing w:before="0"/>
              <w:jc w:val="center"/>
              <w:rPr>
                <w:rStyle w:val="Fett"/>
              </w:rPr>
            </w:pPr>
            <w:proofErr w:type="spellStart"/>
            <w:r w:rsidRPr="000747CD">
              <w:rPr>
                <w:b/>
                <w:bCs/>
              </w:rPr>
              <w:t>Brønsted</w:t>
            </w:r>
            <w:proofErr w:type="spellEnd"/>
          </w:p>
        </w:tc>
        <w:tc>
          <w:tcPr>
            <w:tcW w:w="1923" w:type="pct"/>
            <w:tcBorders>
              <w:left w:val="single" w:sz="4" w:space="0" w:color="auto"/>
            </w:tcBorders>
            <w:shd w:val="clear" w:color="auto" w:fill="C7C7C7" w:themeFill="background2" w:themeFillShade="E6"/>
            <w:hideMark/>
          </w:tcPr>
          <w:p w14:paraId="224FDF74" w14:textId="7EB23FAD" w:rsidR="009E56E2" w:rsidRPr="00286E43" w:rsidRDefault="009E56E2" w:rsidP="009E56E2">
            <w:pPr>
              <w:spacing w:before="0"/>
              <w:jc w:val="center"/>
              <w:rPr>
                <w:rStyle w:val="Fett"/>
              </w:rPr>
            </w:pPr>
            <w:r w:rsidRPr="00286E43">
              <w:rPr>
                <w:rStyle w:val="Fett"/>
              </w:rPr>
              <w:t>Arrhenius</w:t>
            </w:r>
          </w:p>
        </w:tc>
      </w:tr>
      <w:tr w:rsidR="009E56E2" w:rsidRPr="00286E43" w14:paraId="7CC72176" w14:textId="77777777" w:rsidTr="009E56E2">
        <w:trPr>
          <w:jc w:val="center"/>
        </w:trPr>
        <w:tc>
          <w:tcPr>
            <w:tcW w:w="0" w:type="auto"/>
            <w:tcBorders>
              <w:top w:val="single" w:sz="4" w:space="0" w:color="auto"/>
            </w:tcBorders>
            <w:shd w:val="clear" w:color="auto" w:fill="C7C7C7" w:themeFill="background2" w:themeFillShade="E6"/>
            <w:hideMark/>
          </w:tcPr>
          <w:p w14:paraId="65E16675" w14:textId="77777777" w:rsidR="009E56E2" w:rsidRPr="00286E43" w:rsidRDefault="009E56E2" w:rsidP="009E56E2">
            <w:pPr>
              <w:spacing w:before="0"/>
              <w:rPr>
                <w:rStyle w:val="Fett"/>
              </w:rPr>
            </w:pPr>
            <w:r w:rsidRPr="00286E43">
              <w:rPr>
                <w:rStyle w:val="Fett"/>
              </w:rPr>
              <w:t>Rolle des Wassers</w:t>
            </w:r>
          </w:p>
        </w:tc>
        <w:tc>
          <w:tcPr>
            <w:tcW w:w="2236" w:type="pct"/>
          </w:tcPr>
          <w:p w14:paraId="5747C402" w14:textId="664E8C80" w:rsidR="009E56E2" w:rsidRPr="00286E43" w:rsidRDefault="009E56E2" w:rsidP="009E56E2">
            <w:pPr>
              <w:spacing w:before="0"/>
              <w:jc w:val="left"/>
            </w:pPr>
            <w:r w:rsidRPr="00286E43">
              <w:t>fungiert als Säure und Base</w:t>
            </w:r>
          </w:p>
        </w:tc>
        <w:tc>
          <w:tcPr>
            <w:tcW w:w="1923" w:type="pct"/>
            <w:hideMark/>
          </w:tcPr>
          <w:p w14:paraId="13248540" w14:textId="5164853A" w:rsidR="009E56E2" w:rsidRPr="00286E43" w:rsidRDefault="009E56E2" w:rsidP="009E56E2">
            <w:pPr>
              <w:spacing w:before="0"/>
              <w:jc w:val="left"/>
            </w:pPr>
            <w:r w:rsidRPr="00286E43">
              <w:t xml:space="preserve">fungiert als </w:t>
            </w:r>
            <w:r>
              <w:t>Löse</w:t>
            </w:r>
            <w:r w:rsidRPr="00286E43">
              <w:t>mittel</w:t>
            </w:r>
          </w:p>
        </w:tc>
      </w:tr>
      <w:tr w:rsidR="009E56E2" w:rsidRPr="00286E43" w14:paraId="354835B2" w14:textId="77777777" w:rsidTr="009E56E2">
        <w:trPr>
          <w:jc w:val="center"/>
        </w:trPr>
        <w:tc>
          <w:tcPr>
            <w:tcW w:w="0" w:type="auto"/>
            <w:shd w:val="clear" w:color="auto" w:fill="C7C7C7" w:themeFill="background2" w:themeFillShade="E6"/>
            <w:hideMark/>
          </w:tcPr>
          <w:p w14:paraId="7E5B95E3" w14:textId="77777777" w:rsidR="009E56E2" w:rsidRPr="00286E43" w:rsidRDefault="009E56E2" w:rsidP="009E56E2">
            <w:pPr>
              <w:spacing w:before="0"/>
              <w:rPr>
                <w:rStyle w:val="Fett"/>
              </w:rPr>
            </w:pPr>
            <w:r w:rsidRPr="00286E43">
              <w:rPr>
                <w:rStyle w:val="Fett"/>
              </w:rPr>
              <w:t>Basen-definition</w:t>
            </w:r>
          </w:p>
        </w:tc>
        <w:tc>
          <w:tcPr>
            <w:tcW w:w="2236" w:type="pct"/>
          </w:tcPr>
          <w:p w14:paraId="23CDA500" w14:textId="6E71041B" w:rsidR="009E56E2" w:rsidRPr="00286E43" w:rsidRDefault="009E56E2" w:rsidP="009E56E2">
            <w:pPr>
              <w:spacing w:before="0"/>
              <w:jc w:val="left"/>
            </w:pPr>
            <w:r w:rsidRPr="00286E43">
              <w:t>komplementär zur Säure</w:t>
            </w:r>
            <w:r>
              <w:t>-D</w:t>
            </w:r>
            <w:r w:rsidRPr="00286E43">
              <w:t>efinition formuliert</w:t>
            </w:r>
          </w:p>
        </w:tc>
        <w:tc>
          <w:tcPr>
            <w:tcW w:w="1923" w:type="pct"/>
            <w:hideMark/>
          </w:tcPr>
          <w:p w14:paraId="1A922692" w14:textId="7ECFDD7A" w:rsidR="009E56E2" w:rsidRPr="00286E43" w:rsidRDefault="009E56E2" w:rsidP="009E56E2">
            <w:pPr>
              <w:spacing w:before="0"/>
              <w:jc w:val="left"/>
            </w:pPr>
            <w:r w:rsidRPr="00286E43">
              <w:t>analog zur Säure</w:t>
            </w:r>
            <w:r>
              <w:t>-D</w:t>
            </w:r>
            <w:r w:rsidRPr="00286E43">
              <w:t>efinition formuliert</w:t>
            </w:r>
          </w:p>
        </w:tc>
      </w:tr>
      <w:tr w:rsidR="009E56E2" w:rsidRPr="006E2CFC" w14:paraId="1C481CDB" w14:textId="77777777" w:rsidTr="009E56E2">
        <w:trPr>
          <w:jc w:val="center"/>
        </w:trPr>
        <w:tc>
          <w:tcPr>
            <w:tcW w:w="0" w:type="auto"/>
            <w:shd w:val="clear" w:color="auto" w:fill="C7C7C7" w:themeFill="background2" w:themeFillShade="E6"/>
            <w:hideMark/>
          </w:tcPr>
          <w:p w14:paraId="2E40BC6A" w14:textId="77777777" w:rsidR="009E56E2" w:rsidRPr="006E2CFC" w:rsidRDefault="009E56E2" w:rsidP="009E56E2">
            <w:pPr>
              <w:spacing w:before="0"/>
              <w:rPr>
                <w:rStyle w:val="Fett"/>
              </w:rPr>
            </w:pPr>
            <w:r w:rsidRPr="006E2CFC">
              <w:rPr>
                <w:rStyle w:val="Fett"/>
              </w:rPr>
              <w:t>Eingrenzung der Stoffklassen</w:t>
            </w:r>
          </w:p>
        </w:tc>
        <w:tc>
          <w:tcPr>
            <w:tcW w:w="2236" w:type="pct"/>
          </w:tcPr>
          <w:p w14:paraId="00B77873" w14:textId="6A515C98" w:rsidR="009E56E2" w:rsidRPr="006E2CFC" w:rsidRDefault="009E56E2" w:rsidP="009E56E2">
            <w:pPr>
              <w:spacing w:before="0"/>
              <w:jc w:val="left"/>
            </w:pPr>
            <w:r w:rsidRPr="006E2CFC">
              <w:t>Konzept nur auf Wasserstoff</w:t>
            </w:r>
            <w:r w:rsidR="00E2527B">
              <w:t xml:space="preserve"> enthaltende </w:t>
            </w:r>
            <w:r w:rsidR="00E2527B" w:rsidRPr="00E2527B">
              <w:rPr>
                <w:b/>
                <w:bCs/>
              </w:rPr>
              <w:t>Teilchen</w:t>
            </w:r>
            <w:r w:rsidRPr="006E2CFC">
              <w:t xml:space="preserve"> anwendbar (Eingrenzung der Säuren) </w:t>
            </w:r>
          </w:p>
          <w:p w14:paraId="199471FA" w14:textId="77777777" w:rsidR="009E56E2" w:rsidRPr="006E2CFC" w:rsidRDefault="009E56E2" w:rsidP="009E56E2">
            <w:pPr>
              <w:spacing w:before="0"/>
              <w:jc w:val="left"/>
            </w:pPr>
            <w:r w:rsidRPr="006E2CFC">
              <w:t>Aber: Auch Stoffe, die keine Hydroxid-Ionen enthalten, werden als Basen gesehen (keine Eingrenzung der Basen)</w:t>
            </w:r>
          </w:p>
          <w:p w14:paraId="6EE53F03" w14:textId="77777777" w:rsidR="009E56E2" w:rsidRPr="006E2CFC" w:rsidRDefault="009E56E2" w:rsidP="009E56E2">
            <w:pPr>
              <w:spacing w:before="0"/>
              <w:jc w:val="left"/>
            </w:pPr>
            <w:r w:rsidRPr="006E2CFC">
              <w:t>Kationen und Anionen können Säure oder Base sein, z. B. HSO</w:t>
            </w:r>
            <w:r w:rsidRPr="006E2CFC">
              <w:rPr>
                <w:vertAlign w:val="subscript"/>
              </w:rPr>
              <w:t>4</w:t>
            </w:r>
            <w:r w:rsidRPr="006E2CFC">
              <w:rPr>
                <w:vertAlign w:val="superscript"/>
              </w:rPr>
              <w:t>-</w:t>
            </w:r>
            <w:r w:rsidRPr="006E2CFC">
              <w:t>, NH</w:t>
            </w:r>
            <w:r w:rsidRPr="006E2CFC">
              <w:rPr>
                <w:vertAlign w:val="subscript"/>
              </w:rPr>
              <w:t>4</w:t>
            </w:r>
            <w:r w:rsidRPr="006E2CFC">
              <w:rPr>
                <w:vertAlign w:val="superscript"/>
              </w:rPr>
              <w:t>+</w:t>
            </w:r>
          </w:p>
          <w:p w14:paraId="60F96FEA" w14:textId="544E4D25" w:rsidR="009E56E2" w:rsidRPr="006E2CFC" w:rsidRDefault="00E2527B" w:rsidP="009E56E2">
            <w:pPr>
              <w:spacing w:before="0"/>
              <w:jc w:val="left"/>
            </w:pPr>
            <w:r>
              <w:t>Ein Teilchen</w:t>
            </w:r>
            <w:r w:rsidR="009E56E2" w:rsidRPr="006E2CFC">
              <w:t xml:space="preserve"> kann sowohl Säure</w:t>
            </w:r>
            <w:r>
              <w:t>-</w:t>
            </w:r>
            <w:r w:rsidR="009E56E2" w:rsidRPr="006E2CFC">
              <w:t xml:space="preserve"> als auch Base</w:t>
            </w:r>
            <w:r>
              <w:t>neigenschaften besitzen</w:t>
            </w:r>
            <w:r w:rsidR="009E56E2" w:rsidRPr="006E2CFC">
              <w:t xml:space="preserve"> (Ampholyte), z. B. H</w:t>
            </w:r>
            <w:r w:rsidR="009E56E2" w:rsidRPr="006E2CFC">
              <w:rPr>
                <w:vertAlign w:val="subscript"/>
              </w:rPr>
              <w:t>2</w:t>
            </w:r>
            <w:r w:rsidR="009E56E2" w:rsidRPr="006E2CFC">
              <w:t>O, NH</w:t>
            </w:r>
            <w:r w:rsidR="009E56E2" w:rsidRPr="006E2CFC">
              <w:rPr>
                <w:vertAlign w:val="subscript"/>
              </w:rPr>
              <w:t>3</w:t>
            </w:r>
          </w:p>
        </w:tc>
        <w:tc>
          <w:tcPr>
            <w:tcW w:w="1923" w:type="pct"/>
            <w:hideMark/>
          </w:tcPr>
          <w:p w14:paraId="048904AE" w14:textId="01A314DA" w:rsidR="009E56E2" w:rsidRPr="006E2CFC" w:rsidRDefault="009E56E2" w:rsidP="009E56E2">
            <w:pPr>
              <w:spacing w:before="0"/>
              <w:jc w:val="left"/>
            </w:pPr>
            <w:r w:rsidRPr="006E2CFC">
              <w:t>fixierte Stoffklassen: Basen müssen Metallhydroxide, Säuren müssen Wasserstoff-</w:t>
            </w:r>
            <w:r w:rsidRPr="00E2527B">
              <w:rPr>
                <w:b/>
                <w:bCs/>
              </w:rPr>
              <w:t>Verbindungen</w:t>
            </w:r>
            <w:r w:rsidRPr="006E2CFC">
              <w:t xml:space="preserve"> sein</w:t>
            </w:r>
          </w:p>
        </w:tc>
      </w:tr>
    </w:tbl>
    <w:p w14:paraId="0723D11B" w14:textId="01E42214" w:rsidR="009E56E2" w:rsidRDefault="00013D52" w:rsidP="009E56E2">
      <w:pPr>
        <w:pStyle w:val="Zusammenfassung"/>
        <w:numPr>
          <w:ilvl w:val="0"/>
          <w:numId w:val="0"/>
        </w:numPr>
      </w:pPr>
      <w:r w:rsidRPr="00013D52">
        <w:rPr>
          <w:rFonts w:eastAsiaTheme="minorEastAsia"/>
          <w:b/>
          <w:bCs/>
          <w:szCs w:val="24"/>
        </w:rPr>
        <w:t>Zusammenfassung:</w:t>
      </w:r>
      <w:r>
        <w:rPr>
          <w:rFonts w:eastAsiaTheme="minorEastAsia"/>
          <w:b/>
          <w:bCs/>
          <w:szCs w:val="24"/>
        </w:rPr>
        <w:t xml:space="preserve"> </w:t>
      </w:r>
      <w:r>
        <w:t xml:space="preserve">Beide Säure/Base Konzepte beruhen auf einer Protonenübertragungsreaktion in Wasser. Allerdings lässt sich das Konzept nach </w:t>
      </w:r>
      <w:proofErr w:type="spellStart"/>
      <w:r w:rsidRPr="009E56E2">
        <w:rPr>
          <w:b/>
          <w:bCs/>
        </w:rPr>
        <w:t>Br</w:t>
      </w:r>
      <w:r w:rsidRPr="009E56E2">
        <w:rPr>
          <w:rFonts w:cs="Arial"/>
          <w:b/>
          <w:bCs/>
        </w:rPr>
        <w:t>ø</w:t>
      </w:r>
      <w:r w:rsidRPr="009E56E2">
        <w:rPr>
          <w:b/>
          <w:bCs/>
        </w:rPr>
        <w:t>nsted</w:t>
      </w:r>
      <w:proofErr w:type="spellEnd"/>
      <w:r>
        <w:t xml:space="preserve"> auch auf Protonenübertragungsreaktionen anwenden, welche ohne die Anwesenheit von Wasser auskommen. Es handelt sich deshalb um eine Erweiterung des Konzeptes nach Arrhenius. Bei Säuren und Basen handelt es sich bei </w:t>
      </w:r>
      <w:proofErr w:type="spellStart"/>
      <w:r>
        <w:t>Br</w:t>
      </w:r>
      <w:r>
        <w:rPr>
          <w:rFonts w:cs="Arial"/>
        </w:rPr>
        <w:t>ø</w:t>
      </w:r>
      <w:r>
        <w:t>nsted</w:t>
      </w:r>
      <w:proofErr w:type="spellEnd"/>
      <w:r>
        <w:t xml:space="preserve"> nicht mehr um fixierte Stoffklassen, sondern bestimmte Teilchen, welche spezielle Eigenschaften bei einer Reaktion mit </w:t>
      </w:r>
      <w:r w:rsidR="000747CD">
        <w:t>Wasserstoff</w:t>
      </w:r>
      <w:r>
        <w:t>-Ionen zeigen. Aus diesem Grund ist z.B. Ammoniak nach der Definition von Arrhenius keine Base,</w:t>
      </w:r>
      <w:r w:rsidR="000747CD">
        <w:t xml:space="preserve"> </w:t>
      </w:r>
      <w:r>
        <w:t xml:space="preserve">laut </w:t>
      </w:r>
      <w:proofErr w:type="spellStart"/>
      <w:r>
        <w:t>Br</w:t>
      </w:r>
      <w:r>
        <w:rPr>
          <w:rFonts w:cs="Arial"/>
        </w:rPr>
        <w:t>ø</w:t>
      </w:r>
      <w:r>
        <w:t>nsted</w:t>
      </w:r>
      <w:proofErr w:type="spellEnd"/>
      <w:r>
        <w:t xml:space="preserve"> </w:t>
      </w:r>
      <w:r w:rsidR="000747CD">
        <w:t xml:space="preserve">allerdings </w:t>
      </w:r>
      <w:r>
        <w:t xml:space="preserve">schon, was mit Hilfe </w:t>
      </w:r>
      <w:proofErr w:type="gramStart"/>
      <w:r>
        <w:t>des Salmiakrauch</w:t>
      </w:r>
      <w:r w:rsidR="000747CD">
        <w:t>e</w:t>
      </w:r>
      <w:r>
        <w:t>xperiment</w:t>
      </w:r>
      <w:proofErr w:type="gramEnd"/>
      <w:r>
        <w:t xml:space="preserve"> gezeigt werden kann.</w:t>
      </w:r>
      <w:r w:rsidR="009E56E2">
        <w:t xml:space="preserve"> </w:t>
      </w:r>
      <w:r w:rsidR="009E56E2" w:rsidRPr="00286E43">
        <w:t xml:space="preserve">Säuren und Basen sind hier nicht durch einen schlichten Aufspaltungsvorgang gekennzeichnet, sondern durch das Reaktionsverhalten der Moleküle. Er hat deshalb Säuren und Basen komplementär formuliert: </w:t>
      </w:r>
      <w:proofErr w:type="spellStart"/>
      <w:r w:rsidR="009E56E2" w:rsidRPr="00286E43">
        <w:rPr>
          <w:rStyle w:val="Fett"/>
        </w:rPr>
        <w:t>Brønsted</w:t>
      </w:r>
      <w:proofErr w:type="spellEnd"/>
      <w:r w:rsidR="009E56E2" w:rsidRPr="00286E43">
        <w:rPr>
          <w:rStyle w:val="Fett"/>
        </w:rPr>
        <w:t>-Säuren</w:t>
      </w:r>
      <w:r w:rsidR="009E56E2" w:rsidRPr="00286E43">
        <w:t xml:space="preserve"> sind Stoffe, die Protonen (H</w:t>
      </w:r>
      <w:r w:rsidR="009E56E2" w:rsidRPr="00286E43">
        <w:rPr>
          <w:vertAlign w:val="superscript"/>
        </w:rPr>
        <w:t>+</w:t>
      </w:r>
      <w:r w:rsidR="009E56E2" w:rsidRPr="00286E43">
        <w:t>- Ionen) abspalten können (</w:t>
      </w:r>
      <w:r w:rsidR="009E56E2" w:rsidRPr="00286E43">
        <w:rPr>
          <w:rStyle w:val="Fett"/>
        </w:rPr>
        <w:t>Protonen-Donatoren</w:t>
      </w:r>
      <w:r w:rsidR="009E56E2" w:rsidRPr="00286E43">
        <w:t xml:space="preserve">). </w:t>
      </w:r>
      <w:proofErr w:type="spellStart"/>
      <w:r w:rsidR="009E56E2" w:rsidRPr="00286E43">
        <w:rPr>
          <w:rStyle w:val="Fett"/>
        </w:rPr>
        <w:t>Brønsted</w:t>
      </w:r>
      <w:proofErr w:type="spellEnd"/>
      <w:r w:rsidR="009E56E2" w:rsidRPr="00286E43">
        <w:rPr>
          <w:rStyle w:val="Fett"/>
        </w:rPr>
        <w:t>-Basen</w:t>
      </w:r>
      <w:r w:rsidR="009E56E2" w:rsidRPr="00286E43">
        <w:t xml:space="preserve"> sind Stoffe, die Protonen (H</w:t>
      </w:r>
      <w:r w:rsidR="009E56E2" w:rsidRPr="00286E43">
        <w:rPr>
          <w:vertAlign w:val="superscript"/>
        </w:rPr>
        <w:t>+</w:t>
      </w:r>
      <w:r w:rsidR="009E56E2" w:rsidRPr="00286E43">
        <w:t>- Ionen) aufnehmen können (</w:t>
      </w:r>
      <w:r w:rsidR="009E56E2" w:rsidRPr="00286E43">
        <w:rPr>
          <w:rStyle w:val="Fett"/>
        </w:rPr>
        <w:t>Protonen-Akzeptoren</w:t>
      </w:r>
      <w:r w:rsidR="009E56E2" w:rsidRPr="00286E43">
        <w:t>). Es müssen immer zwei konjugierte Säure-Base-Paare an der Reaktion beteiligt sein. Eine Säure lässt sich demnach nicht ohne Base und eine Base nicht ohne Säure definieren. Ein Mangel des Konzepts besteht darin, dass es nur auf wasserstoffhaltige Verbindungen anwendbar ist und somit die Stoffklasse der Säuren eingegrenzt ist.</w:t>
      </w:r>
    </w:p>
    <w:p w14:paraId="613C3E8B" w14:textId="138B7AE7" w:rsidR="009E56E2" w:rsidRPr="006E2CFC" w:rsidRDefault="009E56E2" w:rsidP="00E2527B">
      <w:pPr>
        <w:pStyle w:val="Zusammenfassung"/>
      </w:pPr>
      <w:r w:rsidRPr="00286E43">
        <w:rPr>
          <w:rStyle w:val="Fett"/>
        </w:rPr>
        <w:t>Arrhenius</w:t>
      </w:r>
      <w:r w:rsidRPr="00286E43">
        <w:t xml:space="preserve"> hat den Begriff der Dissoziation eingeführt und erkannt, dass die sauren Eigenschaften einer Lösung durch H</w:t>
      </w:r>
      <w:r w:rsidRPr="00286E43">
        <w:rPr>
          <w:vertAlign w:val="superscript"/>
        </w:rPr>
        <w:t>+</w:t>
      </w:r>
      <w:r w:rsidRPr="00286E43">
        <w:t xml:space="preserve"> - Ionen, die basischen Eigenschaften durch OH</w:t>
      </w:r>
      <w:r w:rsidRPr="00286E43">
        <w:rPr>
          <w:vertAlign w:val="superscript"/>
        </w:rPr>
        <w:t>-</w:t>
      </w:r>
      <w:r w:rsidRPr="00286E43">
        <w:t xml:space="preserve"> - Ionen zustande kommen. Deshalb lauten seine Definitionen: </w:t>
      </w:r>
      <w:r w:rsidRPr="00286E43">
        <w:rPr>
          <w:rStyle w:val="Fett"/>
        </w:rPr>
        <w:t>Arrhenius-Säuren</w:t>
      </w:r>
      <w:r w:rsidRPr="00286E43">
        <w:t xml:space="preserve"> sind Stoffe, deren Moleküle in wässriger Lösung in Wasserstoff</w:t>
      </w:r>
      <w:r>
        <w:t>-I</w:t>
      </w:r>
      <w:r w:rsidRPr="00286E43">
        <w:t>onen (</w:t>
      </w:r>
      <w:r w:rsidRPr="00286E43">
        <w:rPr>
          <w:rStyle w:val="Fett"/>
        </w:rPr>
        <w:t>H+</w:t>
      </w:r>
      <w:r w:rsidRPr="00286E43">
        <w:t>) und Säurerest</w:t>
      </w:r>
      <w:r>
        <w:t>-I</w:t>
      </w:r>
      <w:r w:rsidRPr="00286E43">
        <w:t xml:space="preserve">onen </w:t>
      </w:r>
      <w:r w:rsidRPr="00286E43">
        <w:rPr>
          <w:rStyle w:val="Fett"/>
        </w:rPr>
        <w:t>dissoziieren</w:t>
      </w:r>
      <w:r w:rsidRPr="00286E43">
        <w:t xml:space="preserve">. </w:t>
      </w:r>
      <w:r w:rsidRPr="00286E43">
        <w:rPr>
          <w:rStyle w:val="Fett"/>
        </w:rPr>
        <w:t>Arrhenius-Basen</w:t>
      </w:r>
      <w:r w:rsidRPr="00286E43">
        <w:t xml:space="preserve"> sind Stoffe, deren Moleküle in wässriger Lösung in </w:t>
      </w:r>
      <w:r w:rsidRPr="00286E43">
        <w:rPr>
          <w:rStyle w:val="Fett"/>
        </w:rPr>
        <w:t>Hydroxid-Ionen</w:t>
      </w:r>
      <w:r w:rsidRPr="00286E43">
        <w:t xml:space="preserve"> (</w:t>
      </w:r>
      <w:r w:rsidRPr="00286E43">
        <w:rPr>
          <w:rStyle w:val="Fett"/>
        </w:rPr>
        <w:t>OH-</w:t>
      </w:r>
      <w:r w:rsidRPr="00286E43">
        <w:t>) und Metall</w:t>
      </w:r>
      <w:r>
        <w:t>-I</w:t>
      </w:r>
      <w:r w:rsidRPr="00286E43">
        <w:t xml:space="preserve">onen </w:t>
      </w:r>
      <w:r w:rsidRPr="00286E43">
        <w:rPr>
          <w:rStyle w:val="Fett"/>
        </w:rPr>
        <w:t>dissoziieren</w:t>
      </w:r>
    </w:p>
    <w:p w14:paraId="193A85A3" w14:textId="68F6B4A0" w:rsidR="00E2527B" w:rsidRDefault="00E2527B">
      <w:pPr>
        <w:spacing w:before="0"/>
        <w:jc w:val="left"/>
        <w:rPr>
          <w:b/>
          <w:bCs/>
        </w:rPr>
      </w:pPr>
      <w:r>
        <w:rPr>
          <w:b/>
          <w:bCs/>
        </w:rPr>
        <w:br w:type="page"/>
      </w:r>
    </w:p>
    <w:p w14:paraId="62CE3736" w14:textId="36A1A2BB" w:rsidR="006E2CFC" w:rsidRDefault="006E2CFC" w:rsidP="006E2CFC">
      <w:pPr>
        <w:pStyle w:val="EinstiegAbschluss"/>
      </w:pPr>
      <w:r w:rsidRPr="006E2CFC">
        <w:rPr>
          <w:b/>
          <w:bCs/>
        </w:rPr>
        <w:lastRenderedPageBreak/>
        <w:t>Abschluss:</w:t>
      </w:r>
      <w:r>
        <w:t xml:space="preserve"> Durch Änderung der üblichen Reihenfolge zur Einführung der Säure/Base Konzepte nach Arrhenius und </w:t>
      </w:r>
      <w:proofErr w:type="spellStart"/>
      <w:r>
        <w:t>Br</w:t>
      </w:r>
      <w:r>
        <w:rPr>
          <w:rFonts w:cs="Arial"/>
        </w:rPr>
        <w:t>ø</w:t>
      </w:r>
      <w:r>
        <w:t>nsted</w:t>
      </w:r>
      <w:proofErr w:type="spellEnd"/>
      <w:r>
        <w:t xml:space="preserve">, soll vermieden werden, dass das Konzept nach </w:t>
      </w:r>
      <w:proofErr w:type="spellStart"/>
      <w:r>
        <w:t>Br</w:t>
      </w:r>
      <w:r>
        <w:rPr>
          <w:rFonts w:cs="Arial"/>
        </w:rPr>
        <w:t>ø</w:t>
      </w:r>
      <w:r>
        <w:t>nsted</w:t>
      </w:r>
      <w:proofErr w:type="spellEnd"/>
      <w:r>
        <w:t xml:space="preserve"> nicht als zusätzlicher, unnötiger Ballast angesehen wird, wie es häufig i</w:t>
      </w:r>
      <w:r w:rsidR="000747CD">
        <w:t xml:space="preserve">m Chemie-Unterricht </w:t>
      </w:r>
      <w:r>
        <w:t xml:space="preserve">der Fall ist. Verschiedene Wissenschaftler auf dem Gebiet der Chemie Didaktik sind der Meinung, dass das Konzept nach Arrhenius entweder komplett im Chemie Unterricht entfallen oder das Konzept von </w:t>
      </w:r>
      <w:proofErr w:type="spellStart"/>
      <w:r>
        <w:t>Br</w:t>
      </w:r>
      <w:r>
        <w:rPr>
          <w:rFonts w:cs="Arial"/>
        </w:rPr>
        <w:t>ø</w:t>
      </w:r>
      <w:r>
        <w:t>nsted</w:t>
      </w:r>
      <w:proofErr w:type="spellEnd"/>
      <w:r>
        <w:t xml:space="preserve"> früher eingeführt werden muss. </w:t>
      </w:r>
    </w:p>
    <w:p w14:paraId="75258F0F" w14:textId="77777777" w:rsidR="00931B30" w:rsidRPr="000E61E0" w:rsidRDefault="00931B30" w:rsidP="00931B30">
      <w:pPr>
        <w:rPr>
          <w:b/>
          <w:bCs/>
        </w:rPr>
      </w:pPr>
      <w:r w:rsidRPr="000E61E0">
        <w:rPr>
          <w:b/>
          <w:bCs/>
        </w:rPr>
        <w:t>Quellen:</w:t>
      </w:r>
    </w:p>
    <w:p w14:paraId="3CEE3247" w14:textId="77777777" w:rsidR="00DF520D" w:rsidRPr="00576991" w:rsidRDefault="00DF520D" w:rsidP="00E04B67">
      <w:pPr>
        <w:pStyle w:val="AufzhlungStandard"/>
        <w:jc w:val="left"/>
        <w:rPr>
          <w:lang w:val="en-US"/>
        </w:rPr>
      </w:pPr>
      <w:r>
        <w:t xml:space="preserve">Riedel, E. (1990). „Anorganische Chemie“. 2. Auflage. </w:t>
      </w:r>
      <w:r w:rsidRPr="00576991">
        <w:rPr>
          <w:lang w:val="en-US"/>
        </w:rPr>
        <w:t xml:space="preserve">Berlin, New York: de Gruyter. </w:t>
      </w:r>
    </w:p>
    <w:p w14:paraId="190BA324" w14:textId="77777777" w:rsidR="00DF520D" w:rsidRDefault="00DF520D" w:rsidP="00E04B67">
      <w:pPr>
        <w:pStyle w:val="AufzhlungStandard"/>
        <w:jc w:val="left"/>
      </w:pPr>
      <w:r>
        <w:t>Gutmann, V.</w:t>
      </w:r>
      <w:proofErr w:type="gramStart"/>
      <w:r>
        <w:t xml:space="preserve">;  </w:t>
      </w:r>
      <w:proofErr w:type="spellStart"/>
      <w:r>
        <w:t>Hengge</w:t>
      </w:r>
      <w:proofErr w:type="spellEnd"/>
      <w:proofErr w:type="gramEnd"/>
      <w:r>
        <w:t xml:space="preserve">, E. (1990). „Anorganische Chemie – Eine Einführung“. 5. Auflage. Weinheim, New York, Basel, </w:t>
      </w:r>
      <w:proofErr w:type="spellStart"/>
      <w:r>
        <w:t>Cambrige</w:t>
      </w:r>
      <w:proofErr w:type="spellEnd"/>
      <w:r>
        <w:t xml:space="preserve">: VCH. </w:t>
      </w:r>
    </w:p>
    <w:p w14:paraId="6E7E4B48" w14:textId="77777777" w:rsidR="00DF520D" w:rsidRDefault="00DF520D" w:rsidP="00E04B67">
      <w:pPr>
        <w:pStyle w:val="AufzhlungStandard"/>
        <w:jc w:val="left"/>
      </w:pPr>
      <w:r>
        <w:t xml:space="preserve">Hammer, H.O. (1995). „Säure-Base-Vorstellungen; Geschichtliche Entwicklungen eines Begriffspaares“ in </w:t>
      </w:r>
      <w:proofErr w:type="spellStart"/>
      <w:r>
        <w:t>PdN</w:t>
      </w:r>
      <w:proofErr w:type="spellEnd"/>
      <w:r>
        <w:t xml:space="preserve"> Chemie, 44, 1995, 1. </w:t>
      </w:r>
    </w:p>
    <w:p w14:paraId="6B0145AC" w14:textId="77777777" w:rsidR="00DF520D" w:rsidRPr="00576991" w:rsidRDefault="0045092F" w:rsidP="00E04B67">
      <w:pPr>
        <w:pStyle w:val="AufzhlungStandard"/>
        <w:jc w:val="left"/>
        <w:rPr>
          <w:lang w:val="en-US"/>
        </w:rPr>
      </w:pPr>
      <w:hyperlink r:id="rId25" w:history="1">
        <w:r w:rsidR="00DF520D" w:rsidRPr="00576991">
          <w:rPr>
            <w:rStyle w:val="Hyperlink"/>
            <w:rFonts w:cs="Arial"/>
            <w:lang w:val="en-US"/>
          </w:rPr>
          <w:t>https://de.wikipedia.org/wiki/S%C3%A4ure-Base-Konzepte</w:t>
        </w:r>
      </w:hyperlink>
      <w:r w:rsidR="00DF520D" w:rsidRPr="00576991">
        <w:rPr>
          <w:lang w:val="en-US"/>
        </w:rPr>
        <w:t xml:space="preserve"> (Stand: 10.01.18) </w:t>
      </w:r>
    </w:p>
    <w:p w14:paraId="2ADABDC3" w14:textId="77777777" w:rsidR="00DF520D" w:rsidRDefault="004C0AA2" w:rsidP="00E04B67">
      <w:pPr>
        <w:pStyle w:val="AufzhlungStandard"/>
        <w:jc w:val="left"/>
      </w:pPr>
      <w:bookmarkStart w:id="7" w:name="_Ref46734513"/>
      <w:r>
        <w:t xml:space="preserve">Arrhenius: </w:t>
      </w:r>
      <w:bookmarkEnd w:id="7"/>
      <w:r>
        <w:fldChar w:fldCharType="begin"/>
      </w:r>
      <w:r>
        <w:instrText xml:space="preserve"> HYPERLINK "</w:instrText>
      </w:r>
      <w:r w:rsidRPr="004C0AA2">
        <w:instrText>https://commons.wikimedia.org/wiki/File:Svante_Arrhenius_01.jpg?uselang=de-formal</w:instrText>
      </w:r>
      <w:r>
        <w:instrText xml:space="preserve">" </w:instrText>
      </w:r>
      <w:r>
        <w:fldChar w:fldCharType="separate"/>
      </w:r>
      <w:r w:rsidRPr="00774C36">
        <w:rPr>
          <w:rStyle w:val="Hyperlink"/>
        </w:rPr>
        <w:t>https://commons.wikimedia.org/wiki/File:Svante_Arrhenius_01.jpg?uselang=de-formal</w:t>
      </w:r>
      <w:r>
        <w:fldChar w:fldCharType="end"/>
      </w:r>
      <w:r>
        <w:t xml:space="preserve">; Urheber: </w:t>
      </w:r>
      <w:proofErr w:type="spellStart"/>
      <w:r>
        <w:t>Photogravure</w:t>
      </w:r>
      <w:proofErr w:type="spellEnd"/>
      <w:r>
        <w:t xml:space="preserve"> </w:t>
      </w:r>
      <w:proofErr w:type="spellStart"/>
      <w:r>
        <w:t>Meisenbach</w:t>
      </w:r>
      <w:proofErr w:type="spellEnd"/>
      <w:r>
        <w:t xml:space="preserve"> </w:t>
      </w:r>
      <w:proofErr w:type="spellStart"/>
      <w:r>
        <w:t>Riffarth</w:t>
      </w:r>
      <w:proofErr w:type="spellEnd"/>
      <w:r>
        <w:t xml:space="preserve"> &amp; Co. Leipzig; Lizenz: gemeinfrei; 27.07.2020</w:t>
      </w:r>
    </w:p>
    <w:p w14:paraId="24AEB96F" w14:textId="77777777" w:rsidR="00DF520D" w:rsidRDefault="00DF520D" w:rsidP="00E04B67">
      <w:pPr>
        <w:pStyle w:val="AufzhlungStandard"/>
        <w:jc w:val="left"/>
      </w:pPr>
      <w:bookmarkStart w:id="8" w:name="_Ref46736350"/>
      <w:r>
        <w:t xml:space="preserve">Häusler (1991). "Experimente für den Chemieunterricht - mit einer Einführung in die Labortechnik." München: </w:t>
      </w:r>
      <w:proofErr w:type="spellStart"/>
      <w:r>
        <w:t>Oldenbourg</w:t>
      </w:r>
      <w:proofErr w:type="spellEnd"/>
      <w:r>
        <w:t>.</w:t>
      </w:r>
      <w:bookmarkEnd w:id="8"/>
    </w:p>
    <w:p w14:paraId="5E0C97C3" w14:textId="2D33984B" w:rsidR="00DF520D" w:rsidRDefault="0045092F" w:rsidP="00E04B67">
      <w:pPr>
        <w:pStyle w:val="AufzhlungStandard"/>
        <w:jc w:val="left"/>
        <w:rPr>
          <w:lang w:val="en-US"/>
        </w:rPr>
      </w:pPr>
      <w:hyperlink r:id="rId26" w:history="1">
        <w:r w:rsidR="00DF520D" w:rsidRPr="00576991">
          <w:rPr>
            <w:rStyle w:val="Hyperlink"/>
            <w:rFonts w:cs="Arial"/>
            <w:lang w:val="en-US"/>
          </w:rPr>
          <w:t>http://www.chemie.de/lexikon/S%C3%A4ure-Base-Konzepte.htmltml</w:t>
        </w:r>
      </w:hyperlink>
      <w:r w:rsidR="00DF520D" w:rsidRPr="00576991">
        <w:rPr>
          <w:lang w:val="en-US"/>
        </w:rPr>
        <w:t xml:space="preserve"> (Stand: 01.12.2017)</w:t>
      </w:r>
    </w:p>
    <w:p w14:paraId="5BAEEDA1" w14:textId="77777777" w:rsidR="006E2CFC" w:rsidRPr="00590ED9" w:rsidRDefault="006E2CFC" w:rsidP="006E2CFC">
      <w:pPr>
        <w:pStyle w:val="AufzhlungStandard"/>
      </w:pPr>
      <w:r w:rsidRPr="00590ED9">
        <w:t xml:space="preserve">Erwin Riedel, Christoph </w:t>
      </w:r>
      <w:proofErr w:type="spellStart"/>
      <w:r w:rsidRPr="00590ED9">
        <w:t>Janiak</w:t>
      </w:r>
      <w:proofErr w:type="spellEnd"/>
      <w:r w:rsidRPr="00590ED9">
        <w:t xml:space="preserve">, Anorganische Chemie, </w:t>
      </w:r>
      <w:proofErr w:type="spellStart"/>
      <w:r w:rsidRPr="00590ED9">
        <w:t>DeGruyter</w:t>
      </w:r>
      <w:proofErr w:type="spellEnd"/>
      <w:r w:rsidRPr="00590ED9">
        <w:t xml:space="preserve">, </w:t>
      </w:r>
      <w:r>
        <w:t xml:space="preserve">Berlin </w:t>
      </w:r>
      <w:r w:rsidRPr="00590ED9">
        <w:t>20</w:t>
      </w:r>
      <w:r>
        <w:t>02</w:t>
      </w:r>
    </w:p>
    <w:p w14:paraId="2F664C04" w14:textId="127EE923" w:rsidR="006E2CFC" w:rsidRPr="0015511C" w:rsidRDefault="006E2CFC" w:rsidP="00E04B67">
      <w:pPr>
        <w:pStyle w:val="AufzhlungStandard"/>
        <w:jc w:val="left"/>
      </w:pPr>
      <w:r w:rsidRPr="00590ED9">
        <w:rPr>
          <w:rFonts w:cs="Arial"/>
          <w:szCs w:val="24"/>
        </w:rPr>
        <w:t xml:space="preserve">Hammer, H.O. (1995). „Säure-Base-Vorstellungen; Geschichtliche Entwicklungen eines Begriffspaares“ in </w:t>
      </w:r>
      <w:proofErr w:type="spellStart"/>
      <w:r w:rsidRPr="00590ED9">
        <w:rPr>
          <w:rFonts w:cs="Arial"/>
          <w:szCs w:val="24"/>
        </w:rPr>
        <w:t>PdN</w:t>
      </w:r>
      <w:proofErr w:type="spellEnd"/>
      <w:r w:rsidRPr="00590ED9">
        <w:rPr>
          <w:rFonts w:cs="Arial"/>
          <w:szCs w:val="24"/>
        </w:rPr>
        <w:t xml:space="preserve"> Chemie, 44, 1995, 1</w:t>
      </w:r>
      <w:r w:rsidRPr="00590ED9">
        <w:rPr>
          <w:szCs w:val="24"/>
        </w:rPr>
        <w:t>.</w:t>
      </w:r>
    </w:p>
    <w:p w14:paraId="29C2AAC0" w14:textId="301EAB21" w:rsidR="006E2CFC" w:rsidRPr="00576991" w:rsidRDefault="0045092F" w:rsidP="00E04B67">
      <w:pPr>
        <w:pStyle w:val="AufzhlungStandard"/>
        <w:jc w:val="left"/>
        <w:rPr>
          <w:lang w:val="en-US"/>
        </w:rPr>
      </w:pPr>
      <w:hyperlink r:id="rId27" w:history="1">
        <w:r w:rsidR="006E2CFC" w:rsidRPr="0015511C">
          <w:rPr>
            <w:rStyle w:val="Hyperlink"/>
            <w:szCs w:val="24"/>
            <w:lang w:val="en-US"/>
          </w:rPr>
          <w:t>https://www.grin.com/document/370367</w:t>
        </w:r>
      </w:hyperlink>
      <w:r w:rsidR="006E2CFC" w:rsidRPr="0015511C">
        <w:rPr>
          <w:szCs w:val="24"/>
          <w:lang w:val="en-US"/>
        </w:rPr>
        <w:t xml:space="preserve"> (Stand: 12.01.2021)</w:t>
      </w:r>
    </w:p>
    <w:sectPr w:rsidR="006E2CFC" w:rsidRPr="00576991" w:rsidSect="00DF520D">
      <w:type w:val="continuous"/>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E0851" w14:textId="77777777" w:rsidR="00C56A6A" w:rsidRDefault="00C56A6A" w:rsidP="005A7DCE">
      <w:pPr>
        <w:spacing w:before="0"/>
      </w:pPr>
      <w:r>
        <w:separator/>
      </w:r>
    </w:p>
  </w:endnote>
  <w:endnote w:type="continuationSeparator" w:id="0">
    <w:p w14:paraId="1CB87F13" w14:textId="77777777" w:rsidR="00C56A6A" w:rsidRDefault="00C56A6A"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24236D00" w14:textId="77777777" w:rsidR="009D5917" w:rsidRDefault="009D5917">
        <w:pPr>
          <w:pStyle w:val="Fuzeile"/>
          <w:jc w:val="center"/>
        </w:pPr>
        <w:r>
          <w:rPr>
            <w:noProof/>
            <w:lang w:eastAsia="de-DE"/>
          </w:rPr>
          <mc:AlternateContent>
            <mc:Choice Requires="wps">
              <w:drawing>
                <wp:inline distT="0" distB="0" distL="0" distR="0" wp14:anchorId="1E3DF528" wp14:editId="49F2B8A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14:paraId="7E194E7F" w14:textId="78329ED7" w:rsidR="009D5917" w:rsidRDefault="009D5917">
        <w:pPr>
          <w:pStyle w:val="Fuzeile"/>
          <w:jc w:val="center"/>
        </w:pPr>
        <w:r>
          <w:fldChar w:fldCharType="begin"/>
        </w:r>
        <w:r>
          <w:instrText>PAGE    \* MERGEFORMAT</w:instrText>
        </w:r>
        <w:r>
          <w:fldChar w:fldCharType="separate"/>
        </w:r>
        <w:r w:rsidR="0045092F">
          <w:rPr>
            <w:noProof/>
          </w:rPr>
          <w:t>10</w:t>
        </w:r>
        <w:r>
          <w:fldChar w:fldCharType="end"/>
        </w:r>
      </w:p>
    </w:sdtContent>
  </w:sdt>
  <w:p w14:paraId="2BE55280" w14:textId="77777777" w:rsidR="009D5917" w:rsidRDefault="009D5917">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09B97" w14:textId="77777777" w:rsidR="00C56A6A" w:rsidRDefault="00C56A6A" w:rsidP="005A7DCE">
      <w:pPr>
        <w:spacing w:before="0"/>
      </w:pPr>
      <w:r>
        <w:separator/>
      </w:r>
    </w:p>
  </w:footnote>
  <w:footnote w:type="continuationSeparator" w:id="0">
    <w:p w14:paraId="6BEBFB93" w14:textId="77777777" w:rsidR="00C56A6A" w:rsidRDefault="00C56A6A"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1B6C7644"/>
    <w:lvl w:ilvl="0">
      <w:start w:val="1"/>
      <w:numFmt w:val="decimal"/>
      <w:pStyle w:val="AufzhlungStandard"/>
      <w:lvlText w:val="%1."/>
      <w:lvlJc w:val="left"/>
      <w:pPr>
        <w:ind w:left="454" w:hanging="454"/>
      </w:pPr>
      <w:rPr>
        <w:rFonts w:hint="default"/>
      </w:rPr>
    </w:lvl>
    <w:lvl w:ilvl="1">
      <w:start w:val="1"/>
      <w:numFmt w:val="decim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2C8F1B47"/>
    <w:multiLevelType w:val="multilevel"/>
    <w:tmpl w:val="8A069CFE"/>
    <w:lvl w:ilvl="0">
      <w:start w:val="1"/>
      <w:numFmt w:val="bullet"/>
      <w:pStyle w:val="Liste2Aufzhlung"/>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2D803F44"/>
    <w:multiLevelType w:val="multilevel"/>
    <w:tmpl w:val="8A289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9"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D77D36"/>
    <w:multiLevelType w:val="multilevel"/>
    <w:tmpl w:val="92BEFC6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1"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3" w15:restartNumberingAfterBreak="0">
    <w:nsid w:val="749D0A51"/>
    <w:multiLevelType w:val="multilevel"/>
    <w:tmpl w:val="3A0071A0"/>
    <w:lvl w:ilvl="0">
      <w:start w:val="1"/>
      <w:numFmt w:val="bullet"/>
      <w:lvlText w:val=""/>
      <w:lvlJc w:val="left"/>
      <w:pPr>
        <w:ind w:left="425" w:hanging="425"/>
      </w:pPr>
      <w:rPr>
        <w:rFonts w:ascii="Symbol" w:hAnsi="Symbol" w:hint="default"/>
        <w:color w:val="auto"/>
        <w:sz w:val="24"/>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4"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4"/>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1"/>
  </w:num>
  <w:num w:numId="7">
    <w:abstractNumId w:val="7"/>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0"/>
  </w:num>
  <w:num w:numId="13">
    <w:abstractNumId w:val="9"/>
  </w:num>
  <w:num w:numId="14">
    <w:abstractNumId w:val="0"/>
  </w:num>
  <w:num w:numId="15">
    <w:abstractNumId w:val="15"/>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 w:numId="19">
    <w:abstractNumId w:val="5"/>
  </w:num>
  <w:num w:numId="20">
    <w:abstractNumId w:val="13"/>
    <w:lvlOverride w:ilvl="0">
      <w:lvl w:ilvl="0">
        <w:start w:val="1"/>
        <w:numFmt w:val="bullet"/>
        <w:lvlText w:val=""/>
        <w:lvlJc w:val="left"/>
        <w:pPr>
          <w:ind w:left="425" w:hanging="425"/>
        </w:pPr>
        <w:rPr>
          <w:rFonts w:ascii="Symbol" w:hAnsi="Symbol" w:hint="default"/>
          <w:b w:val="0"/>
          <w:bCs w:val="0"/>
          <w:i w:val="0"/>
          <w:iCs w:val="0"/>
          <w: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left"/>
        <w:pPr>
          <w:ind w:left="425" w:hanging="425"/>
        </w:pPr>
        <w:rPr>
          <w:rFonts w:hint="default"/>
          <w:color w:val="000000" w:themeColor="text1"/>
        </w:rPr>
      </w:lvl>
    </w:lvlOverride>
    <w:lvlOverride w:ilvl="2">
      <w:lvl w:ilvl="2">
        <w:start w:val="1"/>
        <w:numFmt w:val="lowerLetter"/>
        <w:lvlText w:val="%3)"/>
        <w:lvlJc w:val="left"/>
        <w:pPr>
          <w:ind w:left="425" w:hanging="425"/>
        </w:pPr>
        <w:rPr>
          <w:rFonts w:hint="default"/>
        </w:rPr>
      </w:lvl>
    </w:lvlOverride>
    <w:lvlOverride w:ilvl="3">
      <w:lvl w:ilvl="3">
        <w:start w:val="1"/>
        <w:numFmt w:val="decimal"/>
        <w:lvlText w:val="B%4"/>
        <w:lvlJc w:val="left"/>
        <w:pPr>
          <w:ind w:left="567" w:hanging="567"/>
        </w:pPr>
        <w:rPr>
          <w:rFonts w:ascii="Arial" w:hAnsi="Arial" w:hint="default"/>
          <w:b/>
          <w:i w:val="0"/>
          <w:color w:val="FF9600"/>
          <w:sz w:val="28"/>
        </w:rPr>
      </w:lvl>
    </w:lvlOverride>
    <w:lvlOverride w:ilvl="4">
      <w:lvl w:ilvl="4">
        <w:start w:val="1"/>
        <w:numFmt w:val="decimal"/>
        <w:lvlText w:val="E%5"/>
        <w:lvlJc w:val="left"/>
        <w:pPr>
          <w:ind w:left="567" w:hanging="567"/>
        </w:pPr>
        <w:rPr>
          <w:rFonts w:ascii="Arial" w:hAnsi="Arial" w:hint="default"/>
          <w:b/>
          <w:i w:val="0"/>
          <w:color w:val="FF9600"/>
          <w:sz w:val="32"/>
        </w:rPr>
      </w:lvl>
    </w:lvlOverride>
    <w:lvlOverride w:ilvl="5">
      <w:lvl w:ilvl="5">
        <w:start w:val="1"/>
        <w:numFmt w:val="bullet"/>
        <w:lvlText w:val=""/>
        <w:lvlJc w:val="left"/>
        <w:pPr>
          <w:ind w:left="709" w:hanging="425"/>
        </w:pPr>
        <w:rPr>
          <w:rFonts w:ascii="Wingdings" w:hAnsi="Wingdings" w:hint="default"/>
          <w:b/>
          <w:i w:val="0"/>
          <w:color w:val="FF9600"/>
          <w:sz w:val="28"/>
        </w:rPr>
      </w:lvl>
    </w:lvlOverride>
    <w:lvlOverride w:ilvl="6">
      <w:lvl w:ilvl="6">
        <w:start w:val="1"/>
        <w:numFmt w:val="none"/>
        <w:lvlText w:val=""/>
        <w:lvlJc w:val="left"/>
        <w:pPr>
          <w:ind w:left="425" w:hanging="425"/>
        </w:pPr>
        <w:rPr>
          <w:rFonts w:hint="default"/>
        </w:rPr>
      </w:lvl>
    </w:lvlOverride>
    <w:lvlOverride w:ilvl="7">
      <w:lvl w:ilvl="7">
        <w:start w:val="1"/>
        <w:numFmt w:val="none"/>
        <w:lvlText w:val=""/>
        <w:lvlJc w:val="left"/>
        <w:pPr>
          <w:ind w:left="425" w:hanging="425"/>
        </w:pPr>
        <w:rPr>
          <w:rFonts w:hint="default"/>
        </w:rPr>
      </w:lvl>
    </w:lvlOverride>
    <w:lvlOverride w:ilvl="8">
      <w:lvl w:ilvl="8">
        <w:start w:val="1"/>
        <w:numFmt w:val="none"/>
        <w:lvlText w:val=""/>
        <w:lvlJc w:val="left"/>
        <w:pPr>
          <w:ind w:left="425" w:hanging="425"/>
        </w:pPr>
        <w:rPr>
          <w:rFonts w:hint="default"/>
        </w:rPr>
      </w:lvl>
    </w:lvlOverride>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13D52"/>
    <w:rsid w:val="000256A8"/>
    <w:rsid w:val="00045EDE"/>
    <w:rsid w:val="000712A2"/>
    <w:rsid w:val="00074491"/>
    <w:rsid w:val="000747CD"/>
    <w:rsid w:val="000D4A1C"/>
    <w:rsid w:val="000E61E0"/>
    <w:rsid w:val="00115303"/>
    <w:rsid w:val="0015511C"/>
    <w:rsid w:val="0015543D"/>
    <w:rsid w:val="001D6942"/>
    <w:rsid w:val="002005EF"/>
    <w:rsid w:val="00217507"/>
    <w:rsid w:val="00286E43"/>
    <w:rsid w:val="002E5AFC"/>
    <w:rsid w:val="0033663A"/>
    <w:rsid w:val="0036111E"/>
    <w:rsid w:val="0045092F"/>
    <w:rsid w:val="004C0AA2"/>
    <w:rsid w:val="004D0FAE"/>
    <w:rsid w:val="005633FE"/>
    <w:rsid w:val="00576991"/>
    <w:rsid w:val="0058690D"/>
    <w:rsid w:val="005A7DCE"/>
    <w:rsid w:val="00602968"/>
    <w:rsid w:val="00670494"/>
    <w:rsid w:val="006C46BC"/>
    <w:rsid w:val="006E2CFC"/>
    <w:rsid w:val="007161D1"/>
    <w:rsid w:val="00783295"/>
    <w:rsid w:val="007B2C80"/>
    <w:rsid w:val="007F18E1"/>
    <w:rsid w:val="008117E4"/>
    <w:rsid w:val="00825BFE"/>
    <w:rsid w:val="00850560"/>
    <w:rsid w:val="00883728"/>
    <w:rsid w:val="008A524D"/>
    <w:rsid w:val="008B0B97"/>
    <w:rsid w:val="008E3FE9"/>
    <w:rsid w:val="00931B30"/>
    <w:rsid w:val="00945ED7"/>
    <w:rsid w:val="009710A6"/>
    <w:rsid w:val="009D5917"/>
    <w:rsid w:val="009D6CF1"/>
    <w:rsid w:val="009E56E2"/>
    <w:rsid w:val="00A21130"/>
    <w:rsid w:val="00A5383F"/>
    <w:rsid w:val="00A67F1B"/>
    <w:rsid w:val="00AA5678"/>
    <w:rsid w:val="00AA5D66"/>
    <w:rsid w:val="00AB7E4B"/>
    <w:rsid w:val="00AC3E5B"/>
    <w:rsid w:val="00AE53F0"/>
    <w:rsid w:val="00AF7672"/>
    <w:rsid w:val="00B22356"/>
    <w:rsid w:val="00C47CC6"/>
    <w:rsid w:val="00C56A6A"/>
    <w:rsid w:val="00C6611D"/>
    <w:rsid w:val="00D97908"/>
    <w:rsid w:val="00DB7964"/>
    <w:rsid w:val="00DC0A1D"/>
    <w:rsid w:val="00DF520D"/>
    <w:rsid w:val="00E04B67"/>
    <w:rsid w:val="00E14DE1"/>
    <w:rsid w:val="00E20AF3"/>
    <w:rsid w:val="00E2527B"/>
    <w:rsid w:val="00E37534"/>
    <w:rsid w:val="00E46BE8"/>
    <w:rsid w:val="00E54A99"/>
    <w:rsid w:val="00E76D0D"/>
    <w:rsid w:val="00E82A8C"/>
    <w:rsid w:val="00E8473B"/>
    <w:rsid w:val="00EA5E86"/>
    <w:rsid w:val="00F0263F"/>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D59FC8"/>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15543D"/>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F0263F"/>
    <w:pPr>
      <w:numPr>
        <w:numId w:val="17"/>
      </w:numPr>
      <w:contextualSpacing w:val="0"/>
    </w:pPr>
  </w:style>
  <w:style w:type="character" w:customStyle="1" w:styleId="Liste1AufzhlungZchn">
    <w:name w:val="Liste 1 Aufzählung Zchn"/>
    <w:basedOn w:val="ListenabsatzZchn"/>
    <w:link w:val="Liste1Aufzhlung"/>
    <w:rsid w:val="0015543D"/>
  </w:style>
  <w:style w:type="character" w:customStyle="1" w:styleId="AufzhlungStandardZchn">
    <w:name w:val="Aufzählung Standard Zchn"/>
    <w:basedOn w:val="ListenabsatzZchn"/>
    <w:link w:val="AufzhlungStandard"/>
    <w:rsid w:val="00F0263F"/>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E46BE8"/>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rsid w:val="00C47CC6"/>
    <w:rPr>
      <w:b/>
      <w:bCs/>
    </w:rPr>
  </w:style>
  <w:style w:type="paragraph" w:styleId="Untertitel">
    <w:name w:val="Subtitle"/>
    <w:basedOn w:val="Standard"/>
    <w:next w:val="Standard"/>
    <w:link w:val="UntertitelZchn"/>
    <w:uiPriority w:val="11"/>
    <w:rsid w:val="00C6611D"/>
    <w:pPr>
      <w:numPr>
        <w:ilvl w:val="1"/>
      </w:numPr>
      <w:spacing w:after="160"/>
      <w:jc w:val="center"/>
    </w:pPr>
    <w:rPr>
      <w:rFonts w:asciiTheme="minorHAnsi" w:eastAsiaTheme="minorEastAsia" w:hAnsiTheme="minorHAnsi"/>
      <w:color w:val="000000" w:themeColor="text1"/>
      <w:spacing w:val="15"/>
      <w:sz w:val="36"/>
    </w:rPr>
  </w:style>
  <w:style w:type="character" w:customStyle="1" w:styleId="UntertitelZchn">
    <w:name w:val="Untertitel Zchn"/>
    <w:basedOn w:val="Absatz-Standardschriftart"/>
    <w:link w:val="Untertitel"/>
    <w:uiPriority w:val="11"/>
    <w:rsid w:val="00C6611D"/>
    <w:rPr>
      <w:rFonts w:asciiTheme="minorHAnsi" w:eastAsiaTheme="minorEastAsia" w:hAnsiTheme="minorHAnsi"/>
      <w:color w:val="000000" w:themeColor="text1"/>
      <w:spacing w:val="15"/>
      <w:sz w:val="36"/>
    </w:rPr>
  </w:style>
  <w:style w:type="paragraph" w:customStyle="1" w:styleId="CASNr">
    <w:name w:val="CASNr"/>
    <w:basedOn w:val="AufzhlungStandard"/>
    <w:link w:val="CASNrZchn"/>
    <w:qFormat/>
    <w:rsid w:val="00E37534"/>
    <w:pPr>
      <w:ind w:left="425" w:hanging="425"/>
    </w:pPr>
    <w:rPr>
      <w:sz w:val="20"/>
      <w:szCs w:val="20"/>
    </w:rPr>
  </w:style>
  <w:style w:type="character" w:customStyle="1" w:styleId="CASNrZchn">
    <w:name w:val="CASNr Zchn"/>
    <w:basedOn w:val="AufzhlungStandardZchn"/>
    <w:link w:val="CASNr"/>
    <w:rsid w:val="00E37534"/>
    <w:rPr>
      <w:sz w:val="20"/>
      <w:szCs w:val="20"/>
    </w:rPr>
  </w:style>
  <w:style w:type="paragraph" w:customStyle="1" w:styleId="Formeln">
    <w:name w:val="Formeln"/>
    <w:basedOn w:val="Standard"/>
    <w:qFormat/>
    <w:rsid w:val="00E37534"/>
    <w:pPr>
      <w:spacing w:before="240" w:after="240"/>
      <w:jc w:val="center"/>
    </w:pPr>
    <w:rPr>
      <w:iCs/>
      <w:sz w:val="28"/>
      <w:szCs w:val="32"/>
    </w:rPr>
  </w:style>
  <w:style w:type="character" w:styleId="BesuchterLink">
    <w:name w:val="FollowedHyperlink"/>
    <w:basedOn w:val="Absatz-Standardschriftart"/>
    <w:uiPriority w:val="99"/>
    <w:semiHidden/>
    <w:unhideWhenUsed/>
    <w:rsid w:val="00DF520D"/>
    <w:rPr>
      <w:color w:val="0000FF" w:themeColor="followedHyperlink"/>
      <w:u w:val="single"/>
    </w:rPr>
  </w:style>
  <w:style w:type="character" w:customStyle="1" w:styleId="NichtaufgelsteErwhnung2">
    <w:name w:val="Nicht aufgelöste Erwähnung2"/>
    <w:basedOn w:val="Absatz-Standardschriftart"/>
    <w:uiPriority w:val="99"/>
    <w:semiHidden/>
    <w:unhideWhenUsed/>
    <w:rsid w:val="004C0AA2"/>
    <w:rPr>
      <w:color w:val="605E5C"/>
      <w:shd w:val="clear" w:color="auto" w:fill="E1DFDD"/>
    </w:rPr>
  </w:style>
  <w:style w:type="character" w:styleId="Platzhaltertext">
    <w:name w:val="Placeholder Text"/>
    <w:basedOn w:val="Absatz-Standardschriftart"/>
    <w:uiPriority w:val="99"/>
    <w:semiHidden/>
    <w:rsid w:val="004C0AA2"/>
    <w:rPr>
      <w:color w:val="808080"/>
    </w:rPr>
  </w:style>
  <w:style w:type="table" w:styleId="Tabellenraster">
    <w:name w:val="Table Grid"/>
    <w:basedOn w:val="NormaleTabelle"/>
    <w:uiPriority w:val="39"/>
    <w:rsid w:val="00286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bsatz-Standardschriftart"/>
    <w:uiPriority w:val="99"/>
    <w:semiHidden/>
    <w:unhideWhenUsed/>
    <w:rsid w:val="006E2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169692">
      <w:bodyDiv w:val="1"/>
      <w:marLeft w:val="0"/>
      <w:marRight w:val="0"/>
      <w:marTop w:val="0"/>
      <w:marBottom w:val="0"/>
      <w:divBdr>
        <w:top w:val="none" w:sz="0" w:space="0" w:color="auto"/>
        <w:left w:val="none" w:sz="0" w:space="0" w:color="auto"/>
        <w:bottom w:val="none" w:sz="0" w:space="0" w:color="auto"/>
        <w:right w:val="none" w:sz="0" w:space="0" w:color="auto"/>
      </w:divBdr>
    </w:div>
    <w:div w:id="252935298">
      <w:bodyDiv w:val="1"/>
      <w:marLeft w:val="0"/>
      <w:marRight w:val="0"/>
      <w:marTop w:val="0"/>
      <w:marBottom w:val="0"/>
      <w:divBdr>
        <w:top w:val="none" w:sz="0" w:space="0" w:color="auto"/>
        <w:left w:val="none" w:sz="0" w:space="0" w:color="auto"/>
        <w:bottom w:val="none" w:sz="0" w:space="0" w:color="auto"/>
        <w:right w:val="none" w:sz="0" w:space="0" w:color="auto"/>
      </w:divBdr>
      <w:divsChild>
        <w:div w:id="63972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0604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000809">
      <w:bodyDiv w:val="1"/>
      <w:marLeft w:val="0"/>
      <w:marRight w:val="0"/>
      <w:marTop w:val="0"/>
      <w:marBottom w:val="0"/>
      <w:divBdr>
        <w:top w:val="none" w:sz="0" w:space="0" w:color="auto"/>
        <w:left w:val="none" w:sz="0" w:space="0" w:color="auto"/>
        <w:bottom w:val="none" w:sz="0" w:space="0" w:color="auto"/>
        <w:right w:val="none" w:sz="0" w:space="0" w:color="auto"/>
      </w:divBdr>
    </w:div>
    <w:div w:id="969283829">
      <w:bodyDiv w:val="1"/>
      <w:marLeft w:val="0"/>
      <w:marRight w:val="0"/>
      <w:marTop w:val="0"/>
      <w:marBottom w:val="0"/>
      <w:divBdr>
        <w:top w:val="none" w:sz="0" w:space="0" w:color="auto"/>
        <w:left w:val="none" w:sz="0" w:space="0" w:color="auto"/>
        <w:bottom w:val="none" w:sz="0" w:space="0" w:color="auto"/>
        <w:right w:val="none" w:sz="0" w:space="0" w:color="auto"/>
      </w:divBdr>
    </w:div>
    <w:div w:id="1147936684">
      <w:bodyDiv w:val="1"/>
      <w:marLeft w:val="0"/>
      <w:marRight w:val="0"/>
      <w:marTop w:val="0"/>
      <w:marBottom w:val="0"/>
      <w:divBdr>
        <w:top w:val="none" w:sz="0" w:space="0" w:color="auto"/>
        <w:left w:val="none" w:sz="0" w:space="0" w:color="auto"/>
        <w:bottom w:val="none" w:sz="0" w:space="0" w:color="auto"/>
        <w:right w:val="none" w:sz="0" w:space="0" w:color="auto"/>
      </w:divBdr>
    </w:div>
    <w:div w:id="1254506454">
      <w:bodyDiv w:val="1"/>
      <w:marLeft w:val="0"/>
      <w:marRight w:val="0"/>
      <w:marTop w:val="0"/>
      <w:marBottom w:val="0"/>
      <w:divBdr>
        <w:top w:val="none" w:sz="0" w:space="0" w:color="auto"/>
        <w:left w:val="none" w:sz="0" w:space="0" w:color="auto"/>
        <w:bottom w:val="none" w:sz="0" w:space="0" w:color="auto"/>
        <w:right w:val="none" w:sz="0" w:space="0" w:color="auto"/>
      </w:divBdr>
    </w:div>
    <w:div w:id="1305239659">
      <w:bodyDiv w:val="1"/>
      <w:marLeft w:val="0"/>
      <w:marRight w:val="0"/>
      <w:marTop w:val="0"/>
      <w:marBottom w:val="0"/>
      <w:divBdr>
        <w:top w:val="none" w:sz="0" w:space="0" w:color="auto"/>
        <w:left w:val="none" w:sz="0" w:space="0" w:color="auto"/>
        <w:bottom w:val="none" w:sz="0" w:space="0" w:color="auto"/>
        <w:right w:val="none" w:sz="0" w:space="0" w:color="auto"/>
      </w:divBdr>
      <w:divsChild>
        <w:div w:id="920873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759042">
      <w:bodyDiv w:val="1"/>
      <w:marLeft w:val="0"/>
      <w:marRight w:val="0"/>
      <w:marTop w:val="0"/>
      <w:marBottom w:val="0"/>
      <w:divBdr>
        <w:top w:val="none" w:sz="0" w:space="0" w:color="auto"/>
        <w:left w:val="none" w:sz="0" w:space="0" w:color="auto"/>
        <w:bottom w:val="none" w:sz="0" w:space="0" w:color="auto"/>
        <w:right w:val="none" w:sz="0" w:space="0" w:color="auto"/>
      </w:divBdr>
    </w:div>
    <w:div w:id="1789855403">
      <w:bodyDiv w:val="1"/>
      <w:marLeft w:val="0"/>
      <w:marRight w:val="0"/>
      <w:marTop w:val="0"/>
      <w:marBottom w:val="0"/>
      <w:divBdr>
        <w:top w:val="none" w:sz="0" w:space="0" w:color="auto"/>
        <w:left w:val="none" w:sz="0" w:space="0" w:color="auto"/>
        <w:bottom w:val="none" w:sz="0" w:space="0" w:color="auto"/>
        <w:right w:val="none" w:sz="0" w:space="0" w:color="auto"/>
      </w:divBdr>
    </w:div>
    <w:div w:id="1890680304">
      <w:bodyDiv w:val="1"/>
      <w:marLeft w:val="0"/>
      <w:marRight w:val="0"/>
      <w:marTop w:val="0"/>
      <w:marBottom w:val="0"/>
      <w:divBdr>
        <w:top w:val="none" w:sz="0" w:space="0" w:color="auto"/>
        <w:left w:val="none" w:sz="0" w:space="0" w:color="auto"/>
        <w:bottom w:val="none" w:sz="0" w:space="0" w:color="auto"/>
        <w:right w:val="none" w:sz="0" w:space="0" w:color="auto"/>
      </w:divBdr>
    </w:div>
    <w:div w:id="1904102985">
      <w:bodyDiv w:val="1"/>
      <w:marLeft w:val="0"/>
      <w:marRight w:val="0"/>
      <w:marTop w:val="0"/>
      <w:marBottom w:val="0"/>
      <w:divBdr>
        <w:top w:val="none" w:sz="0" w:space="0" w:color="auto"/>
        <w:left w:val="none" w:sz="0" w:space="0" w:color="auto"/>
        <w:bottom w:val="none" w:sz="0" w:space="0" w:color="auto"/>
        <w:right w:val="none" w:sz="0" w:space="0" w:color="auto"/>
      </w:divBdr>
    </w:div>
    <w:div w:id="1974865476">
      <w:bodyDiv w:val="1"/>
      <w:marLeft w:val="0"/>
      <w:marRight w:val="0"/>
      <w:marTop w:val="0"/>
      <w:marBottom w:val="0"/>
      <w:divBdr>
        <w:top w:val="none" w:sz="0" w:space="0" w:color="auto"/>
        <w:left w:val="none" w:sz="0" w:space="0" w:color="auto"/>
        <w:bottom w:val="none" w:sz="0" w:space="0" w:color="auto"/>
        <w:right w:val="none" w:sz="0" w:space="0" w:color="auto"/>
      </w:divBdr>
    </w:div>
    <w:div w:id="2037190450">
      <w:bodyDiv w:val="1"/>
      <w:marLeft w:val="0"/>
      <w:marRight w:val="0"/>
      <w:marTop w:val="0"/>
      <w:marBottom w:val="0"/>
      <w:divBdr>
        <w:top w:val="none" w:sz="0" w:space="0" w:color="auto"/>
        <w:left w:val="none" w:sz="0" w:space="0" w:color="auto"/>
        <w:bottom w:val="none" w:sz="0" w:space="0" w:color="auto"/>
        <w:right w:val="none" w:sz="0" w:space="0" w:color="auto"/>
      </w:divBdr>
    </w:div>
    <w:div w:id="2078740484">
      <w:bodyDiv w:val="1"/>
      <w:marLeft w:val="0"/>
      <w:marRight w:val="0"/>
      <w:marTop w:val="0"/>
      <w:marBottom w:val="0"/>
      <w:divBdr>
        <w:top w:val="none" w:sz="0" w:space="0" w:color="auto"/>
        <w:left w:val="none" w:sz="0" w:space="0" w:color="auto"/>
        <w:bottom w:val="none" w:sz="0" w:space="0" w:color="auto"/>
        <w:right w:val="none" w:sz="0" w:space="0" w:color="auto"/>
      </w:divBdr>
    </w:div>
    <w:div w:id="208707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image" Target="media/image10.jpeg"/><Relationship Id="rId26" Type="http://schemas.openxmlformats.org/officeDocument/2006/relationships/hyperlink" Target="http://www.chemie.de/lexikon/S&#228;ure-Base-Konzepte.html" TargetMode="Externa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yperlink" Target="http://www.seilnacht.com/Lexikon/Neutrali.htm" TargetMode="External"/><Relationship Id="rId25" Type="http://schemas.openxmlformats.org/officeDocument/2006/relationships/hyperlink" Target="https://de.wikipedia.org/wiki/S%C3%A4ure-Base-Konzepte"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6.gif"/><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gif"/><Relationship Id="rId28"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gif"/><Relationship Id="rId22" Type="http://schemas.openxmlformats.org/officeDocument/2006/relationships/image" Target="media/image14.jpeg"/><Relationship Id="rId27" Type="http://schemas.openxmlformats.org/officeDocument/2006/relationships/hyperlink" Target="https://www.grin.com/document/37036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00B26-1EC1-4534-AEBB-81AA9F3D7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2424</Words>
  <Characters>15276</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8</cp:revision>
  <cp:lastPrinted>2021-07-13T12:30:00Z</cp:lastPrinted>
  <dcterms:created xsi:type="dcterms:W3CDTF">2021-07-09T19:12:00Z</dcterms:created>
  <dcterms:modified xsi:type="dcterms:W3CDTF">2021-07-13T12:30:00Z</dcterms:modified>
</cp:coreProperties>
</file>