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2505F7" w:rsidRDefault="00E8473B" w:rsidP="002505F7">
      <w:pPr>
        <w:pStyle w:val="Seminar"/>
      </w:pPr>
      <w:r w:rsidRPr="002505F7">
        <w:t>Seminar</w:t>
      </w:r>
      <w:r w:rsidR="00FD7888" w:rsidRPr="002505F7">
        <w:t xml:space="preserve"> „Übungen im Vortragen – AC“</w:t>
      </w:r>
    </w:p>
    <w:p w:rsidR="00E8473B" w:rsidRDefault="002505F7" w:rsidP="005633FE">
      <w:pPr>
        <w:pStyle w:val="Titel"/>
      </w:pPr>
      <w:r>
        <w:t>Das Bindungsdreieck</w:t>
      </w:r>
    </w:p>
    <w:p w:rsidR="00E8473B" w:rsidRDefault="002505F7" w:rsidP="00E8473B">
      <w:pPr>
        <w:pStyle w:val="Autor"/>
      </w:pPr>
      <w:r>
        <w:t xml:space="preserve">Clarissa </w:t>
      </w:r>
      <w:proofErr w:type="spellStart"/>
      <w:r>
        <w:t>Grauß</w:t>
      </w:r>
      <w:proofErr w:type="spellEnd"/>
      <w:r>
        <w:t>; WS 13/14</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3E2088"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725981" w:history="1">
            <w:r w:rsidR="003E2088" w:rsidRPr="003900CF">
              <w:rPr>
                <w:rStyle w:val="Hyperlink"/>
                <w:noProof/>
              </w:rPr>
              <w:t>1</w:t>
            </w:r>
            <w:r w:rsidR="003E2088">
              <w:rPr>
                <w:rFonts w:asciiTheme="minorHAnsi" w:eastAsiaTheme="minorEastAsia" w:hAnsiTheme="minorHAnsi"/>
                <w:noProof/>
                <w:sz w:val="22"/>
                <w:lang w:eastAsia="de-DE"/>
              </w:rPr>
              <w:tab/>
            </w:r>
            <w:r w:rsidR="003E2088" w:rsidRPr="003900CF">
              <w:rPr>
                <w:rStyle w:val="Hyperlink"/>
                <w:noProof/>
              </w:rPr>
              <w:t>Grenzfälle chemischer Bindung</w:t>
            </w:r>
            <w:r w:rsidR="003E2088">
              <w:rPr>
                <w:noProof/>
                <w:webHidden/>
              </w:rPr>
              <w:tab/>
            </w:r>
            <w:r w:rsidR="003E2088">
              <w:rPr>
                <w:noProof/>
                <w:webHidden/>
              </w:rPr>
              <w:fldChar w:fldCharType="begin"/>
            </w:r>
            <w:r w:rsidR="003E2088">
              <w:rPr>
                <w:noProof/>
                <w:webHidden/>
              </w:rPr>
              <w:instrText xml:space="preserve"> PAGEREF _Toc46725981 \h </w:instrText>
            </w:r>
            <w:r w:rsidR="003E2088">
              <w:rPr>
                <w:noProof/>
                <w:webHidden/>
              </w:rPr>
            </w:r>
            <w:r w:rsidR="003E2088">
              <w:rPr>
                <w:noProof/>
                <w:webHidden/>
              </w:rPr>
              <w:fldChar w:fldCharType="separate"/>
            </w:r>
            <w:r w:rsidR="0023389E">
              <w:rPr>
                <w:noProof/>
                <w:webHidden/>
              </w:rPr>
              <w:t>1</w:t>
            </w:r>
            <w:r w:rsidR="003E2088">
              <w:rPr>
                <w:noProof/>
                <w:webHidden/>
              </w:rPr>
              <w:fldChar w:fldCharType="end"/>
            </w:r>
          </w:hyperlink>
        </w:p>
        <w:p w:rsidR="003E2088" w:rsidRDefault="0023389E">
          <w:pPr>
            <w:pStyle w:val="Verzeichnis1"/>
            <w:tabs>
              <w:tab w:val="left" w:pos="480"/>
              <w:tab w:val="right" w:leader="dot" w:pos="9344"/>
            </w:tabs>
            <w:rPr>
              <w:rFonts w:asciiTheme="minorHAnsi" w:eastAsiaTheme="minorEastAsia" w:hAnsiTheme="minorHAnsi"/>
              <w:noProof/>
              <w:sz w:val="22"/>
              <w:lang w:eastAsia="de-DE"/>
            </w:rPr>
          </w:pPr>
          <w:hyperlink w:anchor="_Toc46725982" w:history="1">
            <w:r w:rsidR="003E2088" w:rsidRPr="003900CF">
              <w:rPr>
                <w:rStyle w:val="Hyperlink"/>
                <w:noProof/>
              </w:rPr>
              <w:t>2</w:t>
            </w:r>
            <w:r w:rsidR="003E2088">
              <w:rPr>
                <w:rFonts w:asciiTheme="minorHAnsi" w:eastAsiaTheme="minorEastAsia" w:hAnsiTheme="minorHAnsi"/>
                <w:noProof/>
                <w:sz w:val="22"/>
                <w:lang w:eastAsia="de-DE"/>
              </w:rPr>
              <w:tab/>
            </w:r>
            <w:r w:rsidR="003E2088" w:rsidRPr="003900CF">
              <w:rPr>
                <w:rStyle w:val="Hyperlink"/>
                <w:noProof/>
              </w:rPr>
              <w:t>Das Bindungsdreieck</w:t>
            </w:r>
            <w:r w:rsidR="003E2088">
              <w:rPr>
                <w:noProof/>
                <w:webHidden/>
              </w:rPr>
              <w:tab/>
            </w:r>
            <w:r w:rsidR="003E2088">
              <w:rPr>
                <w:noProof/>
                <w:webHidden/>
              </w:rPr>
              <w:fldChar w:fldCharType="begin"/>
            </w:r>
            <w:r w:rsidR="003E2088">
              <w:rPr>
                <w:noProof/>
                <w:webHidden/>
              </w:rPr>
              <w:instrText xml:space="preserve"> PAGEREF _Toc46725982 \h </w:instrText>
            </w:r>
            <w:r w:rsidR="003E2088">
              <w:rPr>
                <w:noProof/>
                <w:webHidden/>
              </w:rPr>
            </w:r>
            <w:r w:rsidR="003E2088">
              <w:rPr>
                <w:noProof/>
                <w:webHidden/>
              </w:rPr>
              <w:fldChar w:fldCharType="separate"/>
            </w:r>
            <w:r>
              <w:rPr>
                <w:noProof/>
                <w:webHidden/>
              </w:rPr>
              <w:t>1</w:t>
            </w:r>
            <w:r w:rsidR="003E2088">
              <w:rPr>
                <w:noProof/>
                <w:webHidden/>
              </w:rPr>
              <w:fldChar w:fldCharType="end"/>
            </w:r>
          </w:hyperlink>
        </w:p>
        <w:p w:rsidR="003E2088" w:rsidRDefault="0023389E">
          <w:pPr>
            <w:pStyle w:val="Verzeichnis1"/>
            <w:tabs>
              <w:tab w:val="left" w:pos="480"/>
              <w:tab w:val="right" w:leader="dot" w:pos="9344"/>
            </w:tabs>
            <w:rPr>
              <w:rFonts w:asciiTheme="minorHAnsi" w:eastAsiaTheme="minorEastAsia" w:hAnsiTheme="minorHAnsi"/>
              <w:noProof/>
              <w:sz w:val="22"/>
              <w:lang w:eastAsia="de-DE"/>
            </w:rPr>
          </w:pPr>
          <w:hyperlink w:anchor="_Toc46725983" w:history="1">
            <w:r w:rsidR="003E2088" w:rsidRPr="003900CF">
              <w:rPr>
                <w:rStyle w:val="Hyperlink"/>
                <w:noProof/>
              </w:rPr>
              <w:t>3</w:t>
            </w:r>
            <w:r w:rsidR="003E2088">
              <w:rPr>
                <w:rFonts w:asciiTheme="minorHAnsi" w:eastAsiaTheme="minorEastAsia" w:hAnsiTheme="minorHAnsi"/>
                <w:noProof/>
                <w:sz w:val="22"/>
                <w:lang w:eastAsia="de-DE"/>
              </w:rPr>
              <w:tab/>
            </w:r>
            <w:r w:rsidR="003E2088" w:rsidRPr="003900CF">
              <w:rPr>
                <w:rStyle w:val="Hyperlink"/>
                <w:noProof/>
              </w:rPr>
              <w:t>Übergänge zwischen den Bindungsklassen</w:t>
            </w:r>
            <w:r w:rsidR="003E2088">
              <w:rPr>
                <w:noProof/>
                <w:webHidden/>
              </w:rPr>
              <w:tab/>
            </w:r>
            <w:r w:rsidR="003E2088">
              <w:rPr>
                <w:noProof/>
                <w:webHidden/>
              </w:rPr>
              <w:fldChar w:fldCharType="begin"/>
            </w:r>
            <w:r w:rsidR="003E2088">
              <w:rPr>
                <w:noProof/>
                <w:webHidden/>
              </w:rPr>
              <w:instrText xml:space="preserve"> PAGEREF _Toc46725983 \h </w:instrText>
            </w:r>
            <w:r w:rsidR="003E2088">
              <w:rPr>
                <w:noProof/>
                <w:webHidden/>
              </w:rPr>
            </w:r>
            <w:r w:rsidR="003E2088">
              <w:rPr>
                <w:noProof/>
                <w:webHidden/>
              </w:rPr>
              <w:fldChar w:fldCharType="separate"/>
            </w:r>
            <w:r>
              <w:rPr>
                <w:noProof/>
                <w:webHidden/>
              </w:rPr>
              <w:t>2</w:t>
            </w:r>
            <w:r w:rsidR="003E2088">
              <w:rPr>
                <w:noProof/>
                <w:webHidden/>
              </w:rPr>
              <w:fldChar w:fldCharType="end"/>
            </w:r>
          </w:hyperlink>
        </w:p>
        <w:p w:rsidR="006C46BC" w:rsidRDefault="006C46BC">
          <w:r>
            <w:rPr>
              <w:b/>
              <w:bCs/>
            </w:rPr>
            <w:fldChar w:fldCharType="end"/>
          </w:r>
        </w:p>
      </w:sdtContent>
    </w:sdt>
    <w:p w:rsidR="002505F7" w:rsidRPr="002505F7" w:rsidRDefault="00FD7888" w:rsidP="002505F7">
      <w:pPr>
        <w:pStyle w:val="EinstiegAbschluss"/>
      </w:pPr>
      <w:bookmarkStart w:id="0" w:name="_Überschrift_1"/>
      <w:bookmarkEnd w:id="0"/>
      <w:r w:rsidRPr="0023389E">
        <w:rPr>
          <w:b/>
        </w:rPr>
        <w:t>Einstieg</w:t>
      </w:r>
      <w:r w:rsidRPr="002505F7">
        <w:t>:</w:t>
      </w:r>
      <w:r w:rsidR="00C47CC6" w:rsidRPr="002505F7">
        <w:t xml:space="preserve"> </w:t>
      </w:r>
      <w:r w:rsidR="002505F7" w:rsidRPr="002505F7">
        <w:t>Es werden drei Proben auf den Amboss gelegt, dabei weisen zwei einen metallischen Glanz auf. Auf jede Probe erfolgt ein Schlag mit einem Hammer. Die nichtmetallisch aussehende Probe und eine der metallisch aussehenden Proben zerbrechen, während die zweite metallisch aussehende Probe unversehrt bleibt. Das widersprüchliche Verhalten der zwei metallisch aussehenden Proben soll im Folgenden erklärt werden.</w:t>
      </w:r>
    </w:p>
    <w:p w:rsidR="00E8473B" w:rsidRDefault="002505F7" w:rsidP="008A524D">
      <w:pPr>
        <w:pStyle w:val="berschrift1"/>
      </w:pPr>
      <w:bookmarkStart w:id="1" w:name="_Toc46725981"/>
      <w:r>
        <w:t>Grenzfälle chemischer Bindung</w:t>
      </w:r>
      <w:bookmarkEnd w:id="1"/>
    </w:p>
    <w:p w:rsidR="002505F7" w:rsidRDefault="002505F7" w:rsidP="002505F7">
      <w:pPr>
        <w:rPr>
          <w:rFonts w:cs="Arial"/>
        </w:rPr>
      </w:pPr>
      <w:r>
        <w:rPr>
          <w:rFonts w:cs="Arial"/>
        </w:rPr>
        <w:t>Entscheidend für das Verhalten eines Stoffes ist die chemische Bindung der Atome dieses Stoffes. In der folgenden Tabelle werden die drei Typen chemischer Bindungen gegenübergestellt und mit den für sie klassischen Beispielen versehen.</w:t>
      </w:r>
    </w:p>
    <w:p w:rsidR="002505F7" w:rsidRDefault="002505F7" w:rsidP="002505F7">
      <w:pPr>
        <w:rPr>
          <w:rFonts w:cs="Arial"/>
        </w:rPr>
      </w:pPr>
    </w:p>
    <w:tbl>
      <w:tblPr>
        <w:tblStyle w:val="Tabellenraster"/>
        <w:tblW w:w="4854" w:type="pct"/>
        <w:jc w:val="center"/>
        <w:tblLook w:val="04A0" w:firstRow="1" w:lastRow="0" w:firstColumn="1" w:lastColumn="0" w:noHBand="0" w:noVBand="1"/>
      </w:tblPr>
      <w:tblGrid>
        <w:gridCol w:w="2267"/>
        <w:gridCol w:w="2268"/>
        <w:gridCol w:w="2268"/>
        <w:gridCol w:w="2268"/>
      </w:tblGrid>
      <w:tr w:rsidR="002505F7" w:rsidRPr="002505F7" w:rsidTr="002505F7">
        <w:trPr>
          <w:jc w:val="center"/>
        </w:trPr>
        <w:tc>
          <w:tcPr>
            <w:tcW w:w="1250" w:type="pct"/>
            <w:shd w:val="clear" w:color="auto" w:fill="C7C7C7" w:themeFill="background2" w:themeFillShade="E6"/>
            <w:hideMark/>
          </w:tcPr>
          <w:p w:rsidR="002505F7" w:rsidRPr="002505F7" w:rsidRDefault="002505F7" w:rsidP="002505F7">
            <w:pPr>
              <w:jc w:val="center"/>
              <w:rPr>
                <w:rStyle w:val="Fett"/>
              </w:rPr>
            </w:pPr>
            <w:r w:rsidRPr="002505F7">
              <w:rPr>
                <w:rStyle w:val="Fett"/>
              </w:rPr>
              <w:t>Bindungstyp</w:t>
            </w:r>
          </w:p>
        </w:tc>
        <w:tc>
          <w:tcPr>
            <w:tcW w:w="1250" w:type="pct"/>
            <w:shd w:val="clear" w:color="auto" w:fill="C7C7C7" w:themeFill="background2" w:themeFillShade="E6"/>
            <w:hideMark/>
          </w:tcPr>
          <w:p w:rsidR="002505F7" w:rsidRPr="002505F7" w:rsidRDefault="002505F7" w:rsidP="002505F7">
            <w:pPr>
              <w:jc w:val="center"/>
              <w:rPr>
                <w:rStyle w:val="Fett"/>
              </w:rPr>
            </w:pPr>
            <w:r w:rsidRPr="002505F7">
              <w:rPr>
                <w:rStyle w:val="Fett"/>
              </w:rPr>
              <w:t>Ionen-</w:t>
            </w:r>
            <w:r>
              <w:rPr>
                <w:rStyle w:val="Fett"/>
              </w:rPr>
              <w:br/>
            </w:r>
            <w:r w:rsidRPr="002505F7">
              <w:rPr>
                <w:rStyle w:val="Fett"/>
              </w:rPr>
              <w:t>Bindung</w:t>
            </w:r>
          </w:p>
        </w:tc>
        <w:tc>
          <w:tcPr>
            <w:tcW w:w="1250" w:type="pct"/>
            <w:shd w:val="clear" w:color="auto" w:fill="C7C7C7" w:themeFill="background2" w:themeFillShade="E6"/>
            <w:hideMark/>
          </w:tcPr>
          <w:p w:rsidR="002505F7" w:rsidRPr="002505F7" w:rsidRDefault="002505F7" w:rsidP="002505F7">
            <w:pPr>
              <w:jc w:val="center"/>
              <w:rPr>
                <w:rStyle w:val="Fett"/>
              </w:rPr>
            </w:pPr>
            <w:r w:rsidRPr="002505F7">
              <w:rPr>
                <w:rStyle w:val="Fett"/>
              </w:rPr>
              <w:t>Kovalente</w:t>
            </w:r>
            <w:r>
              <w:rPr>
                <w:rStyle w:val="Fett"/>
              </w:rPr>
              <w:br/>
            </w:r>
            <w:r w:rsidRPr="002505F7">
              <w:rPr>
                <w:rStyle w:val="Fett"/>
              </w:rPr>
              <w:t>Bindung</w:t>
            </w:r>
          </w:p>
        </w:tc>
        <w:tc>
          <w:tcPr>
            <w:tcW w:w="1250" w:type="pct"/>
            <w:shd w:val="clear" w:color="auto" w:fill="C7C7C7" w:themeFill="background2" w:themeFillShade="E6"/>
            <w:hideMark/>
          </w:tcPr>
          <w:p w:rsidR="002505F7" w:rsidRPr="002505F7" w:rsidRDefault="002505F7" w:rsidP="002505F7">
            <w:pPr>
              <w:jc w:val="center"/>
              <w:rPr>
                <w:rStyle w:val="Fett"/>
              </w:rPr>
            </w:pPr>
            <w:r w:rsidRPr="002505F7">
              <w:rPr>
                <w:rStyle w:val="Fett"/>
              </w:rPr>
              <w:t>Metall-</w:t>
            </w:r>
            <w:r>
              <w:rPr>
                <w:rStyle w:val="Fett"/>
              </w:rPr>
              <w:br/>
            </w:r>
            <w:r w:rsidRPr="002505F7">
              <w:rPr>
                <w:rStyle w:val="Fett"/>
              </w:rPr>
              <w:t>Bindung</w:t>
            </w:r>
          </w:p>
        </w:tc>
      </w:tr>
      <w:tr w:rsidR="002505F7" w:rsidRPr="002505F7" w:rsidTr="002505F7">
        <w:trPr>
          <w:jc w:val="center"/>
        </w:trPr>
        <w:tc>
          <w:tcPr>
            <w:tcW w:w="1250" w:type="pct"/>
            <w:hideMark/>
          </w:tcPr>
          <w:p w:rsidR="002505F7" w:rsidRPr="002505F7" w:rsidRDefault="002505F7" w:rsidP="002505F7">
            <w:pPr>
              <w:jc w:val="left"/>
            </w:pPr>
            <w:r w:rsidRPr="002505F7">
              <w:t>Bindung</w:t>
            </w:r>
          </w:p>
        </w:tc>
        <w:tc>
          <w:tcPr>
            <w:tcW w:w="1250" w:type="pct"/>
            <w:hideMark/>
          </w:tcPr>
          <w:p w:rsidR="002505F7" w:rsidRPr="002505F7" w:rsidRDefault="002505F7" w:rsidP="002505F7">
            <w:pPr>
              <w:jc w:val="left"/>
            </w:pPr>
            <w:r w:rsidRPr="002505F7">
              <w:t>Elektrische Anziehung zwischen gegensätzlich geladenen Ionen</w:t>
            </w:r>
          </w:p>
        </w:tc>
        <w:tc>
          <w:tcPr>
            <w:tcW w:w="1250" w:type="pct"/>
            <w:hideMark/>
          </w:tcPr>
          <w:p w:rsidR="002505F7" w:rsidRPr="002505F7" w:rsidRDefault="002505F7" w:rsidP="002505F7">
            <w:pPr>
              <w:jc w:val="left"/>
            </w:pPr>
            <w:r w:rsidRPr="002505F7">
              <w:t>Gemeinsame Elektronenpaare</w:t>
            </w:r>
          </w:p>
        </w:tc>
        <w:tc>
          <w:tcPr>
            <w:tcW w:w="1250" w:type="pct"/>
            <w:hideMark/>
          </w:tcPr>
          <w:p w:rsidR="002505F7" w:rsidRPr="002505F7" w:rsidRDefault="002505F7" w:rsidP="002505F7">
            <w:pPr>
              <w:jc w:val="left"/>
            </w:pPr>
            <w:r w:rsidRPr="002505F7">
              <w:t>Positiv geladene Ionen (Atomrümpfe) im Elektronengas</w:t>
            </w:r>
          </w:p>
        </w:tc>
      </w:tr>
      <w:tr w:rsidR="002505F7" w:rsidRPr="002505F7" w:rsidTr="002505F7">
        <w:trPr>
          <w:jc w:val="center"/>
        </w:trPr>
        <w:tc>
          <w:tcPr>
            <w:tcW w:w="1250" w:type="pct"/>
            <w:hideMark/>
          </w:tcPr>
          <w:p w:rsidR="002505F7" w:rsidRPr="002505F7" w:rsidRDefault="002505F7" w:rsidP="002505F7">
            <w:pPr>
              <w:jc w:val="left"/>
            </w:pPr>
            <w:r w:rsidRPr="002505F7">
              <w:t>Erklärung</w:t>
            </w:r>
          </w:p>
        </w:tc>
        <w:tc>
          <w:tcPr>
            <w:tcW w:w="1250" w:type="pct"/>
            <w:hideMark/>
          </w:tcPr>
          <w:p w:rsidR="002505F7" w:rsidRPr="002505F7" w:rsidRDefault="002505F7" w:rsidP="002505F7">
            <w:pPr>
              <w:jc w:val="left"/>
            </w:pPr>
            <w:proofErr w:type="spellStart"/>
            <w:r w:rsidRPr="002505F7">
              <w:t>Coulombsches</w:t>
            </w:r>
            <w:proofErr w:type="spellEnd"/>
            <w:r w:rsidRPr="002505F7">
              <w:t xml:space="preserve"> Gesetz</w:t>
            </w:r>
          </w:p>
        </w:tc>
        <w:tc>
          <w:tcPr>
            <w:tcW w:w="1250" w:type="pct"/>
            <w:hideMark/>
          </w:tcPr>
          <w:p w:rsidR="002505F7" w:rsidRPr="002505F7" w:rsidRDefault="002505F7" w:rsidP="002505F7">
            <w:pPr>
              <w:jc w:val="left"/>
            </w:pPr>
            <w:r w:rsidRPr="002505F7">
              <w:t>Molekülorbitaltheorie</w:t>
            </w:r>
          </w:p>
        </w:tc>
        <w:tc>
          <w:tcPr>
            <w:tcW w:w="1250" w:type="pct"/>
            <w:hideMark/>
          </w:tcPr>
          <w:p w:rsidR="002505F7" w:rsidRPr="002505F7" w:rsidRDefault="002505F7" w:rsidP="002505F7">
            <w:pPr>
              <w:jc w:val="left"/>
            </w:pPr>
            <w:r w:rsidRPr="002505F7">
              <w:t>Bändermodell</w:t>
            </w:r>
          </w:p>
        </w:tc>
      </w:tr>
      <w:tr w:rsidR="002505F7" w:rsidRPr="002505F7" w:rsidTr="002505F7">
        <w:trPr>
          <w:jc w:val="center"/>
        </w:trPr>
        <w:tc>
          <w:tcPr>
            <w:tcW w:w="1250" w:type="pct"/>
            <w:hideMark/>
          </w:tcPr>
          <w:p w:rsidR="002505F7" w:rsidRPr="002505F7" w:rsidRDefault="002505F7" w:rsidP="002505F7">
            <w:pPr>
              <w:jc w:val="left"/>
            </w:pPr>
            <w:r w:rsidRPr="002505F7">
              <w:t>Beispiel</w:t>
            </w:r>
          </w:p>
        </w:tc>
        <w:tc>
          <w:tcPr>
            <w:tcW w:w="1250" w:type="pct"/>
            <w:hideMark/>
          </w:tcPr>
          <w:p w:rsidR="002505F7" w:rsidRPr="002505F7" w:rsidRDefault="002505F7" w:rsidP="002505F7">
            <w:pPr>
              <w:jc w:val="left"/>
            </w:pPr>
            <w:proofErr w:type="spellStart"/>
            <w:r w:rsidRPr="002505F7">
              <w:t>CsF</w:t>
            </w:r>
            <w:proofErr w:type="spellEnd"/>
          </w:p>
        </w:tc>
        <w:tc>
          <w:tcPr>
            <w:tcW w:w="1250" w:type="pct"/>
            <w:hideMark/>
          </w:tcPr>
          <w:p w:rsidR="002505F7" w:rsidRPr="002505F7" w:rsidRDefault="002505F7" w:rsidP="002505F7">
            <w:pPr>
              <w:jc w:val="left"/>
            </w:pPr>
            <w:r w:rsidRPr="002505F7">
              <w:t>F2</w:t>
            </w:r>
          </w:p>
        </w:tc>
        <w:tc>
          <w:tcPr>
            <w:tcW w:w="1250" w:type="pct"/>
            <w:hideMark/>
          </w:tcPr>
          <w:p w:rsidR="002505F7" w:rsidRPr="002505F7" w:rsidRDefault="002505F7" w:rsidP="002505F7">
            <w:pPr>
              <w:jc w:val="left"/>
            </w:pPr>
            <w:proofErr w:type="spellStart"/>
            <w:r w:rsidRPr="002505F7">
              <w:t>Cs</w:t>
            </w:r>
            <w:proofErr w:type="spellEnd"/>
          </w:p>
        </w:tc>
      </w:tr>
    </w:tbl>
    <w:p w:rsidR="002505F7" w:rsidRPr="002505F7" w:rsidRDefault="002505F7" w:rsidP="002505F7">
      <w:pPr>
        <w:pStyle w:val="Beschriftung"/>
      </w:pPr>
      <w:bookmarkStart w:id="2" w:name="_Ref46725701"/>
      <w:r>
        <w:t xml:space="preserve">Tab. </w:t>
      </w:r>
      <w:r w:rsidR="0023389E">
        <w:fldChar w:fldCharType="begin"/>
      </w:r>
      <w:r w:rsidR="0023389E">
        <w:instrText xml:space="preserve"> SEQ Tab. \* ARABIC </w:instrText>
      </w:r>
      <w:r w:rsidR="0023389E">
        <w:fldChar w:fldCharType="separate"/>
      </w:r>
      <w:r w:rsidR="0023389E">
        <w:rPr>
          <w:noProof/>
        </w:rPr>
        <w:t>1</w:t>
      </w:r>
      <w:r w:rsidR="0023389E">
        <w:rPr>
          <w:noProof/>
        </w:rPr>
        <w:fldChar w:fldCharType="end"/>
      </w:r>
      <w:bookmarkEnd w:id="2"/>
      <w:r>
        <w:t>: Bindungstypen</w:t>
      </w:r>
    </w:p>
    <w:p w:rsidR="002505F7" w:rsidRDefault="002505F7" w:rsidP="002505F7">
      <w:pPr>
        <w:pStyle w:val="berschrift1"/>
      </w:pPr>
      <w:bookmarkStart w:id="3" w:name="_Toc46725982"/>
      <w:r>
        <w:t>Das Bindungsdreieck</w:t>
      </w:r>
      <w:bookmarkEnd w:id="3"/>
    </w:p>
    <w:p w:rsidR="002505F7" w:rsidRDefault="002505F7" w:rsidP="002505F7">
      <w:pPr>
        <w:rPr>
          <w:rFonts w:cs="Arial"/>
        </w:rPr>
      </w:pPr>
      <w:r>
        <w:rPr>
          <w:rFonts w:cs="Arial"/>
        </w:rPr>
        <w:t xml:space="preserve">Die Bindung vieler Verbindungen können jedoch durch die oben genannten Bindungstypen nicht ausreichend beschrieben werden. Die Demonstration oben verdeutlicht, dass der Bindungstyp nicht allein aufgrund sichtbarer Merkmale vorhersagbar ist. Für die Abschätzung des Bindungstyps wurde von Anton Eduard van Arkel das Bindungsdreieck als Hilfsmittel entwickelt und von William B. Jensen mit Hilfe der Elektro-Negativität quantifiziert. In einem kartesischen Koordinaten-System werden auf der Ordinate die Mittelwerte der Elektro-Negativität </w:t>
      </w:r>
      <w:proofErr w:type="spellStart"/>
      <w:r>
        <w:rPr>
          <w:rFonts w:cs="Arial"/>
        </w:rPr>
        <w:t>EN</w:t>
      </w:r>
      <w:r>
        <w:rPr>
          <w:rFonts w:cs="Arial"/>
          <w:vertAlign w:val="subscript"/>
        </w:rPr>
        <w:t>av</w:t>
      </w:r>
      <w:proofErr w:type="spellEnd"/>
      <w:r>
        <w:rPr>
          <w:rFonts w:cs="Arial"/>
        </w:rPr>
        <w:t xml:space="preserve"> und auf der Abszisse die Elektronegativitätsdifferenz ∆EN aufgetragen. Die Berechnung der Werte erfolgt mit den folgenden Formeln (Summen-Formel </w:t>
      </w:r>
      <w:proofErr w:type="spellStart"/>
      <w:r>
        <w:rPr>
          <w:rFonts w:cs="Arial"/>
        </w:rPr>
        <w:t>A</w:t>
      </w:r>
      <w:r>
        <w:rPr>
          <w:rFonts w:cs="Arial"/>
          <w:vertAlign w:val="subscript"/>
        </w:rPr>
        <w:t>m</w:t>
      </w:r>
      <w:r>
        <w:rPr>
          <w:rFonts w:cs="Arial"/>
        </w:rPr>
        <w:t>B</w:t>
      </w:r>
      <w:r>
        <w:rPr>
          <w:rFonts w:cs="Arial"/>
          <w:vertAlign w:val="subscript"/>
        </w:rPr>
        <w:t>n</w:t>
      </w:r>
      <w:proofErr w:type="spellEnd"/>
      <w:r>
        <w:rPr>
          <w:rFonts w:cs="Arial"/>
        </w:rPr>
        <w:t>):</w:t>
      </w:r>
    </w:p>
    <w:p w:rsidR="002505F7" w:rsidRPr="0023389E" w:rsidRDefault="0023389E" w:rsidP="002505F7">
      <w:pPr>
        <w:pStyle w:val="Formeln"/>
        <w:rPr>
          <w:rFonts w:eastAsiaTheme="minorEastAsia"/>
          <w:lang w:val="en-US"/>
        </w:rPr>
      </w:pPr>
      <m:oMathPara>
        <m:oMath>
          <m:sSub>
            <m:sSubPr>
              <m:ctrlPr>
                <w:rPr>
                  <w:rFonts w:ascii="Cambria Math" w:hAnsi="Cambria Math"/>
                </w:rPr>
              </m:ctrlPr>
            </m:sSubPr>
            <m:e>
              <m:r>
                <m:rPr>
                  <m:nor/>
                </m:rPr>
                <w:rPr>
                  <w:lang w:val="en-US"/>
                </w:rPr>
                <m:t>EN</m:t>
              </m:r>
            </m:e>
            <m:sub>
              <w:proofErr w:type="spellStart"/>
              <m:r>
                <m:rPr>
                  <m:nor/>
                </m:rPr>
                <w:rPr>
                  <w:lang w:val="en-US"/>
                </w:rPr>
                <m:t>av</m:t>
              </m:r>
              <w:proofErr w:type="spellEnd"/>
            </m:sub>
          </m:sSub>
          <m:r>
            <m:rPr>
              <m:nor/>
            </m:rPr>
            <w:rPr>
              <w:rFonts w:ascii="Cambria Math"/>
              <w:lang w:val="en-US"/>
            </w:rPr>
            <m:t xml:space="preserve"> </m:t>
          </m:r>
          <m:r>
            <m:rPr>
              <m:nor/>
            </m:rPr>
            <w:rPr>
              <w:lang w:val="en-US"/>
            </w:rPr>
            <m:t xml:space="preserve">= </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w:proofErr w:type="spellStart"/>
                      <m:r>
                        <m:rPr>
                          <m:nor/>
                        </m:rPr>
                        <w:rPr>
                          <w:lang w:val="en-US"/>
                        </w:rPr>
                        <m:t>mEN</m:t>
                      </m:r>
                      <w:proofErr w:type="spellEnd"/>
                    </m:e>
                    <m:sub>
                      <m:r>
                        <m:rPr>
                          <m:nor/>
                        </m:rPr>
                        <w:rPr>
                          <w:lang w:val="en-US"/>
                        </w:rPr>
                        <m:t>A</m:t>
                      </m:r>
                    </m:sub>
                  </m:sSub>
                  <m:r>
                    <w:rPr>
                      <w:rFonts w:ascii="Cambria Math" w:hAnsi="Cambria Math"/>
                      <w:lang w:val="en-US"/>
                    </w:rPr>
                    <m:t xml:space="preserve"> </m:t>
                  </m:r>
                  <m:r>
                    <m:rPr>
                      <m:nor/>
                    </m:rPr>
                    <w:rPr>
                      <w:lang w:val="en-US"/>
                    </w:rPr>
                    <m:t xml:space="preserve">- </m:t>
                  </m:r>
                  <m:sSub>
                    <m:sSubPr>
                      <m:ctrlPr>
                        <w:rPr>
                          <w:rFonts w:ascii="Cambria Math" w:hAnsi="Cambria Math"/>
                        </w:rPr>
                      </m:ctrlPr>
                    </m:sSubPr>
                    <m:e>
                      <w:proofErr w:type="spellStart"/>
                      <m:r>
                        <m:rPr>
                          <m:nor/>
                        </m:rPr>
                        <w:rPr>
                          <w:lang w:val="en-US"/>
                        </w:rPr>
                        <m:t>nEN</m:t>
                      </m:r>
                      <w:proofErr w:type="spellEnd"/>
                    </m:e>
                    <m:sub>
                      <m:r>
                        <m:rPr>
                          <m:nor/>
                        </m:rPr>
                        <w:rPr>
                          <w:lang w:val="en-US"/>
                        </w:rPr>
                        <m:t>B</m:t>
                      </m:r>
                    </m:sub>
                  </m:sSub>
                </m:e>
              </m:d>
            </m:num>
            <m:den>
              <m:d>
                <m:dPr>
                  <m:ctrlPr>
                    <w:rPr>
                      <w:rFonts w:ascii="Cambria Math" w:hAnsi="Cambria Math"/>
                    </w:rPr>
                  </m:ctrlPr>
                </m:dPr>
                <m:e>
                  <m:r>
                    <m:rPr>
                      <m:nor/>
                    </m:rPr>
                    <w:rPr>
                      <w:lang w:val="en-US"/>
                    </w:rPr>
                    <m:t>m</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 xml:space="preserve">n </m:t>
                  </m:r>
                </m:e>
              </m:d>
            </m:den>
          </m:f>
        </m:oMath>
      </m:oMathPara>
    </w:p>
    <w:p w:rsidR="002505F7" w:rsidRPr="002505F7" w:rsidRDefault="002505F7" w:rsidP="002505F7">
      <w:pPr>
        <w:pStyle w:val="Formeln"/>
        <w:rPr>
          <w:rFonts w:eastAsiaTheme="minorEastAsia"/>
        </w:rPr>
      </w:pPr>
      <m:oMathPara>
        <m:oMath>
          <m:r>
            <m:rPr>
              <m:nor/>
            </m:rPr>
            <m:t>ΔEN</m:t>
          </m:r>
          <m:r>
            <m:rPr>
              <m:nor/>
            </m:rPr>
            <w:rPr>
              <w:rFonts w:ascii="Cambria Math"/>
            </w:rPr>
            <m:t xml:space="preserve"> </m:t>
          </m:r>
          <m:r>
            <m:rPr>
              <m:nor/>
            </m:rPr>
            <m:t xml:space="preserve">= </m:t>
          </m:r>
          <m:sSub>
            <m:sSubPr>
              <m:ctrlPr>
                <w:rPr>
                  <w:rFonts w:ascii="Cambria Math" w:hAnsi="Cambria Math"/>
                </w:rPr>
              </m:ctrlPr>
            </m:sSubPr>
            <m:e>
              <m:r>
                <m:rPr>
                  <m:nor/>
                </m:rPr>
                <m:t>EN</m:t>
              </m:r>
            </m:e>
            <m:sub>
              <m:r>
                <m:rPr>
                  <m:nor/>
                </m:rPr>
                <m:t>B</m:t>
              </m:r>
            </m:sub>
          </m:sSub>
          <m:r>
            <w:rPr>
              <w:rFonts w:ascii="Cambria Math" w:hAnsi="Cambria Math"/>
            </w:rPr>
            <m:t xml:space="preserve"> </m:t>
          </m:r>
          <m:r>
            <m:rPr>
              <m:nor/>
            </m:rPr>
            <m:t xml:space="preserve">- </m:t>
          </m:r>
          <m:sSub>
            <m:sSubPr>
              <m:ctrlPr>
                <w:rPr>
                  <w:rFonts w:ascii="Cambria Math" w:hAnsi="Cambria Math"/>
                </w:rPr>
              </m:ctrlPr>
            </m:sSubPr>
            <m:e>
              <m:r>
                <m:rPr>
                  <m:nor/>
                </m:rPr>
                <m:t>EN</m:t>
              </m:r>
            </m:e>
            <m:sub>
              <m:r>
                <m:rPr>
                  <m:nor/>
                </m:rPr>
                <m:t>A</m:t>
              </m:r>
            </m:sub>
          </m:sSub>
        </m:oMath>
      </m:oMathPara>
    </w:p>
    <w:p w:rsidR="002505F7" w:rsidRDefault="002505F7" w:rsidP="002505F7">
      <w:pPr>
        <w:rPr>
          <w:rFonts w:cs="Arial"/>
        </w:rPr>
      </w:pPr>
      <w:r>
        <w:rPr>
          <w:rFonts w:cs="Arial"/>
        </w:rPr>
        <w:t>Die Bindungstypen können Größen-Ordnungen der Elektronegativitätsdifferenz und dem Mittelwert der Elektro-Negativitäten wie folgt zugeordnet werden:</w:t>
      </w:r>
    </w:p>
    <w:tbl>
      <w:tblPr>
        <w:tblStyle w:val="Tabellenraster"/>
        <w:tblW w:w="3944" w:type="pct"/>
        <w:jc w:val="center"/>
        <w:tblLook w:val="04A0" w:firstRow="1" w:lastRow="0" w:firstColumn="1" w:lastColumn="0" w:noHBand="0" w:noVBand="1"/>
      </w:tblPr>
      <w:tblGrid>
        <w:gridCol w:w="2268"/>
        <w:gridCol w:w="1701"/>
        <w:gridCol w:w="1701"/>
        <w:gridCol w:w="1701"/>
      </w:tblGrid>
      <w:tr w:rsidR="002505F7" w:rsidRPr="002505F7" w:rsidTr="002505F7">
        <w:trPr>
          <w:jc w:val="center"/>
        </w:trPr>
        <w:tc>
          <w:tcPr>
            <w:tcW w:w="1538" w:type="pct"/>
            <w:shd w:val="clear" w:color="auto" w:fill="C7C7C7" w:themeFill="background2" w:themeFillShade="E6"/>
            <w:hideMark/>
          </w:tcPr>
          <w:p w:rsidR="002505F7" w:rsidRPr="002505F7" w:rsidRDefault="002505F7" w:rsidP="002505F7">
            <w:pPr>
              <w:jc w:val="center"/>
              <w:rPr>
                <w:rStyle w:val="Fett"/>
              </w:rPr>
            </w:pPr>
            <w:bookmarkStart w:id="4" w:name="_GoBack"/>
            <w:bookmarkEnd w:id="4"/>
            <w:r w:rsidRPr="002505F7">
              <w:rPr>
                <w:rStyle w:val="Fett"/>
              </w:rPr>
              <w:t>Bindungstyp</w:t>
            </w:r>
          </w:p>
        </w:tc>
        <w:tc>
          <w:tcPr>
            <w:tcW w:w="1154" w:type="pct"/>
            <w:shd w:val="clear" w:color="auto" w:fill="C7C7C7" w:themeFill="background2" w:themeFillShade="E6"/>
            <w:hideMark/>
          </w:tcPr>
          <w:p w:rsidR="002505F7" w:rsidRPr="002505F7" w:rsidRDefault="002505F7" w:rsidP="002505F7">
            <w:pPr>
              <w:jc w:val="center"/>
              <w:rPr>
                <w:rStyle w:val="Fett"/>
              </w:rPr>
            </w:pPr>
            <w:r w:rsidRPr="002505F7">
              <w:rPr>
                <w:rStyle w:val="Fett"/>
              </w:rPr>
              <w:t>Ionen-</w:t>
            </w:r>
            <w:r w:rsidRPr="002505F7">
              <w:rPr>
                <w:rStyle w:val="Fett"/>
              </w:rPr>
              <w:br/>
              <w:t>Bindung</w:t>
            </w:r>
          </w:p>
        </w:tc>
        <w:tc>
          <w:tcPr>
            <w:tcW w:w="1154" w:type="pct"/>
            <w:shd w:val="clear" w:color="auto" w:fill="C7C7C7" w:themeFill="background2" w:themeFillShade="E6"/>
            <w:hideMark/>
          </w:tcPr>
          <w:p w:rsidR="002505F7" w:rsidRPr="002505F7" w:rsidRDefault="002505F7" w:rsidP="002505F7">
            <w:pPr>
              <w:jc w:val="center"/>
              <w:rPr>
                <w:rStyle w:val="Fett"/>
              </w:rPr>
            </w:pPr>
            <w:r w:rsidRPr="002505F7">
              <w:rPr>
                <w:rStyle w:val="Fett"/>
              </w:rPr>
              <w:t>Kovalente Bindung</w:t>
            </w:r>
          </w:p>
        </w:tc>
        <w:tc>
          <w:tcPr>
            <w:tcW w:w="1154" w:type="pct"/>
            <w:shd w:val="clear" w:color="auto" w:fill="C7C7C7" w:themeFill="background2" w:themeFillShade="E6"/>
            <w:hideMark/>
          </w:tcPr>
          <w:p w:rsidR="002505F7" w:rsidRPr="002505F7" w:rsidRDefault="002505F7" w:rsidP="002505F7">
            <w:pPr>
              <w:jc w:val="center"/>
              <w:rPr>
                <w:rStyle w:val="Fett"/>
              </w:rPr>
            </w:pPr>
            <w:r w:rsidRPr="002505F7">
              <w:rPr>
                <w:rStyle w:val="Fett"/>
              </w:rPr>
              <w:t>Metall-</w:t>
            </w:r>
            <w:r w:rsidRPr="002505F7">
              <w:rPr>
                <w:rStyle w:val="Fett"/>
              </w:rPr>
              <w:br/>
              <w:t>Bindung</w:t>
            </w:r>
          </w:p>
        </w:tc>
      </w:tr>
      <w:tr w:rsidR="002505F7" w:rsidRPr="002505F7" w:rsidTr="002505F7">
        <w:trPr>
          <w:jc w:val="center"/>
        </w:trPr>
        <w:tc>
          <w:tcPr>
            <w:tcW w:w="1538" w:type="pct"/>
            <w:hideMark/>
          </w:tcPr>
          <w:p w:rsidR="002505F7" w:rsidRPr="002505F7" w:rsidRDefault="002505F7" w:rsidP="002505F7">
            <w:pPr>
              <w:jc w:val="left"/>
            </w:pPr>
            <w:r w:rsidRPr="002505F7">
              <w:t xml:space="preserve">Mittelwert der Elektronegativitäten </w:t>
            </w:r>
            <w:proofErr w:type="spellStart"/>
            <w:r w:rsidRPr="002505F7">
              <w:t>EN</w:t>
            </w:r>
            <w:r w:rsidRPr="002505F7">
              <w:rPr>
                <w:vertAlign w:val="subscript"/>
              </w:rPr>
              <w:t>av</w:t>
            </w:r>
            <w:proofErr w:type="spellEnd"/>
            <w:r w:rsidRPr="002505F7">
              <w:t xml:space="preserve"> </w:t>
            </w:r>
          </w:p>
        </w:tc>
        <w:tc>
          <w:tcPr>
            <w:tcW w:w="1154" w:type="pct"/>
            <w:hideMark/>
          </w:tcPr>
          <w:p w:rsidR="002505F7" w:rsidRPr="002505F7" w:rsidRDefault="002505F7" w:rsidP="002505F7">
            <w:pPr>
              <w:jc w:val="left"/>
            </w:pPr>
            <w:r w:rsidRPr="002505F7">
              <w:t>mittel</w:t>
            </w:r>
          </w:p>
        </w:tc>
        <w:tc>
          <w:tcPr>
            <w:tcW w:w="1154" w:type="pct"/>
            <w:hideMark/>
          </w:tcPr>
          <w:p w:rsidR="002505F7" w:rsidRPr="002505F7" w:rsidRDefault="002505F7" w:rsidP="002505F7">
            <w:pPr>
              <w:jc w:val="left"/>
            </w:pPr>
            <w:r w:rsidRPr="002505F7">
              <w:t>klein</w:t>
            </w:r>
          </w:p>
        </w:tc>
        <w:tc>
          <w:tcPr>
            <w:tcW w:w="1154" w:type="pct"/>
            <w:hideMark/>
          </w:tcPr>
          <w:p w:rsidR="002505F7" w:rsidRPr="002505F7" w:rsidRDefault="002505F7" w:rsidP="002505F7">
            <w:pPr>
              <w:jc w:val="left"/>
            </w:pPr>
            <w:r w:rsidRPr="002505F7">
              <w:t>klein</w:t>
            </w:r>
          </w:p>
        </w:tc>
      </w:tr>
      <w:tr w:rsidR="002505F7" w:rsidRPr="002505F7" w:rsidTr="002505F7">
        <w:trPr>
          <w:jc w:val="center"/>
        </w:trPr>
        <w:tc>
          <w:tcPr>
            <w:tcW w:w="1538" w:type="pct"/>
            <w:hideMark/>
          </w:tcPr>
          <w:p w:rsidR="002505F7" w:rsidRPr="002505F7" w:rsidRDefault="002505F7" w:rsidP="002505F7">
            <w:pPr>
              <w:jc w:val="left"/>
            </w:pPr>
            <w:r w:rsidRPr="002505F7">
              <w:t>Differenz der Elektronegativitäten ∆EN</w:t>
            </w:r>
          </w:p>
        </w:tc>
        <w:tc>
          <w:tcPr>
            <w:tcW w:w="1154" w:type="pct"/>
            <w:hideMark/>
          </w:tcPr>
          <w:p w:rsidR="002505F7" w:rsidRPr="002505F7" w:rsidRDefault="002505F7" w:rsidP="002505F7">
            <w:pPr>
              <w:jc w:val="left"/>
            </w:pPr>
            <w:r w:rsidRPr="002505F7">
              <w:t>groß</w:t>
            </w:r>
          </w:p>
        </w:tc>
        <w:tc>
          <w:tcPr>
            <w:tcW w:w="1154" w:type="pct"/>
            <w:hideMark/>
          </w:tcPr>
          <w:p w:rsidR="002505F7" w:rsidRPr="002505F7" w:rsidRDefault="002505F7" w:rsidP="002505F7">
            <w:pPr>
              <w:jc w:val="left"/>
            </w:pPr>
            <w:r w:rsidRPr="002505F7">
              <w:t>groß</w:t>
            </w:r>
          </w:p>
        </w:tc>
        <w:tc>
          <w:tcPr>
            <w:tcW w:w="1154" w:type="pct"/>
            <w:hideMark/>
          </w:tcPr>
          <w:p w:rsidR="002505F7" w:rsidRPr="002505F7" w:rsidRDefault="002505F7" w:rsidP="002505F7">
            <w:pPr>
              <w:jc w:val="left"/>
            </w:pPr>
            <w:r w:rsidRPr="002505F7">
              <w:t>klein</w:t>
            </w:r>
          </w:p>
        </w:tc>
      </w:tr>
    </w:tbl>
    <w:p w:rsidR="002505F7" w:rsidRDefault="002505F7" w:rsidP="002505F7">
      <w:pPr>
        <w:pStyle w:val="Beschriftung"/>
        <w:rPr>
          <w:rFonts w:cs="Arial"/>
        </w:rPr>
      </w:pPr>
      <w:r>
        <w:t xml:space="preserve">Tab. </w:t>
      </w:r>
      <w:r w:rsidR="0023389E">
        <w:fldChar w:fldCharType="begin"/>
      </w:r>
      <w:r w:rsidR="0023389E">
        <w:instrText xml:space="preserve"> SEQ Tab. \* ARABIC </w:instrText>
      </w:r>
      <w:r w:rsidR="0023389E">
        <w:fldChar w:fldCharType="separate"/>
      </w:r>
      <w:r w:rsidR="0023389E">
        <w:rPr>
          <w:noProof/>
        </w:rPr>
        <w:t>2</w:t>
      </w:r>
      <w:r w:rsidR="0023389E">
        <w:rPr>
          <w:noProof/>
        </w:rPr>
        <w:fldChar w:fldCharType="end"/>
      </w:r>
      <w:r>
        <w:t xml:space="preserve">: </w:t>
      </w:r>
      <w:r>
        <w:rPr>
          <w:rFonts w:cs="Arial"/>
        </w:rPr>
        <w:t>Zuordnung der Mittelwerte der Elektro-Negativitäten und der Elektronegativitätsdifferenz zu den Bindungstypen</w:t>
      </w:r>
    </w:p>
    <w:p w:rsidR="002505F7" w:rsidRPr="002505F7" w:rsidRDefault="002505F7" w:rsidP="002505F7">
      <w:r>
        <w:t xml:space="preserve">Die Anwendung der oben aufgeführten Formeln auf die in </w:t>
      </w:r>
      <w:r>
        <w:fldChar w:fldCharType="begin"/>
      </w:r>
      <w:r>
        <w:instrText xml:space="preserve"> REF _Ref46725701 \h  \* MERGEFORMAT </w:instrText>
      </w:r>
      <w:r>
        <w:fldChar w:fldCharType="separate"/>
      </w:r>
      <w:r w:rsidR="0023389E">
        <w:t xml:space="preserve">Tab. </w:t>
      </w:r>
      <w:r w:rsidR="0023389E">
        <w:rPr>
          <w:noProof/>
        </w:rPr>
        <w:t>1</w:t>
      </w:r>
      <w:r>
        <w:fldChar w:fldCharType="end"/>
      </w:r>
      <w:r>
        <w:t xml:space="preserve"> verwendeten Beispiele ergibt folgende Grafik</w:t>
      </w:r>
      <w:r w:rsidRPr="002505F7">
        <w:t>:</w:t>
      </w:r>
    </w:p>
    <w:p w:rsidR="002505F7" w:rsidRDefault="002505F7" w:rsidP="002505F7">
      <w:pPr>
        <w:pStyle w:val="Bilder"/>
      </w:pPr>
      <w:r>
        <w:rPr>
          <w:lang w:eastAsia="de-DE"/>
        </w:rPr>
        <w:drawing>
          <wp:inline distT="0" distB="0" distL="0" distR="0">
            <wp:extent cx="3615055" cy="246126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5055" cy="2461260"/>
                    </a:xfrm>
                    <a:prstGeom prst="rect">
                      <a:avLst/>
                    </a:prstGeom>
                    <a:noFill/>
                    <a:ln>
                      <a:noFill/>
                    </a:ln>
                  </pic:spPr>
                </pic:pic>
              </a:graphicData>
            </a:graphic>
          </wp:inline>
        </w:drawing>
      </w:r>
    </w:p>
    <w:p w:rsidR="002505F7" w:rsidRDefault="002505F7" w:rsidP="002505F7">
      <w:pPr>
        <w:pStyle w:val="Beschriftung"/>
      </w:pPr>
      <w:r>
        <w:t xml:space="preserve">Abb. </w:t>
      </w:r>
      <w:r w:rsidR="0023389E">
        <w:fldChar w:fldCharType="begin"/>
      </w:r>
      <w:r w:rsidR="0023389E">
        <w:instrText xml:space="preserve"> SEQ Abb. \* ARABIC </w:instrText>
      </w:r>
      <w:r w:rsidR="0023389E">
        <w:fldChar w:fldCharType="separate"/>
      </w:r>
      <w:r w:rsidR="0023389E">
        <w:rPr>
          <w:noProof/>
        </w:rPr>
        <w:t>1</w:t>
      </w:r>
      <w:r w:rsidR="0023389E">
        <w:rPr>
          <w:noProof/>
        </w:rPr>
        <w:fldChar w:fldCharType="end"/>
      </w:r>
      <w:r>
        <w:t>: Das Bindungsdreieck nach Jensen</w:t>
      </w:r>
    </w:p>
    <w:p w:rsidR="002505F7" w:rsidRPr="002505F7" w:rsidRDefault="002505F7" w:rsidP="002505F7">
      <w:pPr>
        <w:rPr>
          <w:rFonts w:ascii="Times New Roman" w:hAnsi="Times New Roman" w:cs="Times New Roman"/>
          <w:lang w:eastAsia="de-DE"/>
        </w:rPr>
      </w:pPr>
      <w:r w:rsidRPr="002505F7">
        <w:rPr>
          <w:lang w:eastAsia="de-DE"/>
        </w:rPr>
        <w:t>Die Bindungstypen bilden die Ecken des Dreiecks und die Schenkel stellen den fließenden Übergang zwischen ihnen dar.</w:t>
      </w:r>
    </w:p>
    <w:p w:rsidR="002505F7" w:rsidRDefault="002505F7" w:rsidP="002505F7">
      <w:pPr>
        <w:pStyle w:val="berschrift1"/>
      </w:pPr>
      <w:bookmarkStart w:id="5" w:name="_Toc46725983"/>
      <w:r>
        <w:t>Übergänge zwischen den Bindungsklassen</w:t>
      </w:r>
      <w:bookmarkEnd w:id="5"/>
    </w:p>
    <w:p w:rsidR="002505F7" w:rsidRPr="002505F7" w:rsidRDefault="002505F7" w:rsidP="002505F7">
      <w:r w:rsidRPr="002505F7">
        <w:t>Den Übergang zwischen metallischer und ionischer Bindung bilden die Zintl-Phasen. Zintl-Phasen sind Verbindungen, die sowohl ionische und auch kovalente Bindungen in einem Molekül aufweisen. Als Beispiele für die Übergänge werden Elemente der 3.</w:t>
      </w:r>
      <w:r>
        <w:t> </w:t>
      </w:r>
      <w:r w:rsidRPr="002505F7">
        <w:t>Periode verwendet, da die bisher verwendeten Elemente ausschließlich als Beispiele für die Bindungstypen verwendbar sind. Natriumsilicid (</w:t>
      </w:r>
      <w:proofErr w:type="spellStart"/>
      <w:r w:rsidRPr="002505F7">
        <w:t>NaSi</w:t>
      </w:r>
      <w:proofErr w:type="spellEnd"/>
      <w:r w:rsidRPr="002505F7">
        <w:t>) ist eine Zintl-Phase und in der Verbindung gibt Natrium ein Valenz</w:t>
      </w:r>
      <w:r>
        <w:t>-E</w:t>
      </w:r>
      <w:r w:rsidRPr="002505F7">
        <w:t>lektron an Silicium ab. Silicium besitzt nun fünf Valenz</w:t>
      </w:r>
      <w:r>
        <w:t>-E</w:t>
      </w:r>
      <w:r w:rsidRPr="002505F7">
        <w:t>lektronen. Das Silicid-Ion (Si</w:t>
      </w:r>
      <w:r w:rsidRPr="002505F7">
        <w:rPr>
          <w:vertAlign w:val="superscript"/>
        </w:rPr>
        <w:t>-</w:t>
      </w:r>
      <w:r w:rsidRPr="002505F7">
        <w:t>) ist jedoch instabil, da mit der Aufnahme eines Elektrons nicht die Edelgas</w:t>
      </w:r>
      <w:r>
        <w:t>-K</w:t>
      </w:r>
      <w:r w:rsidRPr="002505F7">
        <w:t>onfiguration erreichen werden kann. Es bildet sich in Analogie zum isoelektrischen Phosphor</w:t>
      </w:r>
      <w:r>
        <w:t>-A</w:t>
      </w:r>
      <w:r w:rsidRPr="002505F7">
        <w:t xml:space="preserve">tom ein Tetraeder aus </w:t>
      </w:r>
      <w:proofErr w:type="spellStart"/>
      <w:r w:rsidRPr="002505F7">
        <w:t>Tetrasilicid</w:t>
      </w:r>
      <w:proofErr w:type="spellEnd"/>
      <w:r w:rsidRPr="002505F7">
        <w:t>(4-)-Ionen (Si</w:t>
      </w:r>
      <w:r w:rsidRPr="002505F7">
        <w:rPr>
          <w:vertAlign w:val="subscript"/>
        </w:rPr>
        <w:t>4</w:t>
      </w:r>
      <w:r w:rsidRPr="002505F7">
        <w:rPr>
          <w:vertAlign w:val="superscript"/>
        </w:rPr>
        <w:t>4-</w:t>
      </w:r>
      <w:r w:rsidRPr="002505F7">
        <w:t xml:space="preserve">). Durch die </w:t>
      </w:r>
      <w:r w:rsidRPr="002505F7">
        <w:lastRenderedPageBreak/>
        <w:t>so hinzukommenden Elektronen der kovalenten Bindungen erlangt das Silicid-Ion Edelgas</w:t>
      </w:r>
      <w:r>
        <w:t>-K</w:t>
      </w:r>
      <w:r w:rsidRPr="002505F7">
        <w:t>onfiguration und damit Stabilität.</w:t>
      </w:r>
    </w:p>
    <w:p w:rsidR="002505F7" w:rsidRPr="002505F7" w:rsidRDefault="002505F7" w:rsidP="002505F7">
      <w:r w:rsidRPr="002505F7">
        <w:t>Der Übergang zwischen kovalenter und ionischer Bindung geht mit einer stetigen Steigerung der Elektronegativitätsdifferenz und damit einer zunehmenden Polarisierung der Bindung einher. Diese Form der Bindung wird als polare kovalente Bindung bezeichnet und das Siliciumtetrachlorid (SiCl</w:t>
      </w:r>
      <w:r w:rsidRPr="002505F7">
        <w:rPr>
          <w:vertAlign w:val="subscript"/>
        </w:rPr>
        <w:t>4</w:t>
      </w:r>
      <w:r w:rsidRPr="002505F7">
        <w:t>) ist ein Beispiel aus der 3.</w:t>
      </w:r>
      <w:r>
        <w:t> </w:t>
      </w:r>
      <w:r w:rsidRPr="002505F7">
        <w:t xml:space="preserve">Periode für diese Bindung. </w:t>
      </w:r>
    </w:p>
    <w:p w:rsidR="002505F7" w:rsidRDefault="002505F7" w:rsidP="002505F7">
      <w:r w:rsidRPr="002505F7">
        <w:t>Im Übergang zwischen kovalenter und metallischer Bindung sind Verbindungen zu finden, die als Halbleiter bezeichnet werden. Bei Halbleitern ist die Lücke zwischen Valenzband und Leitungsband geringer als bei Nichtleitern und größer als bei Metallen. Die Leitfähigkeit von Halbleitern wie Silicium (Si) nimmt mit steigender Temperatur zu.</w:t>
      </w:r>
    </w:p>
    <w:p w:rsidR="002505F7" w:rsidRPr="002505F7" w:rsidRDefault="002505F7" w:rsidP="002505F7">
      <w:pPr>
        <w:pStyle w:val="Zusammenfassung"/>
      </w:pPr>
      <w:r w:rsidRPr="002505F7">
        <w:rPr>
          <w:rStyle w:val="Fett"/>
        </w:rPr>
        <w:t>Zusammenfassung</w:t>
      </w:r>
      <w:r w:rsidRPr="002505F7">
        <w:t>:</w:t>
      </w:r>
    </w:p>
    <w:p w:rsidR="002505F7" w:rsidRPr="002505F7" w:rsidRDefault="002505F7" w:rsidP="002505F7">
      <w:pPr>
        <w:pStyle w:val="Zusammenfassung"/>
        <w:numPr>
          <w:ilvl w:val="2"/>
          <w:numId w:val="15"/>
        </w:numPr>
      </w:pPr>
      <w:r w:rsidRPr="002505F7">
        <w:t>Grenzfälle chemischer Bindung sind Ionen</w:t>
      </w:r>
      <w:r>
        <w:t>-B</w:t>
      </w:r>
      <w:r w:rsidRPr="002505F7">
        <w:t>indung, Metall</w:t>
      </w:r>
      <w:r>
        <w:t>-B</w:t>
      </w:r>
      <w:r w:rsidRPr="002505F7">
        <w:t>indung und kovalente Bindung.</w:t>
      </w:r>
    </w:p>
    <w:p w:rsidR="002505F7" w:rsidRPr="002505F7" w:rsidRDefault="002505F7" w:rsidP="002505F7">
      <w:pPr>
        <w:pStyle w:val="Zusammenfassung"/>
        <w:numPr>
          <w:ilvl w:val="2"/>
          <w:numId w:val="15"/>
        </w:numPr>
      </w:pPr>
      <w:r w:rsidRPr="002505F7">
        <w:t>Zwischen den Grenzfällen gibt es einen fließenden Übergang.</w:t>
      </w:r>
    </w:p>
    <w:p w:rsidR="002505F7" w:rsidRPr="002505F7" w:rsidRDefault="002505F7" w:rsidP="002505F7">
      <w:pPr>
        <w:pStyle w:val="Zusammenfassung"/>
        <w:numPr>
          <w:ilvl w:val="2"/>
          <w:numId w:val="15"/>
        </w:numPr>
      </w:pPr>
      <w:r w:rsidRPr="002505F7">
        <w:t>Das Bindungsdreieck veranschaulicht grafisch die Grenzfälle chemischer Bindung sowie die Übergänge.</w:t>
      </w:r>
    </w:p>
    <w:p w:rsidR="002505F7" w:rsidRPr="002505F7" w:rsidRDefault="002505F7" w:rsidP="002505F7">
      <w:pPr>
        <w:pStyle w:val="Zusammenfassung"/>
        <w:numPr>
          <w:ilvl w:val="2"/>
          <w:numId w:val="15"/>
        </w:numPr>
      </w:pPr>
      <w:r w:rsidRPr="002505F7">
        <w:t>Mit Hilfe der Elektro</w:t>
      </w:r>
      <w:r>
        <w:t>-N</w:t>
      </w:r>
      <w:r w:rsidRPr="002505F7">
        <w:t>egativität und dem Bindungsdreieck kann die Bindung und das Verhalten jeder Verbindung abgeschätzt werden.</w:t>
      </w:r>
    </w:p>
    <w:p w:rsidR="002505F7" w:rsidRPr="002505F7" w:rsidRDefault="002505F7" w:rsidP="002505F7">
      <w:pPr>
        <w:pStyle w:val="EinstiegAbschluss"/>
      </w:pPr>
      <w:r w:rsidRPr="002505F7">
        <w:rPr>
          <w:rStyle w:val="Fett"/>
        </w:rPr>
        <w:t>Abschluss</w:t>
      </w:r>
      <w:r w:rsidRPr="002505F7">
        <w:t>: Die Probe aus der Demonstration, die auf der Stoff</w:t>
      </w:r>
      <w:r>
        <w:t>-E</w:t>
      </w:r>
      <w:r w:rsidRPr="002505F7">
        <w:t>bene einem Metall glich, aber zerbrochen ist, war ein Halbleiter und somit auf der Teilchen-Ebene von einem Metall deutlich zu unterscheiden. Dieser Unterschied kann mit Hilfe des Bindungsdreiecks und den Elektronegativitätswerten ohne genaue Kenntnis aller Eigenschaften der Verbindung abgeschätzt werden.</w:t>
      </w:r>
    </w:p>
    <w:p w:rsidR="00931B30" w:rsidRPr="000E61E0" w:rsidRDefault="00931B30" w:rsidP="00931B30">
      <w:pPr>
        <w:rPr>
          <w:b/>
          <w:bCs/>
        </w:rPr>
      </w:pPr>
      <w:r w:rsidRPr="000E61E0">
        <w:rPr>
          <w:b/>
          <w:bCs/>
        </w:rPr>
        <w:t>Quellen:</w:t>
      </w:r>
    </w:p>
    <w:p w:rsidR="002505F7" w:rsidRPr="0023389E" w:rsidRDefault="002505F7" w:rsidP="002505F7">
      <w:pPr>
        <w:pStyle w:val="AufzhlungStandard"/>
        <w:rPr>
          <w:lang w:val="en-US" w:eastAsia="de-DE"/>
        </w:rPr>
      </w:pPr>
      <w:r w:rsidRPr="0023389E">
        <w:rPr>
          <w:lang w:val="en-US" w:eastAsia="de-DE"/>
        </w:rPr>
        <w:t>Jensen, William B.; Journal of Chemical Education, Volume 72, May 1995, 395-398.</w:t>
      </w:r>
    </w:p>
    <w:p w:rsidR="002505F7" w:rsidRPr="002505F7" w:rsidRDefault="002505F7" w:rsidP="002505F7">
      <w:pPr>
        <w:pStyle w:val="AufzhlungStandard"/>
        <w:rPr>
          <w:lang w:eastAsia="de-DE"/>
        </w:rPr>
      </w:pPr>
      <w:proofErr w:type="spellStart"/>
      <w:r w:rsidRPr="002505F7">
        <w:rPr>
          <w:lang w:eastAsia="de-DE"/>
        </w:rPr>
        <w:t>Holleman</w:t>
      </w:r>
      <w:proofErr w:type="spellEnd"/>
      <w:r w:rsidRPr="002505F7">
        <w:rPr>
          <w:lang w:eastAsia="de-DE"/>
        </w:rPr>
        <w:t xml:space="preserve">, A.; Wiberg, N.: Lehrbuch der Anorganischen Chemie, </w:t>
      </w:r>
      <w:proofErr w:type="spellStart"/>
      <w:r w:rsidRPr="002505F7">
        <w:rPr>
          <w:lang w:eastAsia="de-DE"/>
        </w:rPr>
        <w:t>DeGruyter</w:t>
      </w:r>
      <w:proofErr w:type="spellEnd"/>
      <w:r w:rsidRPr="002505F7">
        <w:rPr>
          <w:lang w:eastAsia="de-DE"/>
        </w:rPr>
        <w:t>, Berlin 2007.</w:t>
      </w:r>
    </w:p>
    <w:p w:rsidR="002505F7" w:rsidRPr="002505F7" w:rsidRDefault="002505F7" w:rsidP="002505F7">
      <w:pPr>
        <w:pStyle w:val="AufzhlungStandard"/>
        <w:rPr>
          <w:lang w:eastAsia="de-DE"/>
        </w:rPr>
      </w:pPr>
      <w:r w:rsidRPr="002505F7">
        <w:rPr>
          <w:lang w:eastAsia="de-DE"/>
        </w:rPr>
        <w:t>Binnewies, M.; Jäckel, M.; u.a.; Allgemeine und Anorganische Chemie, Spektrum Akademischer Verlag, Heidelberg 2011.</w:t>
      </w:r>
    </w:p>
    <w:p w:rsidR="002505F7" w:rsidRPr="0023389E" w:rsidRDefault="002505F7" w:rsidP="002505F7">
      <w:pPr>
        <w:pStyle w:val="AufzhlungStandard"/>
        <w:rPr>
          <w:lang w:val="en-US" w:eastAsia="de-DE"/>
        </w:rPr>
      </w:pPr>
      <w:r w:rsidRPr="0023389E">
        <w:rPr>
          <w:lang w:val="en-US" w:eastAsia="de-DE"/>
        </w:rPr>
        <w:t>Meek, Terry L.; Journal of Chemical Education, Volume 82, February 2005, 325-333.</w:t>
      </w:r>
    </w:p>
    <w:sectPr w:rsidR="002505F7" w:rsidRPr="0023389E" w:rsidSect="00931B30">
      <w:footerReference w:type="default" r:id="rId1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D7" w:rsidRDefault="00945ED7" w:rsidP="005A7DCE">
      <w:pPr>
        <w:spacing w:before="0"/>
      </w:pPr>
      <w:r>
        <w:separator/>
      </w:r>
    </w:p>
  </w:endnote>
  <w:endnote w:type="continuationSeparator" w:id="0">
    <w:p w:rsidR="00945ED7" w:rsidRDefault="00945ED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23389E">
          <w:rPr>
            <w:noProof/>
          </w:rPr>
          <w:t>2</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D7" w:rsidRDefault="00945ED7" w:rsidP="005A7DCE">
      <w:pPr>
        <w:spacing w:before="0"/>
      </w:pPr>
      <w:r>
        <w:separator/>
      </w:r>
    </w:p>
  </w:footnote>
  <w:footnote w:type="continuationSeparator" w:id="0">
    <w:p w:rsidR="00945ED7" w:rsidRDefault="00945ED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3AF4831"/>
    <w:multiLevelType w:val="multilevel"/>
    <w:tmpl w:val="6CF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AFA4F07"/>
    <w:multiLevelType w:val="multilevel"/>
    <w:tmpl w:val="FD88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6"/>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3389E"/>
    <w:rsid w:val="002505F7"/>
    <w:rsid w:val="0033663A"/>
    <w:rsid w:val="0036111E"/>
    <w:rsid w:val="003E2088"/>
    <w:rsid w:val="004D0FAE"/>
    <w:rsid w:val="005633FE"/>
    <w:rsid w:val="0058690D"/>
    <w:rsid w:val="005A7DCE"/>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B3D3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table" w:styleId="Tabellenraster">
    <w:name w:val="Table Grid"/>
    <w:basedOn w:val="NormaleTabelle"/>
    <w:uiPriority w:val="39"/>
    <w:rsid w:val="0025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505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85081">
      <w:bodyDiv w:val="1"/>
      <w:marLeft w:val="0"/>
      <w:marRight w:val="0"/>
      <w:marTop w:val="0"/>
      <w:marBottom w:val="0"/>
      <w:divBdr>
        <w:top w:val="none" w:sz="0" w:space="0" w:color="auto"/>
        <w:left w:val="none" w:sz="0" w:space="0" w:color="auto"/>
        <w:bottom w:val="none" w:sz="0" w:space="0" w:color="auto"/>
        <w:right w:val="none" w:sz="0" w:space="0" w:color="auto"/>
      </w:divBdr>
    </w:div>
    <w:div w:id="638076943">
      <w:bodyDiv w:val="1"/>
      <w:marLeft w:val="0"/>
      <w:marRight w:val="0"/>
      <w:marTop w:val="0"/>
      <w:marBottom w:val="0"/>
      <w:divBdr>
        <w:top w:val="none" w:sz="0" w:space="0" w:color="auto"/>
        <w:left w:val="none" w:sz="0" w:space="0" w:color="auto"/>
        <w:bottom w:val="none" w:sz="0" w:space="0" w:color="auto"/>
        <w:right w:val="none" w:sz="0" w:space="0" w:color="auto"/>
      </w:divBdr>
    </w:div>
    <w:div w:id="671882492">
      <w:bodyDiv w:val="1"/>
      <w:marLeft w:val="0"/>
      <w:marRight w:val="0"/>
      <w:marTop w:val="0"/>
      <w:marBottom w:val="0"/>
      <w:divBdr>
        <w:top w:val="none" w:sz="0" w:space="0" w:color="auto"/>
        <w:left w:val="none" w:sz="0" w:space="0" w:color="auto"/>
        <w:bottom w:val="none" w:sz="0" w:space="0" w:color="auto"/>
        <w:right w:val="none" w:sz="0" w:space="0" w:color="auto"/>
      </w:divBdr>
    </w:div>
    <w:div w:id="717899647">
      <w:bodyDiv w:val="1"/>
      <w:marLeft w:val="0"/>
      <w:marRight w:val="0"/>
      <w:marTop w:val="0"/>
      <w:marBottom w:val="0"/>
      <w:divBdr>
        <w:top w:val="none" w:sz="0" w:space="0" w:color="auto"/>
        <w:left w:val="none" w:sz="0" w:space="0" w:color="auto"/>
        <w:bottom w:val="none" w:sz="0" w:space="0" w:color="auto"/>
        <w:right w:val="none" w:sz="0" w:space="0" w:color="auto"/>
      </w:divBdr>
    </w:div>
    <w:div w:id="897015618">
      <w:bodyDiv w:val="1"/>
      <w:marLeft w:val="0"/>
      <w:marRight w:val="0"/>
      <w:marTop w:val="0"/>
      <w:marBottom w:val="0"/>
      <w:divBdr>
        <w:top w:val="none" w:sz="0" w:space="0" w:color="auto"/>
        <w:left w:val="none" w:sz="0" w:space="0" w:color="auto"/>
        <w:bottom w:val="none" w:sz="0" w:space="0" w:color="auto"/>
        <w:right w:val="none" w:sz="0" w:space="0" w:color="auto"/>
      </w:divBdr>
    </w:div>
    <w:div w:id="1717045102">
      <w:bodyDiv w:val="1"/>
      <w:marLeft w:val="0"/>
      <w:marRight w:val="0"/>
      <w:marTop w:val="0"/>
      <w:marBottom w:val="0"/>
      <w:divBdr>
        <w:top w:val="none" w:sz="0" w:space="0" w:color="auto"/>
        <w:left w:val="none" w:sz="0" w:space="0" w:color="auto"/>
        <w:bottom w:val="none" w:sz="0" w:space="0" w:color="auto"/>
        <w:right w:val="none" w:sz="0" w:space="0" w:color="auto"/>
      </w:divBdr>
    </w:div>
    <w:div w:id="1784302350">
      <w:bodyDiv w:val="1"/>
      <w:marLeft w:val="0"/>
      <w:marRight w:val="0"/>
      <w:marTop w:val="0"/>
      <w:marBottom w:val="0"/>
      <w:divBdr>
        <w:top w:val="none" w:sz="0" w:space="0" w:color="auto"/>
        <w:left w:val="none" w:sz="0" w:space="0" w:color="auto"/>
        <w:bottom w:val="none" w:sz="0" w:space="0" w:color="auto"/>
        <w:right w:val="none" w:sz="0" w:space="0" w:color="auto"/>
      </w:divBdr>
    </w:div>
    <w:div w:id="20756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4236-6C6D-49DA-AD4C-B838FFB3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83C28570.dotm</Template>
  <TotalTime>0</TotalTime>
  <Pages>3</Pages>
  <Words>799</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2020-07-31T10:53:00Z</cp:lastPrinted>
  <dcterms:created xsi:type="dcterms:W3CDTF">2020-07-27T04:50:00Z</dcterms:created>
  <dcterms:modified xsi:type="dcterms:W3CDTF">2020-07-31T10:53:00Z</dcterms:modified>
</cp:coreProperties>
</file>