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8737B7" w:rsidRDefault="00E8473B" w:rsidP="008737B7">
      <w:pPr>
        <w:pStyle w:val="Seminar"/>
      </w:pPr>
      <w:r w:rsidRPr="008737B7">
        <w:t>Seminar</w:t>
      </w:r>
      <w:r w:rsidR="00FD7888" w:rsidRPr="008737B7">
        <w:t xml:space="preserve"> „Übungen im Vortragen – AC“</w:t>
      </w:r>
    </w:p>
    <w:p w:rsidR="00E8473B" w:rsidRDefault="008737B7" w:rsidP="005633FE">
      <w:pPr>
        <w:pStyle w:val="Titel"/>
      </w:pPr>
      <w:r>
        <w:t>Aufschlüsse in der</w:t>
      </w:r>
      <w:r>
        <w:br/>
        <w:t>analytischen Chemie</w:t>
      </w:r>
    </w:p>
    <w:p w:rsidR="00E8473B" w:rsidRDefault="008737B7" w:rsidP="00E8473B">
      <w:pPr>
        <w:pStyle w:val="Autor"/>
      </w:pPr>
      <w:r>
        <w:t xml:space="preserve">Juliane </w:t>
      </w:r>
      <w:proofErr w:type="spellStart"/>
      <w:r>
        <w:t>Maderegger</w:t>
      </w:r>
      <w:proofErr w:type="spellEnd"/>
      <w:r>
        <w:t>, WS 98/99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895E4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895E43" w:rsidRPr="00EF2860">
            <w:rPr>
              <w:rStyle w:val="Hyperlink"/>
              <w:noProof/>
            </w:rPr>
            <w:fldChar w:fldCharType="begin"/>
          </w:r>
          <w:r w:rsidR="00895E43" w:rsidRPr="00EF2860">
            <w:rPr>
              <w:rStyle w:val="Hyperlink"/>
              <w:noProof/>
            </w:rPr>
            <w:instrText xml:space="preserve"> </w:instrText>
          </w:r>
          <w:r w:rsidR="00895E43">
            <w:rPr>
              <w:noProof/>
            </w:rPr>
            <w:instrText>HYPERLINK \l "_Toc47091093"</w:instrText>
          </w:r>
          <w:r w:rsidR="00895E43" w:rsidRPr="00EF2860">
            <w:rPr>
              <w:rStyle w:val="Hyperlink"/>
              <w:noProof/>
            </w:rPr>
            <w:instrText xml:space="preserve"> </w:instrText>
          </w:r>
          <w:r w:rsidR="00895E43" w:rsidRPr="00EF2860">
            <w:rPr>
              <w:rStyle w:val="Hyperlink"/>
              <w:noProof/>
            </w:rPr>
          </w:r>
          <w:r w:rsidR="00895E43" w:rsidRPr="00EF2860">
            <w:rPr>
              <w:rStyle w:val="Hyperlink"/>
              <w:noProof/>
            </w:rPr>
            <w:fldChar w:fldCharType="separate"/>
          </w:r>
          <w:r w:rsidR="00895E43" w:rsidRPr="00EF2860">
            <w:rPr>
              <w:rStyle w:val="Hyperlink"/>
              <w:noProof/>
            </w:rPr>
            <w:t>1</w:t>
          </w:r>
          <w:r w:rsidR="00895E43">
            <w:rPr>
              <w:rFonts w:asciiTheme="minorHAnsi" w:eastAsiaTheme="minorEastAsia" w:hAnsiTheme="minorHAnsi"/>
              <w:noProof/>
              <w:sz w:val="22"/>
              <w:lang w:eastAsia="de-DE"/>
            </w:rPr>
            <w:tab/>
          </w:r>
          <w:r w:rsidR="00895E43" w:rsidRPr="00EF2860">
            <w:rPr>
              <w:rStyle w:val="Hyperlink"/>
              <w:noProof/>
            </w:rPr>
            <w:t>Definition</w:t>
          </w:r>
          <w:r w:rsidR="00895E43">
            <w:rPr>
              <w:noProof/>
              <w:webHidden/>
            </w:rPr>
            <w:tab/>
          </w:r>
          <w:r w:rsidR="00895E43">
            <w:rPr>
              <w:noProof/>
              <w:webHidden/>
            </w:rPr>
            <w:fldChar w:fldCharType="begin"/>
          </w:r>
          <w:r w:rsidR="00895E43">
            <w:rPr>
              <w:noProof/>
              <w:webHidden/>
            </w:rPr>
            <w:instrText xml:space="preserve"> PAGEREF _Toc47091093 \h </w:instrText>
          </w:r>
          <w:r w:rsidR="00895E43">
            <w:rPr>
              <w:noProof/>
              <w:webHidden/>
            </w:rPr>
          </w:r>
          <w:r w:rsidR="00895E43">
            <w:rPr>
              <w:noProof/>
              <w:webHidden/>
            </w:rPr>
            <w:fldChar w:fldCharType="separate"/>
          </w:r>
          <w:r w:rsidR="00895E43">
            <w:rPr>
              <w:noProof/>
              <w:webHidden/>
            </w:rPr>
            <w:t>2</w:t>
          </w:r>
          <w:r w:rsidR="00895E43">
            <w:rPr>
              <w:noProof/>
              <w:webHidden/>
            </w:rPr>
            <w:fldChar w:fldCharType="end"/>
          </w:r>
          <w:r w:rsidR="00895E43" w:rsidRPr="00EF2860">
            <w:rPr>
              <w:rStyle w:val="Hyperlink"/>
              <w:noProof/>
            </w:rPr>
            <w:fldChar w:fldCharType="end"/>
          </w:r>
        </w:p>
        <w:p w:rsidR="00895E43" w:rsidRDefault="00895E43">
          <w:pPr>
            <w:pStyle w:val="Verzeichnis1"/>
            <w:tabs>
              <w:tab w:val="left" w:pos="480"/>
              <w:tab w:val="right" w:leader="dot" w:pos="9344"/>
            </w:tabs>
            <w:rPr>
              <w:rFonts w:asciiTheme="minorHAnsi" w:eastAsiaTheme="minorEastAsia" w:hAnsiTheme="minorHAnsi"/>
              <w:noProof/>
              <w:sz w:val="22"/>
              <w:lang w:eastAsia="de-DE"/>
            </w:rPr>
          </w:pPr>
          <w:hyperlink w:anchor="_Toc47091094" w:history="1">
            <w:r w:rsidRPr="00EF2860">
              <w:rPr>
                <w:rStyle w:val="Hyperlink"/>
                <w:noProof/>
              </w:rPr>
              <w:t>2</w:t>
            </w:r>
            <w:r>
              <w:rPr>
                <w:rFonts w:asciiTheme="minorHAnsi" w:eastAsiaTheme="minorEastAsia" w:hAnsiTheme="minorHAnsi"/>
                <w:noProof/>
                <w:sz w:val="22"/>
                <w:lang w:eastAsia="de-DE"/>
              </w:rPr>
              <w:tab/>
            </w:r>
            <w:r w:rsidRPr="00EF2860">
              <w:rPr>
                <w:rStyle w:val="Hyperlink"/>
                <w:noProof/>
              </w:rPr>
              <w:t>Aufschluss organischer Verbindungen durch Verbrennung:</w:t>
            </w:r>
            <w:r>
              <w:rPr>
                <w:noProof/>
                <w:webHidden/>
              </w:rPr>
              <w:tab/>
            </w:r>
            <w:r>
              <w:rPr>
                <w:noProof/>
                <w:webHidden/>
              </w:rPr>
              <w:fldChar w:fldCharType="begin"/>
            </w:r>
            <w:r>
              <w:rPr>
                <w:noProof/>
                <w:webHidden/>
              </w:rPr>
              <w:instrText xml:space="preserve"> PAGEREF _Toc47091094 \h </w:instrText>
            </w:r>
            <w:r>
              <w:rPr>
                <w:noProof/>
                <w:webHidden/>
              </w:rPr>
            </w:r>
            <w:r>
              <w:rPr>
                <w:noProof/>
                <w:webHidden/>
              </w:rPr>
              <w:fldChar w:fldCharType="separate"/>
            </w:r>
            <w:r>
              <w:rPr>
                <w:noProof/>
                <w:webHidden/>
              </w:rPr>
              <w:t>2</w:t>
            </w:r>
            <w:r>
              <w:rPr>
                <w:noProof/>
                <w:webHidden/>
              </w:rPr>
              <w:fldChar w:fldCharType="end"/>
            </w:r>
          </w:hyperlink>
        </w:p>
        <w:p w:rsidR="00895E43" w:rsidRDefault="00895E43">
          <w:pPr>
            <w:pStyle w:val="Verzeichnis2"/>
            <w:tabs>
              <w:tab w:val="left" w:pos="880"/>
              <w:tab w:val="right" w:leader="dot" w:pos="9344"/>
            </w:tabs>
            <w:rPr>
              <w:rFonts w:asciiTheme="minorHAnsi" w:eastAsiaTheme="minorEastAsia" w:hAnsiTheme="minorHAnsi"/>
              <w:noProof/>
              <w:sz w:val="22"/>
              <w:lang w:eastAsia="de-DE"/>
            </w:rPr>
          </w:pPr>
          <w:hyperlink w:anchor="_Toc47091095" w:history="1">
            <w:r w:rsidRPr="00EF2860">
              <w:rPr>
                <w:rStyle w:val="Hyperlink"/>
                <w:noProof/>
              </w:rPr>
              <w:t>2.1</w:t>
            </w:r>
            <w:r>
              <w:rPr>
                <w:rFonts w:asciiTheme="minorHAnsi" w:eastAsiaTheme="minorEastAsia" w:hAnsiTheme="minorHAnsi"/>
                <w:noProof/>
                <w:sz w:val="22"/>
                <w:lang w:eastAsia="de-DE"/>
              </w:rPr>
              <w:tab/>
            </w:r>
            <w:r w:rsidRPr="00EF2860">
              <w:rPr>
                <w:rStyle w:val="Hyperlink"/>
                <w:noProof/>
              </w:rPr>
              <w:t>Aufschluss im Schöniger-Kolben</w:t>
            </w:r>
            <w:r>
              <w:rPr>
                <w:noProof/>
                <w:webHidden/>
              </w:rPr>
              <w:tab/>
            </w:r>
            <w:r>
              <w:rPr>
                <w:noProof/>
                <w:webHidden/>
              </w:rPr>
              <w:fldChar w:fldCharType="begin"/>
            </w:r>
            <w:r>
              <w:rPr>
                <w:noProof/>
                <w:webHidden/>
              </w:rPr>
              <w:instrText xml:space="preserve"> PAGEREF _Toc47091095 \h </w:instrText>
            </w:r>
            <w:r>
              <w:rPr>
                <w:noProof/>
                <w:webHidden/>
              </w:rPr>
            </w:r>
            <w:r>
              <w:rPr>
                <w:noProof/>
                <w:webHidden/>
              </w:rPr>
              <w:fldChar w:fldCharType="separate"/>
            </w:r>
            <w:r>
              <w:rPr>
                <w:noProof/>
                <w:webHidden/>
              </w:rPr>
              <w:t>2</w:t>
            </w:r>
            <w:r>
              <w:rPr>
                <w:noProof/>
                <w:webHidden/>
              </w:rPr>
              <w:fldChar w:fldCharType="end"/>
            </w:r>
          </w:hyperlink>
        </w:p>
        <w:p w:rsidR="00895E43" w:rsidRDefault="00895E43">
          <w:pPr>
            <w:pStyle w:val="Verzeichnis2"/>
            <w:tabs>
              <w:tab w:val="left" w:pos="880"/>
              <w:tab w:val="right" w:leader="dot" w:pos="9344"/>
            </w:tabs>
            <w:rPr>
              <w:rFonts w:asciiTheme="minorHAnsi" w:eastAsiaTheme="minorEastAsia" w:hAnsiTheme="minorHAnsi"/>
              <w:noProof/>
              <w:sz w:val="22"/>
              <w:lang w:eastAsia="de-DE"/>
            </w:rPr>
          </w:pPr>
          <w:hyperlink w:anchor="_Toc47091096" w:history="1">
            <w:r w:rsidRPr="00EF2860">
              <w:rPr>
                <w:rStyle w:val="Hyperlink"/>
                <w:noProof/>
              </w:rPr>
              <w:t>2.2</w:t>
            </w:r>
            <w:r>
              <w:rPr>
                <w:rFonts w:asciiTheme="minorHAnsi" w:eastAsiaTheme="minorEastAsia" w:hAnsiTheme="minorHAnsi"/>
                <w:noProof/>
                <w:sz w:val="22"/>
                <w:lang w:eastAsia="de-DE"/>
              </w:rPr>
              <w:tab/>
            </w:r>
            <w:r w:rsidRPr="00EF2860">
              <w:rPr>
                <w:rStyle w:val="Hyperlink"/>
                <w:noProof/>
              </w:rPr>
              <w:t>Mikro-Analyse: Aufschluss in strömenden Gasen</w:t>
            </w:r>
            <w:r>
              <w:rPr>
                <w:noProof/>
                <w:webHidden/>
              </w:rPr>
              <w:tab/>
            </w:r>
            <w:r>
              <w:rPr>
                <w:noProof/>
                <w:webHidden/>
              </w:rPr>
              <w:fldChar w:fldCharType="begin"/>
            </w:r>
            <w:r>
              <w:rPr>
                <w:noProof/>
                <w:webHidden/>
              </w:rPr>
              <w:instrText xml:space="preserve"> PAGEREF _Toc47091096 \h </w:instrText>
            </w:r>
            <w:r>
              <w:rPr>
                <w:noProof/>
                <w:webHidden/>
              </w:rPr>
            </w:r>
            <w:r>
              <w:rPr>
                <w:noProof/>
                <w:webHidden/>
              </w:rPr>
              <w:fldChar w:fldCharType="separate"/>
            </w:r>
            <w:r>
              <w:rPr>
                <w:noProof/>
                <w:webHidden/>
              </w:rPr>
              <w:t>3</w:t>
            </w:r>
            <w:r>
              <w:rPr>
                <w:noProof/>
                <w:webHidden/>
              </w:rPr>
              <w:fldChar w:fldCharType="end"/>
            </w:r>
          </w:hyperlink>
        </w:p>
        <w:p w:rsidR="00895E43" w:rsidRDefault="00895E43">
          <w:pPr>
            <w:pStyle w:val="Verzeichnis1"/>
            <w:tabs>
              <w:tab w:val="left" w:pos="480"/>
              <w:tab w:val="right" w:leader="dot" w:pos="9344"/>
            </w:tabs>
            <w:rPr>
              <w:rFonts w:asciiTheme="minorHAnsi" w:eastAsiaTheme="minorEastAsia" w:hAnsiTheme="minorHAnsi"/>
              <w:noProof/>
              <w:sz w:val="22"/>
              <w:lang w:eastAsia="de-DE"/>
            </w:rPr>
          </w:pPr>
          <w:hyperlink w:anchor="_Toc47091097" w:history="1">
            <w:r w:rsidRPr="00EF2860">
              <w:rPr>
                <w:rStyle w:val="Hyperlink"/>
                <w:noProof/>
              </w:rPr>
              <w:t>3</w:t>
            </w:r>
            <w:r>
              <w:rPr>
                <w:rFonts w:asciiTheme="minorHAnsi" w:eastAsiaTheme="minorEastAsia" w:hAnsiTheme="minorHAnsi"/>
                <w:noProof/>
                <w:sz w:val="22"/>
                <w:lang w:eastAsia="de-DE"/>
              </w:rPr>
              <w:tab/>
            </w:r>
            <w:r w:rsidRPr="00EF2860">
              <w:rPr>
                <w:rStyle w:val="Hyperlink"/>
                <w:noProof/>
              </w:rPr>
              <w:t>Aufschluss anorganischer Substanzen in Schmelzen:</w:t>
            </w:r>
            <w:r>
              <w:rPr>
                <w:noProof/>
                <w:webHidden/>
              </w:rPr>
              <w:tab/>
            </w:r>
            <w:r>
              <w:rPr>
                <w:noProof/>
                <w:webHidden/>
              </w:rPr>
              <w:fldChar w:fldCharType="begin"/>
            </w:r>
            <w:r>
              <w:rPr>
                <w:noProof/>
                <w:webHidden/>
              </w:rPr>
              <w:instrText xml:space="preserve"> PAGEREF _Toc47091097 \h </w:instrText>
            </w:r>
            <w:r>
              <w:rPr>
                <w:noProof/>
                <w:webHidden/>
              </w:rPr>
            </w:r>
            <w:r>
              <w:rPr>
                <w:noProof/>
                <w:webHidden/>
              </w:rPr>
              <w:fldChar w:fldCharType="separate"/>
            </w:r>
            <w:r>
              <w:rPr>
                <w:noProof/>
                <w:webHidden/>
              </w:rPr>
              <w:t>4</w:t>
            </w:r>
            <w:r>
              <w:rPr>
                <w:noProof/>
                <w:webHidden/>
              </w:rPr>
              <w:fldChar w:fldCharType="end"/>
            </w:r>
          </w:hyperlink>
        </w:p>
        <w:p w:rsidR="00895E43" w:rsidRDefault="00895E43">
          <w:pPr>
            <w:pStyle w:val="Verzeichnis2"/>
            <w:tabs>
              <w:tab w:val="left" w:pos="880"/>
              <w:tab w:val="right" w:leader="dot" w:pos="9344"/>
            </w:tabs>
            <w:rPr>
              <w:rFonts w:asciiTheme="minorHAnsi" w:eastAsiaTheme="minorEastAsia" w:hAnsiTheme="minorHAnsi"/>
              <w:noProof/>
              <w:sz w:val="22"/>
              <w:lang w:eastAsia="de-DE"/>
            </w:rPr>
          </w:pPr>
          <w:hyperlink w:anchor="_Toc47091098" w:history="1">
            <w:r w:rsidRPr="00EF2860">
              <w:rPr>
                <w:rStyle w:val="Hyperlink"/>
                <w:noProof/>
              </w:rPr>
              <w:t>3.1</w:t>
            </w:r>
            <w:r>
              <w:rPr>
                <w:rFonts w:asciiTheme="minorHAnsi" w:eastAsiaTheme="minorEastAsia" w:hAnsiTheme="minorHAnsi"/>
                <w:noProof/>
                <w:sz w:val="22"/>
                <w:lang w:eastAsia="de-DE"/>
              </w:rPr>
              <w:tab/>
            </w:r>
            <w:r w:rsidRPr="00EF2860">
              <w:rPr>
                <w:rStyle w:val="Hyperlink"/>
                <w:noProof/>
              </w:rPr>
              <w:t>Oxidationsschmelze als Beispiel eines Redox-Aufschlusses:</w:t>
            </w:r>
            <w:r>
              <w:rPr>
                <w:noProof/>
                <w:webHidden/>
              </w:rPr>
              <w:tab/>
            </w:r>
            <w:r>
              <w:rPr>
                <w:noProof/>
                <w:webHidden/>
              </w:rPr>
              <w:fldChar w:fldCharType="begin"/>
            </w:r>
            <w:r>
              <w:rPr>
                <w:noProof/>
                <w:webHidden/>
              </w:rPr>
              <w:instrText xml:space="preserve"> PAGEREF _Toc47091098 \h </w:instrText>
            </w:r>
            <w:r>
              <w:rPr>
                <w:noProof/>
                <w:webHidden/>
              </w:rPr>
            </w:r>
            <w:r>
              <w:rPr>
                <w:noProof/>
                <w:webHidden/>
              </w:rPr>
              <w:fldChar w:fldCharType="separate"/>
            </w:r>
            <w:r>
              <w:rPr>
                <w:noProof/>
                <w:webHidden/>
              </w:rPr>
              <w:t>4</w:t>
            </w:r>
            <w:r>
              <w:rPr>
                <w:noProof/>
                <w:webHidden/>
              </w:rPr>
              <w:fldChar w:fldCharType="end"/>
            </w:r>
          </w:hyperlink>
        </w:p>
        <w:p w:rsidR="00895E43" w:rsidRDefault="00895E43">
          <w:pPr>
            <w:pStyle w:val="Verzeichnis2"/>
            <w:tabs>
              <w:tab w:val="left" w:pos="880"/>
              <w:tab w:val="right" w:leader="dot" w:pos="9344"/>
            </w:tabs>
            <w:rPr>
              <w:rFonts w:asciiTheme="minorHAnsi" w:eastAsiaTheme="minorEastAsia" w:hAnsiTheme="minorHAnsi"/>
              <w:noProof/>
              <w:sz w:val="22"/>
              <w:lang w:eastAsia="de-DE"/>
            </w:rPr>
          </w:pPr>
          <w:hyperlink w:anchor="_Toc47091099" w:history="1">
            <w:r w:rsidRPr="00EF2860">
              <w:rPr>
                <w:rStyle w:val="Hyperlink"/>
                <w:noProof/>
              </w:rPr>
              <w:t>3.2</w:t>
            </w:r>
            <w:r>
              <w:rPr>
                <w:rFonts w:asciiTheme="minorHAnsi" w:eastAsiaTheme="minorEastAsia" w:hAnsiTheme="minorHAnsi"/>
                <w:noProof/>
                <w:sz w:val="22"/>
                <w:lang w:eastAsia="de-DE"/>
              </w:rPr>
              <w:tab/>
            </w:r>
            <w:r w:rsidRPr="00EF2860">
              <w:rPr>
                <w:rStyle w:val="Hyperlink"/>
                <w:noProof/>
              </w:rPr>
              <w:t>Soda-Pottasche-Aufschluss</w:t>
            </w:r>
            <w:r>
              <w:rPr>
                <w:noProof/>
                <w:webHidden/>
              </w:rPr>
              <w:tab/>
            </w:r>
            <w:r>
              <w:rPr>
                <w:noProof/>
                <w:webHidden/>
              </w:rPr>
              <w:fldChar w:fldCharType="begin"/>
            </w:r>
            <w:r>
              <w:rPr>
                <w:noProof/>
                <w:webHidden/>
              </w:rPr>
              <w:instrText xml:space="preserve"> PAGEREF _Toc47091099 \h </w:instrText>
            </w:r>
            <w:r>
              <w:rPr>
                <w:noProof/>
                <w:webHidden/>
              </w:rPr>
            </w:r>
            <w:r>
              <w:rPr>
                <w:noProof/>
                <w:webHidden/>
              </w:rPr>
              <w:fldChar w:fldCharType="separate"/>
            </w:r>
            <w:r>
              <w:rPr>
                <w:noProof/>
                <w:webHidden/>
              </w:rPr>
              <w:t>5</w:t>
            </w:r>
            <w:r>
              <w:rPr>
                <w:noProof/>
                <w:webHidden/>
              </w:rPr>
              <w:fldChar w:fldCharType="end"/>
            </w:r>
          </w:hyperlink>
        </w:p>
        <w:p w:rsidR="00895E43" w:rsidRDefault="00895E43">
          <w:pPr>
            <w:pStyle w:val="Verzeichnis1"/>
            <w:tabs>
              <w:tab w:val="left" w:pos="480"/>
              <w:tab w:val="right" w:leader="dot" w:pos="9344"/>
            </w:tabs>
            <w:rPr>
              <w:rFonts w:asciiTheme="minorHAnsi" w:eastAsiaTheme="minorEastAsia" w:hAnsiTheme="minorHAnsi"/>
              <w:noProof/>
              <w:sz w:val="22"/>
              <w:lang w:eastAsia="de-DE"/>
            </w:rPr>
          </w:pPr>
          <w:hyperlink w:anchor="_Toc47091100" w:history="1">
            <w:r w:rsidRPr="00EF2860">
              <w:rPr>
                <w:rStyle w:val="Hyperlink"/>
                <w:noProof/>
              </w:rPr>
              <w:t>4</w:t>
            </w:r>
            <w:r>
              <w:rPr>
                <w:rFonts w:asciiTheme="minorHAnsi" w:eastAsiaTheme="minorEastAsia" w:hAnsiTheme="minorHAnsi"/>
                <w:noProof/>
                <w:sz w:val="22"/>
                <w:lang w:eastAsia="de-DE"/>
              </w:rPr>
              <w:tab/>
            </w:r>
            <w:r w:rsidRPr="00EF2860">
              <w:rPr>
                <w:rStyle w:val="Hyperlink"/>
                <w:noProof/>
              </w:rPr>
              <w:t>Durch Mikrowellen unterstützter Aufschluss</w:t>
            </w:r>
            <w:r>
              <w:rPr>
                <w:noProof/>
                <w:webHidden/>
              </w:rPr>
              <w:tab/>
            </w:r>
            <w:r>
              <w:rPr>
                <w:noProof/>
                <w:webHidden/>
              </w:rPr>
              <w:fldChar w:fldCharType="begin"/>
            </w:r>
            <w:r>
              <w:rPr>
                <w:noProof/>
                <w:webHidden/>
              </w:rPr>
              <w:instrText xml:space="preserve"> PAGEREF _Toc47091100 \h </w:instrText>
            </w:r>
            <w:r>
              <w:rPr>
                <w:noProof/>
                <w:webHidden/>
              </w:rPr>
            </w:r>
            <w:r>
              <w:rPr>
                <w:noProof/>
                <w:webHidden/>
              </w:rPr>
              <w:fldChar w:fldCharType="separate"/>
            </w:r>
            <w:r>
              <w:rPr>
                <w:noProof/>
                <w:webHidden/>
              </w:rPr>
              <w:t>6</w:t>
            </w:r>
            <w:r>
              <w:rPr>
                <w:noProof/>
                <w:webHidden/>
              </w:rPr>
              <w:fldChar w:fldCharType="end"/>
            </w:r>
          </w:hyperlink>
        </w:p>
        <w:p w:rsidR="006C46BC" w:rsidRDefault="006C46BC">
          <w:r>
            <w:rPr>
              <w:b/>
              <w:bCs/>
            </w:rPr>
            <w:fldChar w:fldCharType="end"/>
          </w:r>
        </w:p>
      </w:sdtContent>
    </w:sdt>
    <w:p w:rsidR="00FD7888" w:rsidRPr="008737B7" w:rsidRDefault="00FD7888" w:rsidP="00FD7888">
      <w:pPr>
        <w:pStyle w:val="EinstiegAbschluss"/>
      </w:pPr>
      <w:bookmarkStart w:id="1" w:name="_Überschrift_1"/>
      <w:bookmarkEnd w:id="1"/>
      <w:r w:rsidRPr="00C47CC6">
        <w:rPr>
          <w:rStyle w:val="Fett"/>
        </w:rPr>
        <w:t>Einstieg</w:t>
      </w:r>
      <w:r>
        <w:t>:</w:t>
      </w:r>
      <w:r w:rsidR="00C47CC6">
        <w:t xml:space="preserve"> </w:t>
      </w:r>
      <w:r w:rsidR="008737B7">
        <w:rPr>
          <w:rFonts w:cs="Arial"/>
        </w:rPr>
        <w:t>In der Schule sollen die Heranwachsenden u.a. zu einer gesunden Lebensführung erzogen werden. Die entsprechende Ernährung muss die für den menschlichen Körper nötigen Mineralstoffe bzw. Spurenelemente enthalten. Heute sind die im Lebensmittel enthaltenen Mengen dieser Stoffe häufig auf der Verpackung bzw. in Tabellen angegeben:</w:t>
      </w:r>
    </w:p>
    <w:tbl>
      <w:tblPr>
        <w:tblStyle w:val="Tabellenraster"/>
        <w:tblW w:w="2155" w:type="pct"/>
        <w:jc w:val="center"/>
        <w:tblLook w:val="04A0" w:firstRow="1" w:lastRow="0" w:firstColumn="1" w:lastColumn="0" w:noHBand="0" w:noVBand="1"/>
      </w:tblPr>
      <w:tblGrid>
        <w:gridCol w:w="1672"/>
        <w:gridCol w:w="2355"/>
      </w:tblGrid>
      <w:tr w:rsidR="008737B7" w:rsidRPr="008737B7" w:rsidTr="00895E43">
        <w:trPr>
          <w:jc w:val="center"/>
        </w:trPr>
        <w:tc>
          <w:tcPr>
            <w:tcW w:w="2076" w:type="pct"/>
            <w:shd w:val="clear" w:color="auto" w:fill="C7C7C7" w:themeFill="background2" w:themeFillShade="E6"/>
            <w:hideMark/>
          </w:tcPr>
          <w:p w:rsidR="008737B7" w:rsidRPr="00895E43" w:rsidRDefault="008737B7" w:rsidP="008737B7">
            <w:pPr>
              <w:rPr>
                <w:rFonts w:ascii="Times New Roman" w:hAnsi="Times New Roman" w:cs="Times New Roman"/>
                <w:b/>
                <w:lang w:eastAsia="de-DE"/>
              </w:rPr>
            </w:pPr>
            <w:r w:rsidRPr="00895E43">
              <w:rPr>
                <w:b/>
                <w:lang w:eastAsia="de-DE"/>
              </w:rPr>
              <w:t>Element</w:t>
            </w:r>
          </w:p>
        </w:tc>
        <w:tc>
          <w:tcPr>
            <w:tcW w:w="2924" w:type="pct"/>
            <w:shd w:val="clear" w:color="auto" w:fill="C7C7C7" w:themeFill="background2" w:themeFillShade="E6"/>
            <w:hideMark/>
          </w:tcPr>
          <w:p w:rsidR="008737B7" w:rsidRPr="00895E43" w:rsidRDefault="008737B7" w:rsidP="008737B7">
            <w:pPr>
              <w:rPr>
                <w:rFonts w:ascii="Times New Roman" w:hAnsi="Times New Roman" w:cs="Times New Roman"/>
                <w:b/>
                <w:lang w:eastAsia="de-DE"/>
              </w:rPr>
            </w:pPr>
            <w:r w:rsidRPr="00895E43">
              <w:rPr>
                <w:b/>
                <w:lang w:eastAsia="de-DE"/>
              </w:rPr>
              <w:t xml:space="preserve">Gewichtsprozent </w:t>
            </w:r>
            <w:r w:rsidRPr="00895E43">
              <w:rPr>
                <w:b/>
                <w:lang w:eastAsia="de-DE"/>
              </w:rPr>
              <w:br/>
              <w:t xml:space="preserve">(g/100 g Weizen) </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Kalium</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0,571</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Phosphor</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0,428</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Schwefel</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0,194</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Magnesium</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0,173</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Chlor</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0,055</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Calcium</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0,048</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Natrium</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0,009</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Silicium</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0,006</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Zink</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0,0001</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Nickel</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0,000035</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Eisen</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0,000031</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Mangan</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0,000024</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Bor</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0,000016</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Kupfer</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0,000006</w:t>
            </w:r>
          </w:p>
        </w:tc>
      </w:tr>
      <w:tr w:rsidR="008737B7" w:rsidRPr="008737B7" w:rsidTr="00895E43">
        <w:trPr>
          <w:jc w:val="center"/>
        </w:trPr>
        <w:tc>
          <w:tcPr>
            <w:tcW w:w="2076" w:type="pct"/>
            <w:hideMark/>
          </w:tcPr>
          <w:p w:rsidR="008737B7" w:rsidRPr="008737B7" w:rsidRDefault="008737B7" w:rsidP="008737B7">
            <w:pPr>
              <w:rPr>
                <w:rFonts w:ascii="Times New Roman" w:hAnsi="Times New Roman" w:cs="Times New Roman"/>
                <w:lang w:eastAsia="de-DE"/>
              </w:rPr>
            </w:pPr>
            <w:r w:rsidRPr="008737B7">
              <w:rPr>
                <w:lang w:eastAsia="de-DE"/>
              </w:rPr>
              <w:t>Aluminium</w:t>
            </w:r>
          </w:p>
        </w:tc>
        <w:tc>
          <w:tcPr>
            <w:tcW w:w="2924" w:type="pct"/>
            <w:hideMark/>
          </w:tcPr>
          <w:p w:rsidR="008737B7" w:rsidRPr="008737B7" w:rsidRDefault="008737B7" w:rsidP="00895E43">
            <w:pPr>
              <w:jc w:val="center"/>
              <w:rPr>
                <w:rFonts w:ascii="Times New Roman" w:hAnsi="Times New Roman" w:cs="Times New Roman"/>
                <w:lang w:eastAsia="de-DE"/>
              </w:rPr>
            </w:pPr>
            <w:r w:rsidRPr="008737B7">
              <w:rPr>
                <w:lang w:eastAsia="de-DE"/>
              </w:rPr>
              <w:t>0,000003</w:t>
            </w:r>
          </w:p>
        </w:tc>
      </w:tr>
    </w:tbl>
    <w:p w:rsidR="008737B7" w:rsidRDefault="008737B7" w:rsidP="008737B7">
      <w:pPr>
        <w:pStyle w:val="Beschriftung"/>
      </w:pPr>
      <w:r w:rsidRPr="008737B7">
        <w:t xml:space="preserve">Tab. </w:t>
      </w:r>
      <w:fldSimple w:instr=" SEQ Tab. \* ARABIC ">
        <w:r w:rsidR="00895E43">
          <w:rPr>
            <w:noProof/>
          </w:rPr>
          <w:t>1</w:t>
        </w:r>
      </w:fldSimple>
      <w:r w:rsidRPr="008737B7">
        <w:t xml:space="preserve">: </w:t>
      </w:r>
      <w:r w:rsidRPr="008737B7">
        <w:rPr>
          <w:rStyle w:val="Fett"/>
          <w:b w:val="0"/>
          <w:bCs w:val="0"/>
        </w:rPr>
        <w:t>Mineralstoff- und Spurenelemente in Weizen; [</w:t>
      </w:r>
      <w:r w:rsidRPr="008737B7">
        <w:t xml:space="preserve">Nach: </w:t>
      </w:r>
      <w:r w:rsidRPr="008737B7">
        <w:fldChar w:fldCharType="begin"/>
      </w:r>
      <w:r w:rsidRPr="008737B7">
        <w:instrText xml:space="preserve"> REF _Ref46396026 \r \h </w:instrText>
      </w:r>
      <w:r>
        <w:instrText xml:space="preserve"> \* MERGEFORMAT </w:instrText>
      </w:r>
      <w:r w:rsidRPr="008737B7">
        <w:fldChar w:fldCharType="separate"/>
      </w:r>
      <w:r w:rsidR="00895E43">
        <w:t>8</w:t>
      </w:r>
      <w:r w:rsidRPr="008737B7">
        <w:fldChar w:fldCharType="end"/>
      </w:r>
      <w:r w:rsidRPr="008737B7">
        <w:t>]</w:t>
      </w:r>
    </w:p>
    <w:p w:rsidR="008737B7" w:rsidRPr="008737B7" w:rsidRDefault="008737B7" w:rsidP="008737B7">
      <w:pPr>
        <w:pStyle w:val="EinstiegAbschluss"/>
      </w:pPr>
      <w:r>
        <w:t>Bevor man die Werte aber in Tabellen finden kann, müssen sie ermittelt werden. Nun reicht es jedoch nicht aus, z.B. auf Weizen-Körner oder –Kleie Ammoniummolybdat-Lösung zu tropfen und auf einen gelben Niederschlag von Ammoniummolybdophosphat als Nachweis für Phosphat zu warten. Denn Phosphat und andere Ionen liegen im Nahrungsmittel wie auch in anderen Stoffen in gebundener Form vor. Bevor also qualitative und quantitative Analysen durchgeführt werden können, muss die zu untersuchende Substanz aufgeschlossen werden.</w:t>
      </w:r>
    </w:p>
    <w:p w:rsidR="00E8473B" w:rsidRDefault="008737B7" w:rsidP="008737B7">
      <w:pPr>
        <w:pStyle w:val="berschrift1"/>
      </w:pPr>
      <w:bookmarkStart w:id="2" w:name="_Toc47091093"/>
      <w:r>
        <w:t>Definition</w:t>
      </w:r>
      <w:bookmarkEnd w:id="2"/>
    </w:p>
    <w:p w:rsidR="008737B7" w:rsidRDefault="008737B7" w:rsidP="008737B7">
      <w:pPr>
        <w:pStyle w:val="Grn"/>
      </w:pPr>
      <w:r w:rsidRPr="008737B7">
        <w:rPr>
          <w:rStyle w:val="Fett"/>
          <w:b w:val="0"/>
          <w:bCs w:val="0"/>
        </w:rPr>
        <w:t xml:space="preserve">Unter einem </w:t>
      </w:r>
      <w:r w:rsidRPr="008737B7">
        <w:rPr>
          <w:rStyle w:val="Fett"/>
        </w:rPr>
        <w:t>Aufschluss</w:t>
      </w:r>
      <w:r w:rsidRPr="008737B7">
        <w:rPr>
          <w:rStyle w:val="Fett"/>
          <w:b w:val="0"/>
          <w:bCs w:val="0"/>
        </w:rPr>
        <w:t xml:space="preserve"> versteht man das Überführen unlöslicher bzw. schwerlöslicher Substanzen in säure- oder wasserlösliche Verbindungen. Dies ist immer mit einer chemischen Veränderung der Ausgangssubstanzen verbunden.</w:t>
      </w:r>
    </w:p>
    <w:p w:rsidR="008737B7" w:rsidRDefault="008737B7" w:rsidP="008737B7">
      <w:pPr>
        <w:pStyle w:val="berschrift1"/>
      </w:pPr>
      <w:bookmarkStart w:id="3" w:name="_Toc47091094"/>
      <w:r>
        <w:t>Aufschluss organischer Verbindungen durch Verbrennung:</w:t>
      </w:r>
      <w:bookmarkEnd w:id="3"/>
    </w:p>
    <w:p w:rsidR="008737B7" w:rsidRDefault="008737B7" w:rsidP="008737B7">
      <w:pPr>
        <w:pStyle w:val="berschrift2"/>
      </w:pPr>
      <w:bookmarkStart w:id="4" w:name="_Toc47091095"/>
      <w:r>
        <w:t>Aufschluss im Schöniger-Kolben</w:t>
      </w:r>
      <w:bookmarkEnd w:id="4"/>
    </w:p>
    <w:p w:rsidR="008737B7" w:rsidRDefault="008737B7" w:rsidP="008737B7">
      <w:r w:rsidRPr="008737B7">
        <w:t>Der Schöniger-Kolben ist ein einfaches geschlossenes System für Aufschlüsse im Mikromaßstab (Substanzeinwaage: 5</w:t>
      </w:r>
      <w:r w:rsidR="00E246AC">
        <w:t> </w:t>
      </w:r>
      <w:r w:rsidRPr="008737B7">
        <w:t>–</w:t>
      </w:r>
      <w:r w:rsidR="00E246AC">
        <w:t> </w:t>
      </w:r>
      <w:r w:rsidRPr="008737B7">
        <w:t>30</w:t>
      </w:r>
      <w:r w:rsidR="00E246AC">
        <w:t> </w:t>
      </w:r>
      <w:r w:rsidRPr="008737B7">
        <w:t>mg):</w:t>
      </w:r>
    </w:p>
    <w:p w:rsidR="00E246AC" w:rsidRDefault="00E246AC" w:rsidP="00E246AC">
      <w:pPr>
        <w:pStyle w:val="Bilder"/>
      </w:pPr>
      <w:r>
        <w:rPr>
          <w:lang w:eastAsia="de-DE"/>
        </w:rPr>
        <w:drawing>
          <wp:inline distT="0" distB="0" distL="0" distR="0">
            <wp:extent cx="4683125" cy="41363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3125" cy="4136390"/>
                    </a:xfrm>
                    <a:prstGeom prst="rect">
                      <a:avLst/>
                    </a:prstGeom>
                    <a:noFill/>
                    <a:ln>
                      <a:noFill/>
                    </a:ln>
                  </pic:spPr>
                </pic:pic>
              </a:graphicData>
            </a:graphic>
          </wp:inline>
        </w:drawing>
      </w:r>
    </w:p>
    <w:p w:rsidR="00E246AC" w:rsidRDefault="00E246AC" w:rsidP="00E246AC">
      <w:pPr>
        <w:pStyle w:val="Beschriftung"/>
      </w:pPr>
      <w:r>
        <w:t xml:space="preserve">Abb. </w:t>
      </w:r>
      <w:r w:rsidR="00895E43">
        <w:fldChar w:fldCharType="begin"/>
      </w:r>
      <w:r w:rsidR="00895E43">
        <w:instrText xml:space="preserve"> SEQ Abb. \* ARABIC </w:instrText>
      </w:r>
      <w:r w:rsidR="00895E43">
        <w:fldChar w:fldCharType="separate"/>
      </w:r>
      <w:r w:rsidR="00895E43">
        <w:rPr>
          <w:noProof/>
        </w:rPr>
        <w:t>1</w:t>
      </w:r>
      <w:r w:rsidR="00895E43">
        <w:rPr>
          <w:noProof/>
        </w:rPr>
        <w:fldChar w:fldCharType="end"/>
      </w:r>
      <w:r>
        <w:t>: Aufschluss im Schöniger-Kolben</w:t>
      </w:r>
    </w:p>
    <w:p w:rsidR="00E246AC" w:rsidRDefault="00E246AC" w:rsidP="00E246AC">
      <w:pPr>
        <w:pStyle w:val="StandardWeb"/>
        <w:rPr>
          <w:rFonts w:ascii="Arial" w:hAnsi="Arial" w:cs="Arial"/>
        </w:rPr>
      </w:pPr>
      <w:r>
        <w:rPr>
          <w:rFonts w:ascii="Arial" w:hAnsi="Arial" w:cs="Arial"/>
        </w:rPr>
        <w:lastRenderedPageBreak/>
        <w:t>Die Probe wird in aschefreie Filterpapier-Fähnchen eingewickelt (1) und auf einem Träger aus Platin oder Quarzglas befestigt. Der Träger ist am Schliff-Stopfen des Erlenmeyerkolbens befestigt. Den 500-mL-Kolben (meist aus Glas) beschickt man mit ca. 5 bis 10 mL Absorptionsflüssigkeit (NaOH bzw. NaOH/H</w:t>
      </w:r>
      <w:r>
        <w:rPr>
          <w:rFonts w:ascii="Arial" w:hAnsi="Arial" w:cs="Arial"/>
          <w:vertAlign w:val="subscript"/>
        </w:rPr>
        <w:t>2</w:t>
      </w:r>
      <w:r>
        <w:rPr>
          <w:rFonts w:ascii="Arial" w:hAnsi="Arial" w:cs="Arial"/>
        </w:rPr>
        <w:t>O</w:t>
      </w:r>
      <w:r>
        <w:rPr>
          <w:rFonts w:ascii="Arial" w:hAnsi="Arial" w:cs="Arial"/>
          <w:vertAlign w:val="subscript"/>
        </w:rPr>
        <w:t>2</w:t>
      </w:r>
      <w:r>
        <w:rPr>
          <w:rFonts w:ascii="Arial" w:hAnsi="Arial" w:cs="Arial"/>
        </w:rPr>
        <w:t xml:space="preserve">) und füllt ihn mit reinem Sauerstoff unter Normaldruck (2). Der Stopfen wird nach dem Anzünden der Probe schnell auf den Kolben gesetzt (3). </w:t>
      </w:r>
    </w:p>
    <w:p w:rsidR="00E246AC" w:rsidRDefault="00E246AC" w:rsidP="00E246AC">
      <w:pPr>
        <w:pStyle w:val="StandardWeb"/>
        <w:rPr>
          <w:rFonts w:ascii="Arial" w:hAnsi="Arial" w:cs="Arial"/>
        </w:rPr>
      </w:pPr>
      <w:r>
        <w:rPr>
          <w:rFonts w:ascii="Arial" w:hAnsi="Arial" w:cs="Arial"/>
        </w:rPr>
        <w:t xml:space="preserve">Die Verbrennung (4) dient der Zerstörung organischer Substanz z. B: </w:t>
      </w:r>
    </w:p>
    <w:p w:rsidR="00E246AC" w:rsidRPr="00895E43" w:rsidRDefault="00E246AC" w:rsidP="00E246AC">
      <w:pPr>
        <w:pStyle w:val="Formeln"/>
        <w:rPr>
          <w:rFonts w:eastAsiaTheme="minorEastAsia"/>
          <w:lang w:val="en-US"/>
        </w:rPr>
      </w:pPr>
      <m:oMathPara>
        <m:oMath>
          <m:r>
            <m:rPr>
              <m:nor/>
            </m:rPr>
            <w:rPr>
              <w:lang w:val="en-US"/>
            </w:rPr>
            <m:t>4</m:t>
          </m:r>
          <m:sSub>
            <m:sSubPr>
              <m:ctrlPr>
                <w:rPr>
                  <w:rFonts w:ascii="Cambria Math" w:hAnsi="Cambria Math"/>
                </w:rPr>
              </m:ctrlPr>
            </m:sSubPr>
            <m:e>
              <m:r>
                <m:rPr>
                  <m:nor/>
                </m:rPr>
                <w:rPr>
                  <w:lang w:val="en-US"/>
                </w:rPr>
                <m:t>H</m:t>
              </m:r>
            </m:e>
            <m:sub>
              <m:r>
                <m:rPr>
                  <m:nor/>
                </m:rPr>
                <w:rPr>
                  <w:lang w:val="en-US"/>
                </w:rPr>
                <m:t>3</m:t>
              </m:r>
            </m:sub>
          </m:sSub>
          <m:r>
            <m:rPr>
              <m:nor/>
            </m:rPr>
            <w:rPr>
              <w:lang w:val="en-US"/>
            </w:rPr>
            <m:t>C-CH</m:t>
          </m:r>
          <m:d>
            <m:dPr>
              <m:ctrlPr>
                <w:rPr>
                  <w:rFonts w:ascii="Cambria Math" w:hAnsi="Cambria Math"/>
                </w:rPr>
              </m:ctrlPr>
            </m:dPr>
            <m:e>
              <m:sSub>
                <m:sSubPr>
                  <m:ctrlPr>
                    <w:rPr>
                      <w:rFonts w:ascii="Cambria Math" w:hAnsi="Cambria Math"/>
                    </w:rPr>
                  </m:ctrlPr>
                </m:sSubPr>
                <m:e>
                  <m:r>
                    <m:rPr>
                      <m:nor/>
                    </m:rPr>
                    <w:rPr>
                      <w:lang w:val="en-US"/>
                    </w:rPr>
                    <m:t>NH</m:t>
                  </m:r>
                </m:e>
                <m:sub>
                  <m:r>
                    <m:rPr>
                      <m:nor/>
                    </m:rPr>
                    <w:rPr>
                      <w:lang w:val="en-US"/>
                    </w:rPr>
                    <m:t>2</m:t>
                  </m:r>
                </m:sub>
              </m:sSub>
            </m:e>
          </m:d>
          <m:r>
            <m:rPr>
              <m:nor/>
            </m:rPr>
            <w:rPr>
              <w:lang w:val="en-US"/>
            </w:rPr>
            <m:t>-COOH</m:t>
          </m:r>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15</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lang w:val="en-US"/>
            </w:rPr>
            <m:t xml:space="preserve"> </m:t>
          </m:r>
          <m:r>
            <m:rPr>
              <m:nor/>
            </m:rPr>
            <w:rPr>
              <w:lang w:val="en-US"/>
            </w:rPr>
            <m:t>12</m:t>
          </m:r>
          <m:sSub>
            <m:sSubPr>
              <m:ctrlPr>
                <w:rPr>
                  <w:rFonts w:ascii="Cambria Math" w:hAnsi="Cambria Math"/>
                </w:rPr>
              </m:ctrlPr>
            </m:sSubPr>
            <m:e>
              <m:r>
                <m:rPr>
                  <m:nor/>
                </m:rPr>
                <w:rPr>
                  <w:lang w:val="en-US"/>
                </w:rPr>
                <m:t>CO</m:t>
              </m:r>
            </m:e>
            <m:sub>
              <m:r>
                <m:rPr>
                  <m:nor/>
                </m:rPr>
                <w:rPr>
                  <w:lang w:val="en-US"/>
                </w:rPr>
                <m:t>2</m:t>
              </m:r>
            </m:sub>
          </m:sSub>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14</m:t>
          </m:r>
          <m:sSub>
            <m:sSubPr>
              <m:ctrlPr>
                <w:rPr>
                  <w:rFonts w:ascii="Cambria Math" w:hAnsi="Cambria Math"/>
                </w:rPr>
              </m:ctrlPr>
            </m:sSubPr>
            <m:e>
              <m:r>
                <m:rPr>
                  <m:nor/>
                </m:rPr>
                <w:rPr>
                  <w:lang w:val="en-US"/>
                </w:rPr>
                <m:t>H</m:t>
              </m:r>
            </m:e>
            <m:sub>
              <m:r>
                <m:rPr>
                  <m:nor/>
                </m:rPr>
                <w:rPr>
                  <w:lang w:val="en-US"/>
                </w:rPr>
                <m:t>2</m:t>
              </m:r>
            </m:sub>
          </m:sSub>
          <m:r>
            <m:rPr>
              <m:nor/>
            </m:rPr>
            <w:rPr>
              <w:lang w:val="en-US"/>
            </w:rPr>
            <m:t>O</m:t>
          </m:r>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2</m:t>
          </m:r>
          <m:sSub>
            <m:sSubPr>
              <m:ctrlPr>
                <w:rPr>
                  <w:rFonts w:ascii="Cambria Math" w:hAnsi="Cambria Math"/>
                </w:rPr>
              </m:ctrlPr>
            </m:sSubPr>
            <m:e>
              <m:r>
                <m:rPr>
                  <m:nor/>
                </m:rPr>
                <w:rPr>
                  <w:lang w:val="en-US"/>
                </w:rPr>
                <m:t>N</m:t>
              </m:r>
            </m:e>
            <m:sub>
              <m:r>
                <m:rPr>
                  <m:nor/>
                </m:rPr>
                <w:rPr>
                  <w:lang w:val="en-US"/>
                </w:rPr>
                <m:t>2</m:t>
              </m:r>
            </m:sub>
          </m:sSub>
        </m:oMath>
      </m:oMathPara>
    </w:p>
    <w:p w:rsidR="00E246AC" w:rsidRPr="00E246AC" w:rsidRDefault="00E246AC" w:rsidP="00E246AC">
      <w:r>
        <w:rPr>
          <w:rFonts w:cs="Arial"/>
        </w:rPr>
        <w:t>Nach Ende der Reaktion werden die Verbrennungsprodukte mit Absorptionsflüssigkeit aufgenommen und gegebenenfalls filtriert. Die Aufschluss-Lösung ist nun für weitere Analysen-Schritte einsetzbar. Der Aufschluss im Schöniger-Kolben dient v. a. zur Elementar-Analyse von Halogenen, Schwefel, Phosphor und Metallen in (metall-)organischen Verbindungen.</w:t>
      </w:r>
    </w:p>
    <w:p w:rsidR="00E246AC" w:rsidRDefault="00E246AC" w:rsidP="00E246AC">
      <w:pPr>
        <w:pStyle w:val="berschrift2"/>
      </w:pPr>
      <w:bookmarkStart w:id="5" w:name="_Toc47091096"/>
      <w:r>
        <w:t>Mikro-Analyse: Aufschluss in strömenden Gasen</w:t>
      </w:r>
      <w:bookmarkEnd w:id="5"/>
    </w:p>
    <w:p w:rsidR="00E246AC" w:rsidRDefault="00E246AC" w:rsidP="00E246AC">
      <w:pPr>
        <w:rPr>
          <w:rFonts w:cs="Arial"/>
        </w:rPr>
      </w:pPr>
      <w:r>
        <w:rPr>
          <w:rFonts w:cs="Arial"/>
        </w:rPr>
        <w:t>Oft stehen nur sehr kleine Analysen-Mengen zur Verfügung. Um Fehler möglichst klein zu halten, muss man das für die Menge geeignetste Verfahren wählen. Zur Bestimmung sehr kleiner Mengen an C, H, O, N, Cl, Br und S dient der Aufschluss in reinstem Sauerstoff bzw. Wasserstoff in einem Aufschluss-Gerät für Ultramikro-Analysen:</w:t>
      </w:r>
    </w:p>
    <w:p w:rsidR="00E246AC" w:rsidRDefault="00E246AC" w:rsidP="00E246AC">
      <w:pPr>
        <w:pStyle w:val="Bilder"/>
      </w:pPr>
      <w:r>
        <w:rPr>
          <w:lang w:eastAsia="de-DE"/>
        </w:rPr>
        <w:drawing>
          <wp:inline distT="0" distB="0" distL="0" distR="0">
            <wp:extent cx="3240731"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731" cy="2880000"/>
                    </a:xfrm>
                    <a:prstGeom prst="rect">
                      <a:avLst/>
                    </a:prstGeom>
                    <a:noFill/>
                    <a:ln>
                      <a:noFill/>
                    </a:ln>
                  </pic:spPr>
                </pic:pic>
              </a:graphicData>
            </a:graphic>
          </wp:inline>
        </w:drawing>
      </w:r>
    </w:p>
    <w:p w:rsidR="00E246AC" w:rsidRDefault="00E246AC" w:rsidP="00E246AC">
      <w:pPr>
        <w:pStyle w:val="Beschriftung"/>
      </w:pPr>
      <w:r>
        <w:t xml:space="preserve">Abb. </w:t>
      </w:r>
      <w:r w:rsidR="00895E43">
        <w:fldChar w:fldCharType="begin"/>
      </w:r>
      <w:r w:rsidR="00895E43">
        <w:instrText xml:space="preserve"> SEQ Abb. \* ARABIC </w:instrText>
      </w:r>
      <w:r w:rsidR="00895E43">
        <w:fldChar w:fldCharType="separate"/>
      </w:r>
      <w:r w:rsidR="00895E43">
        <w:rPr>
          <w:noProof/>
        </w:rPr>
        <w:t>2</w:t>
      </w:r>
      <w:r w:rsidR="00895E43">
        <w:rPr>
          <w:noProof/>
        </w:rPr>
        <w:fldChar w:fldCharType="end"/>
      </w:r>
      <w:r>
        <w:t>: Aufschluss-Gerät für Ultramikro-Analysen</w:t>
      </w:r>
    </w:p>
    <w:p w:rsidR="00E246AC" w:rsidRDefault="00E246AC" w:rsidP="00E246AC">
      <w:pPr>
        <w:rPr>
          <w:rFonts w:cs="Arial"/>
        </w:rPr>
      </w:pPr>
      <w:r>
        <w:rPr>
          <w:rFonts w:cs="Arial"/>
        </w:rPr>
        <w:t>Die thermische Zersetzung der Substanz erfolgt nach Füllen des Aufschluss-Rohres mit O</w:t>
      </w:r>
      <w:r>
        <w:rPr>
          <w:rFonts w:cs="Arial"/>
          <w:vertAlign w:val="subscript"/>
        </w:rPr>
        <w:t>2</w:t>
      </w:r>
      <w:r>
        <w:rPr>
          <w:rFonts w:cs="Arial"/>
        </w:rPr>
        <w:t xml:space="preserve"> bzw. H</w:t>
      </w:r>
      <w:r>
        <w:rPr>
          <w:rFonts w:cs="Arial"/>
          <w:vertAlign w:val="subscript"/>
        </w:rPr>
        <w:t>2</w:t>
      </w:r>
      <w:r>
        <w:rPr>
          <w:rFonts w:cs="Arial"/>
        </w:rPr>
        <w:t xml:space="preserve"> im Innern der Spirale, die mit Hilfe eines Regel-Transformators (Regelbereich: 0 – 24 V; P ~ 200 W) in Bruchteilen einer Sekunde auf die erforderliche Aufschluss-Temperatur erhitzt wird. Die Verbrennungsprodukte werden anschließend mit Hilfe eines Spülgas-Stromes (O</w:t>
      </w:r>
      <w:r>
        <w:rPr>
          <w:rFonts w:cs="Arial"/>
          <w:vertAlign w:val="subscript"/>
        </w:rPr>
        <w:t>2</w:t>
      </w:r>
      <w:r>
        <w:rPr>
          <w:rFonts w:cs="Arial"/>
        </w:rPr>
        <w:t xml:space="preserve"> bzw. H</w:t>
      </w:r>
      <w:r>
        <w:rPr>
          <w:rFonts w:cs="Arial"/>
          <w:vertAlign w:val="subscript"/>
        </w:rPr>
        <w:t>2</w:t>
      </w:r>
      <w:r>
        <w:rPr>
          <w:rFonts w:cs="Arial"/>
        </w:rPr>
        <w:t>) in ein Absorptionssystem überführt und dort bestimmt.</w:t>
      </w:r>
    </w:p>
    <w:p w:rsidR="00895E43" w:rsidRDefault="00895E43">
      <w:pPr>
        <w:spacing w:before="0"/>
        <w:jc w:val="left"/>
        <w:rPr>
          <w:rFonts w:asciiTheme="majorHAnsi" w:eastAsiaTheme="majorEastAsia" w:hAnsiTheme="majorHAnsi" w:cstheme="majorBidi"/>
          <w:b/>
          <w:sz w:val="32"/>
          <w:szCs w:val="32"/>
        </w:rPr>
      </w:pPr>
      <w:r>
        <w:br w:type="page"/>
      </w:r>
    </w:p>
    <w:p w:rsidR="00E246AC" w:rsidRDefault="00E246AC" w:rsidP="00E246AC">
      <w:pPr>
        <w:pStyle w:val="berschrift1"/>
      </w:pPr>
      <w:bookmarkStart w:id="6" w:name="_Toc47091097"/>
      <w:r>
        <w:t>Aufschluss anorganischer Substanzen in Schmelzen:</w:t>
      </w:r>
      <w:bookmarkEnd w:id="6"/>
    </w:p>
    <w:p w:rsidR="00E246AC" w:rsidRDefault="00E246AC" w:rsidP="00E246AC">
      <w:pPr>
        <w:pStyle w:val="berschrift2"/>
      </w:pPr>
      <w:bookmarkStart w:id="7" w:name="_Toc47091098"/>
      <w:r>
        <w:t>Oxidationsschmelze als Beispiel eines Redox-Aufschlusses:</w:t>
      </w:r>
      <w:bookmarkEnd w:id="7"/>
    </w:p>
    <w:p w:rsidR="00E246AC" w:rsidRDefault="00E246AC" w:rsidP="00E246AC">
      <w:pPr>
        <w:rPr>
          <w:rFonts w:cs="Arial"/>
        </w:rPr>
      </w:pPr>
      <w:r>
        <w:rPr>
          <w:rFonts w:cs="Arial"/>
        </w:rPr>
        <w:t>Oxidierbare schwerlösliche Verbindungen, z. B. Cr</w:t>
      </w:r>
      <w:r>
        <w:rPr>
          <w:rFonts w:cs="Arial"/>
          <w:vertAlign w:val="subscript"/>
        </w:rPr>
        <w:t>2</w:t>
      </w:r>
      <w:r>
        <w:rPr>
          <w:rFonts w:cs="Arial"/>
        </w:rPr>
        <w:t>O</w:t>
      </w:r>
      <w:r>
        <w:rPr>
          <w:rFonts w:cs="Arial"/>
          <w:vertAlign w:val="subscript"/>
        </w:rPr>
        <w:t>3</w:t>
      </w:r>
      <w:r>
        <w:rPr>
          <w:rFonts w:cs="Arial"/>
        </w:rPr>
        <w:t>, FeCr</w:t>
      </w:r>
      <w:r>
        <w:rPr>
          <w:rFonts w:cs="Arial"/>
          <w:vertAlign w:val="subscript"/>
        </w:rPr>
        <w:t>2</w:t>
      </w:r>
      <w:r>
        <w:rPr>
          <w:rFonts w:cs="Arial"/>
        </w:rPr>
        <w:t>O</w:t>
      </w:r>
      <w:r>
        <w:rPr>
          <w:rFonts w:cs="Arial"/>
          <w:vertAlign w:val="subscript"/>
        </w:rPr>
        <w:t>4</w:t>
      </w:r>
      <w:r>
        <w:rPr>
          <w:rFonts w:cs="Arial"/>
        </w:rPr>
        <w:t>, MnO</w:t>
      </w:r>
      <w:r>
        <w:rPr>
          <w:rFonts w:cs="Arial"/>
          <w:vertAlign w:val="subscript"/>
        </w:rPr>
        <w:t>2</w:t>
      </w:r>
      <w:r>
        <w:rPr>
          <w:rFonts w:cs="Arial"/>
        </w:rPr>
        <w:t>, werden in einer Oxidationsschmelze mit Na</w:t>
      </w:r>
      <w:r>
        <w:rPr>
          <w:rFonts w:cs="Arial"/>
          <w:vertAlign w:val="subscript"/>
        </w:rPr>
        <w:t>2</w:t>
      </w:r>
      <w:r>
        <w:rPr>
          <w:rFonts w:cs="Arial"/>
        </w:rPr>
        <w:t>CO</w:t>
      </w:r>
      <w:r>
        <w:rPr>
          <w:rFonts w:cs="Arial"/>
          <w:vertAlign w:val="subscript"/>
        </w:rPr>
        <w:t>3</w:t>
      </w:r>
      <w:r>
        <w:rPr>
          <w:rFonts w:cs="Arial"/>
        </w:rPr>
        <w:t>/KNO</w:t>
      </w:r>
      <w:r>
        <w:rPr>
          <w:rFonts w:cs="Arial"/>
          <w:vertAlign w:val="subscript"/>
        </w:rPr>
        <w:t>3</w:t>
      </w:r>
      <w:r>
        <w:rPr>
          <w:rFonts w:cs="Arial"/>
        </w:rPr>
        <w:t xml:space="preserve"> oder Na</w:t>
      </w:r>
      <w:r>
        <w:rPr>
          <w:rFonts w:cs="Arial"/>
          <w:vertAlign w:val="subscript"/>
        </w:rPr>
        <w:t>2</w:t>
      </w:r>
      <w:r>
        <w:rPr>
          <w:rFonts w:cs="Arial"/>
        </w:rPr>
        <w:t>O</w:t>
      </w:r>
      <w:r>
        <w:rPr>
          <w:rFonts w:cs="Arial"/>
          <w:vertAlign w:val="subscript"/>
        </w:rPr>
        <w:t>2</w:t>
      </w:r>
      <w:r>
        <w:rPr>
          <w:rFonts w:cs="Arial"/>
        </w:rPr>
        <w:t xml:space="preserve"> als Oxidationsmittel aufgeschlossen. </w:t>
      </w:r>
      <w:r>
        <w:rPr>
          <w:rFonts w:cs="Arial"/>
        </w:rPr>
        <w:lastRenderedPageBreak/>
        <w:t>Oxidierende Schmelz-Aufschlüsse werden wegen des Verbrauchs von Oxidionen in basischen Schmelzen durchgeführt. Die Wirkung des Oxidationsmittels wird durch Temperatur-Erhöhung noch gesteigert, so dass viele Redox-Vorgänge in Schmelzen (Temperaturen bis ca. 1.000°C) verlaufen, die bei tieferen Temperaturen noch nicht möglich sind.</w:t>
      </w:r>
    </w:p>
    <w:p w:rsidR="00E246AC" w:rsidRDefault="00E246AC" w:rsidP="00E246AC">
      <w:pPr>
        <w:rPr>
          <w:rFonts w:cs="Arial"/>
        </w:rPr>
      </w:pPr>
      <w:r w:rsidRPr="004B5C14">
        <w:rPr>
          <w:rStyle w:val="Fett"/>
        </w:rPr>
        <w:t>Versuch</w:t>
      </w:r>
      <w:r>
        <w:rPr>
          <w:rFonts w:cs="Arial"/>
        </w:rPr>
        <w:t>: Aufschluss von Braunstein</w:t>
      </w:r>
    </w:p>
    <w:p w:rsidR="00E246AC" w:rsidRDefault="00E246AC" w:rsidP="00E246AC">
      <w:pPr>
        <w:rPr>
          <w:rFonts w:cs="Arial"/>
        </w:rPr>
      </w:pPr>
      <w:r w:rsidRPr="004B5C14">
        <w:rPr>
          <w:rStyle w:val="Fett"/>
        </w:rPr>
        <w:t>Material</w:t>
      </w:r>
      <w:r>
        <w:rPr>
          <w:rFonts w:cs="Arial"/>
        </w:rPr>
        <w:t>:</w:t>
      </w:r>
    </w:p>
    <w:p w:rsidR="004B5C14" w:rsidRDefault="004B5C14" w:rsidP="00E246AC">
      <w:pPr>
        <w:pStyle w:val="Liste1Aufzhlung"/>
        <w:sectPr w:rsidR="004B5C14" w:rsidSect="00931B30">
          <w:footerReference w:type="default" r:id="rId11"/>
          <w:pgSz w:w="11906" w:h="16838"/>
          <w:pgMar w:top="851" w:right="1134" w:bottom="1134" w:left="1418" w:header="0" w:footer="0" w:gutter="0"/>
          <w:cols w:space="708"/>
          <w:titlePg/>
          <w:docGrid w:linePitch="360"/>
        </w:sectPr>
      </w:pPr>
    </w:p>
    <w:p w:rsidR="00E246AC" w:rsidRDefault="00E246AC" w:rsidP="00E246AC">
      <w:pPr>
        <w:pStyle w:val="Liste1Aufzhlung"/>
      </w:pPr>
      <w:r>
        <w:t>Mörser, Pistill</w:t>
      </w:r>
    </w:p>
    <w:p w:rsidR="00E246AC" w:rsidRDefault="00E246AC" w:rsidP="00E246AC">
      <w:pPr>
        <w:pStyle w:val="Liste1Aufzhlung"/>
      </w:pPr>
      <w:r>
        <w:t>Spatel</w:t>
      </w:r>
    </w:p>
    <w:p w:rsidR="00E246AC" w:rsidRDefault="00E246AC" w:rsidP="00E246AC">
      <w:pPr>
        <w:pStyle w:val="Liste1Aufzhlung"/>
      </w:pPr>
      <w:r>
        <w:t>Magnesia-Rinne</w:t>
      </w:r>
    </w:p>
    <w:p w:rsidR="00E246AC" w:rsidRDefault="00E246AC" w:rsidP="00E246AC">
      <w:pPr>
        <w:pStyle w:val="Liste1Aufzhlung"/>
      </w:pPr>
      <w:r>
        <w:t>Brenner, Feuerzeug</w:t>
      </w:r>
    </w:p>
    <w:p w:rsidR="00E246AC" w:rsidRDefault="00E246AC" w:rsidP="00E246AC">
      <w:pPr>
        <w:pStyle w:val="Liste1Aufzhlung"/>
      </w:pPr>
      <w:r>
        <w:t>Pasteur-Pipette, Hütchen</w:t>
      </w:r>
    </w:p>
    <w:p w:rsidR="00E246AC" w:rsidRDefault="00E246AC" w:rsidP="00E246AC">
      <w:pPr>
        <w:pStyle w:val="Liste1Aufzhlung"/>
      </w:pPr>
      <w:r>
        <w:t>Reagenzglas</w:t>
      </w:r>
    </w:p>
    <w:p w:rsidR="00E246AC" w:rsidRDefault="00E246AC" w:rsidP="00E246AC">
      <w:pPr>
        <w:pStyle w:val="Liste1Aufzhlung"/>
      </w:pPr>
      <w:r>
        <w:t>Reagenzglas-Gestell</w:t>
      </w:r>
    </w:p>
    <w:p w:rsidR="004B5C14" w:rsidRDefault="004B5C14" w:rsidP="00E246AC">
      <w:pPr>
        <w:rPr>
          <w:rStyle w:val="Fett"/>
        </w:rPr>
        <w:sectPr w:rsidR="004B5C14" w:rsidSect="004B5C14">
          <w:type w:val="continuous"/>
          <w:pgSz w:w="11906" w:h="16838"/>
          <w:pgMar w:top="851" w:right="1134" w:bottom="1134" w:left="1418" w:header="0" w:footer="0" w:gutter="0"/>
          <w:cols w:num="2" w:space="708"/>
          <w:titlePg/>
          <w:docGrid w:linePitch="360"/>
        </w:sectPr>
      </w:pPr>
    </w:p>
    <w:p w:rsidR="00E246AC" w:rsidRDefault="00E246AC" w:rsidP="00E246AC">
      <w:r w:rsidRPr="004B5C14">
        <w:rPr>
          <w:rStyle w:val="Fett"/>
        </w:rPr>
        <w:t>Chemikalien</w:t>
      </w:r>
      <w:r>
        <w:t>:</w:t>
      </w:r>
    </w:p>
    <w:p w:rsidR="004B5C14" w:rsidRDefault="004B5C14" w:rsidP="00E246AC">
      <w:pPr>
        <w:pStyle w:val="Liste1Aufzhlung"/>
        <w:rPr>
          <w:rStyle w:val="RotZchn"/>
        </w:rPr>
        <w:sectPr w:rsidR="004B5C14" w:rsidSect="004B5C14">
          <w:type w:val="continuous"/>
          <w:pgSz w:w="11906" w:h="16838"/>
          <w:pgMar w:top="851" w:right="1134" w:bottom="1134" w:left="1418" w:header="0" w:footer="0" w:gutter="0"/>
          <w:cols w:space="708"/>
          <w:titlePg/>
          <w:docGrid w:linePitch="360"/>
        </w:sectPr>
      </w:pPr>
    </w:p>
    <w:p w:rsidR="00E246AC" w:rsidRPr="004B5C14" w:rsidRDefault="00E246AC" w:rsidP="00E246AC">
      <w:pPr>
        <w:pStyle w:val="Liste1Aufzhlung"/>
        <w:rPr>
          <w:rStyle w:val="CASNrZchn"/>
        </w:rPr>
      </w:pPr>
      <w:r w:rsidRPr="004B5C14">
        <w:rPr>
          <w:rStyle w:val="RotZchn"/>
        </w:rPr>
        <w:t>Mangan(</w:t>
      </w:r>
      <w:r w:rsidR="004B5C14">
        <w:rPr>
          <w:rStyle w:val="RotZchn"/>
        </w:rPr>
        <w:t>IV</w:t>
      </w:r>
      <w:r w:rsidRPr="004B5C14">
        <w:rPr>
          <w:rStyle w:val="RotZchn"/>
        </w:rPr>
        <w:t>)-oxid</w:t>
      </w:r>
      <w:r>
        <w:br/>
      </w:r>
      <w:r w:rsidRPr="004B5C14">
        <w:rPr>
          <w:rStyle w:val="CASNrZchn"/>
        </w:rPr>
        <w:t xml:space="preserve">CAS-Nr.: </w:t>
      </w:r>
      <w:r w:rsidR="004B5C14" w:rsidRPr="004B5C14">
        <w:rPr>
          <w:rStyle w:val="CASNrZchn"/>
        </w:rPr>
        <w:t>1313-13-9</w:t>
      </w:r>
      <w:r w:rsidR="004B5C14">
        <w:rPr>
          <w:rStyle w:val="CASNrZchn"/>
        </w:rPr>
        <w:tab/>
      </w:r>
      <w:r w:rsidR="004B5C14">
        <w:rPr>
          <w:rStyle w:val="CASNrZchn"/>
        </w:rPr>
        <w:br/>
      </w:r>
      <w:r w:rsidR="004B5C14" w:rsidRPr="004B5C14">
        <w:rPr>
          <w:noProof/>
          <w:lang w:eastAsia="de-DE"/>
        </w:rPr>
        <w:drawing>
          <wp:inline distT="0" distB="0" distL="0" distR="0" wp14:anchorId="0B5DACA8" wp14:editId="7FE4364F">
            <wp:extent cx="358140" cy="365760"/>
            <wp:effectExtent l="0" t="0" r="3810" b="0"/>
            <wp:docPr id="1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2"/>
                    <a:stretch>
                      <a:fillRect/>
                    </a:stretch>
                  </pic:blipFill>
                  <pic:spPr>
                    <a:xfrm>
                      <a:off x="0" y="0"/>
                      <a:ext cx="358140" cy="365760"/>
                    </a:xfrm>
                    <a:prstGeom prst="rect">
                      <a:avLst/>
                    </a:prstGeom>
                  </pic:spPr>
                </pic:pic>
              </a:graphicData>
            </a:graphic>
          </wp:inline>
        </w:drawing>
      </w:r>
      <w:r w:rsidR="004B5C14">
        <w:rPr>
          <w:rStyle w:val="CASNrZchn"/>
        </w:rPr>
        <w:t xml:space="preserve"> </w:t>
      </w:r>
      <w:r w:rsidR="004B5C14" w:rsidRPr="004B5C14">
        <w:rPr>
          <w:noProof/>
          <w:sz w:val="20"/>
          <w:szCs w:val="20"/>
          <w:lang w:eastAsia="de-DE"/>
        </w:rPr>
        <w:drawing>
          <wp:inline distT="0" distB="0" distL="0" distR="0" wp14:anchorId="5A2D035B" wp14:editId="0BE6A536">
            <wp:extent cx="365760" cy="365760"/>
            <wp:effectExtent l="0" t="0" r="0" b="0"/>
            <wp:docPr id="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13"/>
                    <a:stretch>
                      <a:fillRect/>
                    </a:stretch>
                  </pic:blipFill>
                  <pic:spPr>
                    <a:xfrm>
                      <a:off x="0" y="0"/>
                      <a:ext cx="365760" cy="365760"/>
                    </a:xfrm>
                    <a:prstGeom prst="rect">
                      <a:avLst/>
                    </a:prstGeom>
                  </pic:spPr>
                </pic:pic>
              </a:graphicData>
            </a:graphic>
          </wp:inline>
        </w:drawing>
      </w:r>
      <w:r w:rsidR="004B5C14">
        <w:rPr>
          <w:rStyle w:val="CASNrZchn"/>
        </w:rPr>
        <w:t xml:space="preserve"> Gefahr</w:t>
      </w:r>
      <w:r w:rsidR="004B5C14">
        <w:rPr>
          <w:rStyle w:val="CASNrZchn"/>
        </w:rPr>
        <w:tab/>
      </w:r>
      <w:r w:rsidR="004B5C14">
        <w:rPr>
          <w:rStyle w:val="CASNrZchn"/>
        </w:rPr>
        <w:br/>
      </w:r>
      <w:r w:rsidR="004B5C14" w:rsidRPr="004B5C14">
        <w:rPr>
          <w:rStyle w:val="CASNrZchn"/>
        </w:rPr>
        <w:t>H373, H302+H332</w:t>
      </w:r>
      <w:r w:rsidR="004B5C14" w:rsidRPr="004B5C14">
        <w:rPr>
          <w:rStyle w:val="CASNrZchn"/>
        </w:rPr>
        <w:tab/>
      </w:r>
      <w:r w:rsidR="004B5C14" w:rsidRPr="004B5C14">
        <w:rPr>
          <w:rStyle w:val="CASNrZchn"/>
        </w:rPr>
        <w:br/>
        <w:t>P314</w:t>
      </w:r>
    </w:p>
    <w:p w:rsidR="00E246AC" w:rsidRDefault="00E246AC" w:rsidP="00E246AC">
      <w:pPr>
        <w:pStyle w:val="Liste1Aufzhlung"/>
      </w:pPr>
      <w:r w:rsidRPr="004B5C14">
        <w:rPr>
          <w:rStyle w:val="RotZchn"/>
        </w:rPr>
        <w:t>Natriumcarbonat</w:t>
      </w:r>
      <w:r w:rsidRPr="000740FB">
        <w:br/>
      </w:r>
      <w:r w:rsidRPr="004B5C14">
        <w:rPr>
          <w:rStyle w:val="CASNrZchn"/>
        </w:rPr>
        <w:t>CAS-Nr.: 497-19-8</w:t>
      </w:r>
      <w:r>
        <w:tab/>
      </w:r>
      <w:r w:rsidRPr="000740FB">
        <w:br/>
      </w:r>
      <w:r w:rsidRPr="000740FB">
        <w:rPr>
          <w:noProof/>
          <w:lang w:eastAsia="de-DE"/>
        </w:rPr>
        <w:drawing>
          <wp:inline distT="0" distB="0" distL="0" distR="0" wp14:anchorId="3DBC188D" wp14:editId="74069F6D">
            <wp:extent cx="358140" cy="365760"/>
            <wp:effectExtent l="0" t="0" r="3810" b="0"/>
            <wp:docPr id="410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2"/>
                    <a:stretch>
                      <a:fillRect/>
                    </a:stretch>
                  </pic:blipFill>
                  <pic:spPr>
                    <a:xfrm>
                      <a:off x="0" y="0"/>
                      <a:ext cx="358140" cy="365760"/>
                    </a:xfrm>
                    <a:prstGeom prst="rect">
                      <a:avLst/>
                    </a:prstGeom>
                  </pic:spPr>
                </pic:pic>
              </a:graphicData>
            </a:graphic>
          </wp:inline>
        </w:drawing>
      </w:r>
      <w:r w:rsidRPr="000740FB">
        <w:t xml:space="preserve"> Achtung</w:t>
      </w:r>
      <w:r>
        <w:tab/>
      </w:r>
      <w:r w:rsidRPr="000740FB">
        <w:br/>
      </w:r>
      <w:r w:rsidRPr="004B5C14">
        <w:rPr>
          <w:rStyle w:val="CASNrZchn"/>
        </w:rPr>
        <w:t>H319</w:t>
      </w:r>
      <w:r w:rsidRPr="004B5C14">
        <w:rPr>
          <w:rStyle w:val="CASNrZchn"/>
        </w:rPr>
        <w:br/>
        <w:t>P260, P305+P351+P338</w:t>
      </w:r>
    </w:p>
    <w:p w:rsidR="00E246AC" w:rsidRDefault="004B5C14" w:rsidP="00E246AC">
      <w:pPr>
        <w:pStyle w:val="Liste1Aufzhlung"/>
      </w:pPr>
      <w:bookmarkStart w:id="8" w:name="OLE_LINK31"/>
      <w:bookmarkStart w:id="9" w:name="OLE_LINK91"/>
      <w:r>
        <w:rPr>
          <w:rStyle w:val="RotZchn"/>
        </w:rPr>
        <w:br w:type="column"/>
      </w:r>
      <w:r w:rsidRPr="004B5C14">
        <w:rPr>
          <w:rStyle w:val="RotZchn"/>
        </w:rPr>
        <w:t>Kaliumnitrat</w:t>
      </w:r>
      <w:r w:rsidRPr="000740FB">
        <w:br/>
      </w:r>
      <w:r w:rsidRPr="004B5C14">
        <w:rPr>
          <w:rStyle w:val="CASNrZchn"/>
        </w:rPr>
        <w:t>CAS-Nr.: 7757-79-1</w:t>
      </w:r>
      <w:r>
        <w:tab/>
      </w:r>
      <w:r w:rsidRPr="000740FB">
        <w:br/>
      </w:r>
      <w:r w:rsidRPr="000740FB">
        <w:rPr>
          <w:noProof/>
          <w:lang w:eastAsia="de-DE"/>
        </w:rPr>
        <w:drawing>
          <wp:inline distT="0" distB="0" distL="0" distR="0" wp14:anchorId="45088563" wp14:editId="72F1F09E">
            <wp:extent cx="358140" cy="358140"/>
            <wp:effectExtent l="0" t="0" r="3810" b="3810"/>
            <wp:docPr id="5077" name="Grafik 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Achtung</w:t>
      </w:r>
      <w:r>
        <w:tab/>
      </w:r>
      <w:r w:rsidRPr="000740FB">
        <w:br/>
      </w:r>
      <w:r w:rsidRPr="004B5C14">
        <w:rPr>
          <w:rStyle w:val="CASNrZchn"/>
        </w:rPr>
        <w:t>H272</w:t>
      </w:r>
      <w:bookmarkEnd w:id="8"/>
      <w:r w:rsidRPr="004B5C14">
        <w:rPr>
          <w:rStyle w:val="CASNrZchn"/>
        </w:rPr>
        <w:br/>
        <w:t>P210, P221</w:t>
      </w:r>
      <w:bookmarkEnd w:id="9"/>
    </w:p>
    <w:p w:rsidR="004B5C14" w:rsidRPr="00E246AC" w:rsidRDefault="004B5C14" w:rsidP="00E246AC">
      <w:pPr>
        <w:pStyle w:val="Liste1Aufzhlung"/>
      </w:pPr>
      <w:bookmarkStart w:id="10" w:name="OLE_LINK121"/>
      <w:r w:rsidRPr="004B5C14">
        <w:rPr>
          <w:rStyle w:val="RotZchn"/>
        </w:rPr>
        <w:t>Essigsäure</w:t>
      </w:r>
      <w:r w:rsidRPr="000740FB">
        <w:t xml:space="preserve"> (</w:t>
      </w:r>
      <w:r w:rsidRPr="004B5C14">
        <w:rPr>
          <w:rStyle w:val="RotZchn"/>
        </w:rPr>
        <w:t>Eisessig</w:t>
      </w:r>
      <w:r w:rsidRPr="000740FB">
        <w:t>)</w:t>
      </w:r>
      <w:r>
        <w:tab/>
      </w:r>
      <w:r w:rsidRPr="000740FB">
        <w:br/>
        <w:t>w= 100%</w:t>
      </w:r>
      <w:r>
        <w:tab/>
      </w:r>
      <w:r w:rsidRPr="000740FB">
        <w:br/>
      </w:r>
      <w:r w:rsidRPr="004B5C14">
        <w:rPr>
          <w:rStyle w:val="CASNrZchn"/>
        </w:rPr>
        <w:t>CAS-Nr.: 64-19-7</w:t>
      </w:r>
      <w:r>
        <w:tab/>
      </w:r>
      <w:r w:rsidRPr="000740FB">
        <w:br/>
      </w:r>
      <w:r w:rsidRPr="000740FB">
        <w:rPr>
          <w:noProof/>
          <w:lang w:eastAsia="de-DE"/>
        </w:rPr>
        <w:drawing>
          <wp:inline distT="0" distB="0" distL="0" distR="0" wp14:anchorId="4A522854" wp14:editId="4CE209BD">
            <wp:extent cx="358140" cy="358140"/>
            <wp:effectExtent l="0" t="0" r="3810" b="3810"/>
            <wp:docPr id="5112" name="Grafik 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169C6EBB" wp14:editId="0A50B1F6">
            <wp:extent cx="358140" cy="365760"/>
            <wp:effectExtent l="0" t="0" r="3810" b="0"/>
            <wp:docPr id="5115" name="Grafik 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tab/>
      </w:r>
      <w:r w:rsidRPr="000740FB">
        <w:br/>
      </w:r>
      <w:r w:rsidRPr="004B5C14">
        <w:rPr>
          <w:rStyle w:val="CASNrZchn"/>
        </w:rPr>
        <w:t>H226, H290, H314</w:t>
      </w:r>
      <w:r w:rsidRPr="004B5C14">
        <w:rPr>
          <w:rStyle w:val="CASNrZchn"/>
        </w:rPr>
        <w:tab/>
      </w:r>
      <w:r w:rsidRPr="004B5C14">
        <w:rPr>
          <w:rStyle w:val="CASNrZchn"/>
        </w:rPr>
        <w:br/>
        <w:t>P210, P280, P301+P330+P331, P305+P351+P338, P308+P310</w:t>
      </w:r>
      <w:bookmarkEnd w:id="10"/>
    </w:p>
    <w:p w:rsidR="004B5C14" w:rsidRDefault="004B5C14" w:rsidP="00E246AC">
      <w:pPr>
        <w:rPr>
          <w:rStyle w:val="Fett"/>
        </w:rPr>
        <w:sectPr w:rsidR="004B5C14" w:rsidSect="004B5C14">
          <w:type w:val="continuous"/>
          <w:pgSz w:w="11906" w:h="16838"/>
          <w:pgMar w:top="851" w:right="1134" w:bottom="1134" w:left="1418" w:header="0" w:footer="0" w:gutter="0"/>
          <w:cols w:num="2" w:space="708"/>
          <w:titlePg/>
          <w:docGrid w:linePitch="360"/>
        </w:sectPr>
      </w:pPr>
    </w:p>
    <w:p w:rsidR="004B5C14" w:rsidRDefault="004B5C14" w:rsidP="00E246AC">
      <w:pPr>
        <w:rPr>
          <w:rFonts w:cs="Arial"/>
        </w:rPr>
      </w:pPr>
      <w:r w:rsidRPr="004B5C14">
        <w:rPr>
          <w:rStyle w:val="Fett"/>
        </w:rPr>
        <w:t>Durchführung</w:t>
      </w:r>
      <w:r>
        <w:t xml:space="preserve">: </w:t>
      </w:r>
      <w:r>
        <w:rPr>
          <w:rFonts w:cs="Arial"/>
        </w:rPr>
        <w:t>Eine kleine Spatelspitze Braunstein (MnO</w:t>
      </w:r>
      <w:r>
        <w:rPr>
          <w:rFonts w:cs="Arial"/>
          <w:vertAlign w:val="subscript"/>
        </w:rPr>
        <w:t>2</w:t>
      </w:r>
      <w:r>
        <w:rPr>
          <w:rFonts w:cs="Arial"/>
        </w:rPr>
        <w:t>) wird mit der 3 bis 6fachen Menge einer Mischung aus gleichen Teilen Soda (Na</w:t>
      </w:r>
      <w:r>
        <w:rPr>
          <w:rFonts w:cs="Arial"/>
          <w:vertAlign w:val="subscript"/>
        </w:rPr>
        <w:t>2</w:t>
      </w:r>
      <w:r>
        <w:rPr>
          <w:rFonts w:cs="Arial"/>
        </w:rPr>
        <w:t>CO</w:t>
      </w:r>
      <w:r>
        <w:rPr>
          <w:rFonts w:cs="Arial"/>
          <w:vertAlign w:val="subscript"/>
        </w:rPr>
        <w:t>3</w:t>
      </w:r>
      <w:r>
        <w:rPr>
          <w:rFonts w:cs="Arial"/>
        </w:rPr>
        <w:t>) und Kaliumnitrat (KNO</w:t>
      </w:r>
      <w:r>
        <w:rPr>
          <w:rFonts w:cs="Arial"/>
          <w:vertAlign w:val="subscript"/>
        </w:rPr>
        <w:t>3</w:t>
      </w:r>
      <w:r>
        <w:rPr>
          <w:rFonts w:cs="Arial"/>
        </w:rPr>
        <w:t>) feinst verrieben und in einer Magnesia-Rinne so lange zur Rotglut erhitzt, bis die Gas-Entwicklung aufhört. Die erkaltete Schmelze abkratzen und in ein Reagenzglas zu ca. 5 mL Wasser geben. Anschließend säuert man mit wenig Eisessig an.</w:t>
      </w:r>
    </w:p>
    <w:p w:rsidR="004B5C14" w:rsidRDefault="004B5C14" w:rsidP="00E246AC">
      <w:pPr>
        <w:rPr>
          <w:rFonts w:cs="Arial"/>
        </w:rPr>
      </w:pPr>
      <w:r w:rsidRPr="004B5C14">
        <w:rPr>
          <w:rStyle w:val="Fett"/>
        </w:rPr>
        <w:t>Beobachtung</w:t>
      </w:r>
      <w:r>
        <w:rPr>
          <w:rFonts w:cs="Arial"/>
        </w:rPr>
        <w:t>: Die hellgraue Mischung aus MnO</w:t>
      </w:r>
      <w:r>
        <w:rPr>
          <w:rFonts w:cs="Arial"/>
          <w:vertAlign w:val="subscript"/>
        </w:rPr>
        <w:t>2</w:t>
      </w:r>
      <w:r>
        <w:rPr>
          <w:rFonts w:cs="Arial"/>
        </w:rPr>
        <w:t>, Na</w:t>
      </w:r>
      <w:r>
        <w:rPr>
          <w:rFonts w:cs="Arial"/>
          <w:vertAlign w:val="subscript"/>
        </w:rPr>
        <w:t>2</w:t>
      </w:r>
      <w:r>
        <w:rPr>
          <w:rFonts w:cs="Arial"/>
        </w:rPr>
        <w:t>CO</w:t>
      </w:r>
      <w:r>
        <w:rPr>
          <w:rFonts w:cs="Arial"/>
          <w:vertAlign w:val="subscript"/>
        </w:rPr>
        <w:t>3</w:t>
      </w:r>
      <w:r>
        <w:rPr>
          <w:rFonts w:cs="Arial"/>
        </w:rPr>
        <w:t xml:space="preserve"> und KNO</w:t>
      </w:r>
      <w:r>
        <w:rPr>
          <w:rFonts w:cs="Arial"/>
          <w:vertAlign w:val="subscript"/>
        </w:rPr>
        <w:t>3</w:t>
      </w:r>
      <w:r>
        <w:rPr>
          <w:rFonts w:cs="Arial"/>
        </w:rPr>
        <w:t xml:space="preserve"> hat sich während des Schmelzvorgangs dunkelgrün gefärbt. Diese Farbe nimmt auch das Wasser im Reagenzglas an. Nach Zugabe von Eisessig schlägt die Farbe der Flüssigkeit nach rosa um. Nach einiger Zeit fällt ein brauner Niederschlag aus.</w:t>
      </w:r>
    </w:p>
    <w:p w:rsidR="004B5C14" w:rsidRPr="004B5C14" w:rsidRDefault="004B5C14" w:rsidP="004B5C14">
      <w:pPr>
        <w:rPr>
          <w:lang w:eastAsia="de-DE"/>
        </w:rPr>
      </w:pPr>
      <w:r w:rsidRPr="004B5C14">
        <w:rPr>
          <w:rStyle w:val="Fett"/>
        </w:rPr>
        <w:t>Interpretation</w:t>
      </w:r>
      <w:r>
        <w:t xml:space="preserve">: </w:t>
      </w:r>
      <w:r w:rsidRPr="004B5C14">
        <w:rPr>
          <w:lang w:eastAsia="de-DE"/>
        </w:rPr>
        <w:t>Braunstein wurde mit Hilfe von Na</w:t>
      </w:r>
      <w:r w:rsidRPr="004B5C14">
        <w:rPr>
          <w:vertAlign w:val="subscript"/>
          <w:lang w:eastAsia="de-DE"/>
        </w:rPr>
        <w:t>2</w:t>
      </w:r>
      <w:r w:rsidRPr="004B5C14">
        <w:rPr>
          <w:lang w:eastAsia="de-DE"/>
        </w:rPr>
        <w:t>CO</w:t>
      </w:r>
      <w:r w:rsidRPr="004B5C14">
        <w:rPr>
          <w:vertAlign w:val="subscript"/>
          <w:lang w:eastAsia="de-DE"/>
        </w:rPr>
        <w:t>3</w:t>
      </w:r>
      <w:r w:rsidRPr="004B5C14">
        <w:rPr>
          <w:lang w:eastAsia="de-DE"/>
        </w:rPr>
        <w:t xml:space="preserve"> und KNO</w:t>
      </w:r>
      <w:r w:rsidRPr="004B5C14">
        <w:rPr>
          <w:vertAlign w:val="subscript"/>
          <w:lang w:eastAsia="de-DE"/>
        </w:rPr>
        <w:t>3</w:t>
      </w:r>
      <w:r w:rsidRPr="004B5C14">
        <w:rPr>
          <w:lang w:eastAsia="de-DE"/>
        </w:rPr>
        <w:t xml:space="preserve"> oxidiert, wobei das grüne MnO</w:t>
      </w:r>
      <w:r w:rsidRPr="004B5C14">
        <w:rPr>
          <w:vertAlign w:val="subscript"/>
          <w:lang w:eastAsia="de-DE"/>
        </w:rPr>
        <w:t xml:space="preserve">4 </w:t>
      </w:r>
      <w:r w:rsidRPr="004B5C14">
        <w:rPr>
          <w:vertAlign w:val="superscript"/>
          <w:lang w:eastAsia="de-DE"/>
        </w:rPr>
        <w:t>2-</w:t>
      </w:r>
      <w:r w:rsidRPr="004B5C14">
        <w:rPr>
          <w:lang w:eastAsia="de-DE"/>
        </w:rPr>
        <w:t>-Ion entstand. Nach Zugabe von Säure (Eisessig) disproportionierte Mn</w:t>
      </w:r>
      <w:r w:rsidRPr="004B5C14">
        <w:rPr>
          <w:vertAlign w:val="superscript"/>
          <w:lang w:eastAsia="de-DE"/>
        </w:rPr>
        <w:t xml:space="preserve">6+ </w:t>
      </w:r>
      <w:r w:rsidRPr="004B5C14">
        <w:rPr>
          <w:lang w:eastAsia="de-DE"/>
        </w:rPr>
        <w:t>aus dem MnO</w:t>
      </w:r>
      <w:r w:rsidRPr="004B5C14">
        <w:rPr>
          <w:vertAlign w:val="subscript"/>
          <w:lang w:eastAsia="de-DE"/>
        </w:rPr>
        <w:t>4</w:t>
      </w:r>
      <w:r w:rsidRPr="004B5C14">
        <w:rPr>
          <w:vertAlign w:val="superscript"/>
          <w:lang w:eastAsia="de-DE"/>
        </w:rPr>
        <w:t>2-</w:t>
      </w:r>
      <w:r w:rsidRPr="004B5C14">
        <w:rPr>
          <w:lang w:eastAsia="de-DE"/>
        </w:rPr>
        <w:t xml:space="preserve"> -Ion zu Mn</w:t>
      </w:r>
      <w:r w:rsidRPr="004B5C14">
        <w:rPr>
          <w:vertAlign w:val="superscript"/>
          <w:lang w:eastAsia="de-DE"/>
        </w:rPr>
        <w:t>7+</w:t>
      </w:r>
      <w:r w:rsidRPr="004B5C14">
        <w:rPr>
          <w:lang w:eastAsia="de-DE"/>
        </w:rPr>
        <w:t xml:space="preserve"> im MnO</w:t>
      </w:r>
      <w:r w:rsidRPr="004B5C14">
        <w:rPr>
          <w:vertAlign w:val="subscript"/>
          <w:lang w:eastAsia="de-DE"/>
        </w:rPr>
        <w:t>4</w:t>
      </w:r>
      <w:r w:rsidRPr="004B5C14">
        <w:rPr>
          <w:vertAlign w:val="superscript"/>
          <w:lang w:eastAsia="de-DE"/>
        </w:rPr>
        <w:t>-</w:t>
      </w:r>
      <w:r w:rsidRPr="004B5C14">
        <w:rPr>
          <w:lang w:eastAsia="de-DE"/>
        </w:rPr>
        <w:t xml:space="preserve"> - Ion und Mn</w:t>
      </w:r>
      <w:r w:rsidRPr="004B5C14">
        <w:rPr>
          <w:vertAlign w:val="superscript"/>
          <w:lang w:eastAsia="de-DE"/>
        </w:rPr>
        <w:t>4+</w:t>
      </w:r>
      <w:r w:rsidRPr="004B5C14">
        <w:rPr>
          <w:lang w:eastAsia="de-DE"/>
        </w:rPr>
        <w:t xml:space="preserve"> in MnO</w:t>
      </w:r>
      <w:r w:rsidRPr="004B5C14">
        <w:rPr>
          <w:vertAlign w:val="subscript"/>
          <w:lang w:eastAsia="de-DE"/>
        </w:rPr>
        <w:t>2</w:t>
      </w:r>
      <w:r w:rsidRPr="004B5C14">
        <w:rPr>
          <w:lang w:eastAsia="de-DE"/>
        </w:rPr>
        <w:t>.</w:t>
      </w:r>
    </w:p>
    <w:p w:rsidR="004B5C14" w:rsidRDefault="004B5C14" w:rsidP="004B5C14">
      <w:pPr>
        <w:rPr>
          <w:lang w:eastAsia="de-DE"/>
        </w:rPr>
      </w:pPr>
      <w:r w:rsidRPr="004B5C14">
        <w:rPr>
          <w:lang w:eastAsia="de-DE"/>
        </w:rPr>
        <w:t>Aufschluss von Braunstein:</w:t>
      </w:r>
    </w:p>
    <w:p w:rsidR="004B5C14" w:rsidRPr="00895E43" w:rsidRDefault="004B5C14" w:rsidP="004B5C14">
      <w:pPr>
        <w:rPr>
          <w:rFonts w:asciiTheme="minorHAnsi" w:eastAsiaTheme="minorEastAsia" w:hAnsiTheme="minorHAnsi" w:cstheme="minorHAnsi"/>
          <w:lang w:eastAsia="de-DE"/>
        </w:rPr>
      </w:pPr>
      <w:r w:rsidRPr="00895E43">
        <w:rPr>
          <w:rFonts w:asciiTheme="minorHAnsi" w:hAnsiTheme="minorHAnsi" w:cstheme="minorHAnsi"/>
          <w:lang w:eastAsia="de-DE"/>
        </w:rPr>
        <w:t>Reduktion:</w:t>
      </w:r>
      <w:r w:rsidR="00672371" w:rsidRPr="00895E43">
        <w:rPr>
          <w:rFonts w:asciiTheme="minorHAnsi" w:hAnsiTheme="minorHAnsi" w:cstheme="minorHAnsi"/>
          <w:lang w:eastAsia="de-DE"/>
        </w:rPr>
        <w:tab/>
      </w:r>
      <w:r w:rsidR="00672371" w:rsidRPr="00895E43">
        <w:rPr>
          <w:rFonts w:asciiTheme="minorHAnsi" w:hAnsiTheme="minorHAnsi" w:cstheme="minorHAnsi"/>
          <w:lang w:eastAsia="de-DE"/>
        </w:rPr>
        <w:tab/>
      </w:r>
      <w:r w:rsidR="00672371" w:rsidRPr="00895E43">
        <w:rPr>
          <w:rFonts w:asciiTheme="minorHAnsi" w:hAnsiTheme="minorHAnsi" w:cstheme="minorHAnsi"/>
          <w:lang w:eastAsia="de-DE"/>
        </w:rPr>
        <w:tab/>
      </w:r>
      <w:r w:rsidRPr="00895E43">
        <w:rPr>
          <w:rFonts w:asciiTheme="minorHAnsi" w:hAnsiTheme="minorHAnsi" w:cstheme="minorHAnsi"/>
          <w:lang w:eastAsia="de-DE"/>
        </w:rPr>
        <w:t xml:space="preserve"> </w:t>
      </w:r>
      <m:oMath>
        <m:sSubSup>
          <m:sSubSupPr>
            <m:ctrlPr>
              <w:rPr>
                <w:rFonts w:ascii="Cambria Math" w:hAnsi="Cambria Math" w:cstheme="minorHAnsi"/>
                <w:lang w:eastAsia="de-DE"/>
              </w:rPr>
            </m:ctrlPr>
          </m:sSubSupPr>
          <m:e>
            <m:r>
              <m:rPr>
                <m:nor/>
              </m:rPr>
              <w:rPr>
                <w:rFonts w:asciiTheme="minorHAnsi" w:hAnsiTheme="minorHAnsi" w:cstheme="minorHAnsi"/>
              </w:rPr>
              <m:t>NO</m:t>
            </m:r>
          </m:e>
          <m:sub>
            <m:r>
              <m:rPr>
                <m:nor/>
              </m:rPr>
              <w:rPr>
                <w:rFonts w:asciiTheme="minorHAnsi" w:hAnsiTheme="minorHAnsi" w:cstheme="minorHAnsi"/>
              </w:rPr>
              <m:t>3</m:t>
            </m:r>
          </m:sub>
          <m:sup>
            <m:r>
              <m:rPr>
                <m:nor/>
              </m:rPr>
              <w:rPr>
                <w:rFonts w:asciiTheme="minorHAnsi" w:hAnsiTheme="minorHAnsi" w:cstheme="minorHAnsi"/>
              </w:rPr>
              <m:t>-</m:t>
            </m:r>
          </m:sup>
        </m:sSubSup>
        <m:r>
          <m:rPr>
            <m:nor/>
          </m:rPr>
          <w:rPr>
            <w:rFonts w:asciiTheme="minorHAnsi" w:hAnsiTheme="minorHAnsi" w:cstheme="minorHAnsi"/>
          </w:rPr>
          <m:t xml:space="preserve"> + </m:t>
        </m:r>
        <m:sSub>
          <m:sSubPr>
            <m:ctrlPr>
              <w:rPr>
                <w:rFonts w:ascii="Cambria Math" w:hAnsi="Cambria Math" w:cstheme="minorHAnsi"/>
                <w:lang w:eastAsia="de-DE"/>
              </w:rPr>
            </m:ctrlPr>
          </m:sSubPr>
          <m:e>
            <m:r>
              <m:rPr>
                <m:nor/>
              </m:rPr>
              <w:rPr>
                <w:rFonts w:asciiTheme="minorHAnsi" w:hAnsiTheme="minorHAnsi" w:cstheme="minorHAnsi"/>
              </w:rPr>
              <m:t>CO</m:t>
            </m:r>
          </m:e>
          <m:sub>
            <m:r>
              <m:rPr>
                <m:nor/>
              </m:rPr>
              <w:rPr>
                <w:rFonts w:asciiTheme="minorHAnsi" w:hAnsiTheme="minorHAnsi" w:cstheme="minorHAnsi"/>
              </w:rPr>
              <m:t>2</m:t>
            </m:r>
          </m:sub>
        </m:sSub>
        <m:r>
          <m:rPr>
            <m:nor/>
          </m:rPr>
          <w:rPr>
            <w:rFonts w:asciiTheme="minorHAnsi" w:hAnsiTheme="minorHAnsi" w:cstheme="minorHAnsi"/>
          </w:rPr>
          <m:t xml:space="preserve"> + </m:t>
        </m:r>
        <m:sSup>
          <m:sSupPr>
            <m:ctrlPr>
              <w:rPr>
                <w:rFonts w:ascii="Cambria Math" w:hAnsi="Cambria Math" w:cstheme="minorHAnsi"/>
                <w:lang w:eastAsia="de-DE"/>
              </w:rPr>
            </m:ctrlPr>
          </m:sSupPr>
          <m:e>
            <m:r>
              <m:rPr>
                <m:nor/>
              </m:rPr>
              <w:rPr>
                <w:rFonts w:asciiTheme="minorHAnsi" w:hAnsiTheme="minorHAnsi" w:cstheme="minorHAnsi"/>
              </w:rPr>
              <m:t>2e</m:t>
            </m:r>
          </m:e>
          <m:sup>
            <m:r>
              <m:rPr>
                <m:nor/>
              </m:rPr>
              <w:rPr>
                <w:rFonts w:asciiTheme="minorHAnsi" w:hAnsiTheme="minorHAnsi" w:cstheme="minorHAnsi"/>
              </w:rPr>
              <m:t>-</m:t>
            </m:r>
          </m:sup>
        </m:sSup>
        <m:r>
          <m:rPr>
            <m:nor/>
          </m:rPr>
          <w:rPr>
            <w:rFonts w:asciiTheme="minorHAnsi" w:hAnsiTheme="minorHAnsi" w:cstheme="minorHAnsi"/>
          </w:rPr>
          <m:t xml:space="preserve"> → </m:t>
        </m:r>
        <m:sSubSup>
          <m:sSubSupPr>
            <m:ctrlPr>
              <w:rPr>
                <w:rFonts w:ascii="Cambria Math" w:hAnsi="Cambria Math" w:cstheme="minorHAnsi"/>
                <w:lang w:eastAsia="de-DE"/>
              </w:rPr>
            </m:ctrlPr>
          </m:sSubSupPr>
          <m:e>
            <m:r>
              <m:rPr>
                <m:nor/>
              </m:rPr>
              <w:rPr>
                <w:rFonts w:asciiTheme="minorHAnsi" w:hAnsiTheme="minorHAnsi" w:cstheme="minorHAnsi"/>
              </w:rPr>
              <m:t>NO</m:t>
            </m:r>
          </m:e>
          <m:sub>
            <m:r>
              <m:rPr>
                <m:nor/>
              </m:rPr>
              <w:rPr>
                <w:rFonts w:asciiTheme="minorHAnsi" w:hAnsiTheme="minorHAnsi" w:cstheme="minorHAnsi"/>
              </w:rPr>
              <m:t>2</m:t>
            </m:r>
          </m:sub>
          <m:sup>
            <m:r>
              <m:rPr>
                <m:nor/>
              </m:rPr>
              <w:rPr>
                <w:rFonts w:asciiTheme="minorHAnsi" w:hAnsiTheme="minorHAnsi" w:cstheme="minorHAnsi"/>
              </w:rPr>
              <m:t>-</m:t>
            </m:r>
          </m:sup>
        </m:sSubSup>
        <m:r>
          <m:rPr>
            <m:nor/>
          </m:rPr>
          <w:rPr>
            <w:rFonts w:asciiTheme="minorHAnsi" w:hAnsiTheme="minorHAnsi" w:cstheme="minorHAnsi"/>
          </w:rPr>
          <m:t xml:space="preserve"> + </m:t>
        </m:r>
        <m:sSubSup>
          <m:sSubSupPr>
            <m:ctrlPr>
              <w:rPr>
                <w:rFonts w:ascii="Cambria Math" w:hAnsi="Cambria Math" w:cstheme="minorHAnsi"/>
                <w:lang w:eastAsia="de-DE"/>
              </w:rPr>
            </m:ctrlPr>
          </m:sSubSupPr>
          <m:e>
            <m:r>
              <m:rPr>
                <m:nor/>
              </m:rPr>
              <w:rPr>
                <w:rFonts w:asciiTheme="minorHAnsi" w:hAnsiTheme="minorHAnsi" w:cstheme="minorHAnsi"/>
              </w:rPr>
              <m:t>CO</m:t>
            </m:r>
          </m:e>
          <m:sub>
            <m:r>
              <m:rPr>
                <m:nor/>
              </m:rPr>
              <w:rPr>
                <w:rFonts w:asciiTheme="minorHAnsi" w:hAnsiTheme="minorHAnsi" w:cstheme="minorHAnsi"/>
              </w:rPr>
              <m:t>3</m:t>
            </m:r>
          </m:sub>
          <m:sup>
            <m:r>
              <m:rPr>
                <m:nor/>
              </m:rPr>
              <w:rPr>
                <w:rFonts w:asciiTheme="minorHAnsi" w:hAnsiTheme="minorHAnsi" w:cstheme="minorHAnsi"/>
              </w:rPr>
              <m:t>2-</m:t>
            </m:r>
          </m:sup>
        </m:sSubSup>
      </m:oMath>
    </w:p>
    <w:p w:rsidR="00672371" w:rsidRPr="00895E43" w:rsidRDefault="00672371" w:rsidP="004B5C14">
      <w:pPr>
        <w:rPr>
          <w:rFonts w:asciiTheme="minorHAnsi" w:eastAsiaTheme="minorEastAsia" w:hAnsiTheme="minorHAnsi" w:cstheme="minorHAnsi"/>
          <w:lang w:val="en-US" w:eastAsia="de-DE"/>
        </w:rPr>
      </w:pPr>
      <w:r w:rsidRPr="00895E43">
        <w:rPr>
          <w:rFonts w:asciiTheme="minorHAnsi" w:eastAsiaTheme="minorEastAsia" w:hAnsiTheme="minorHAnsi" w:cstheme="minorHAnsi"/>
          <w:lang w:val="en-US" w:eastAsia="de-DE"/>
        </w:rPr>
        <w:t>Oxidation:</w:t>
      </w:r>
      <w:r w:rsidRPr="00895E43">
        <w:rPr>
          <w:rFonts w:asciiTheme="minorHAnsi" w:eastAsiaTheme="minorEastAsia" w:hAnsiTheme="minorHAnsi" w:cstheme="minorHAnsi"/>
          <w:lang w:val="en-US" w:eastAsia="de-DE"/>
        </w:rPr>
        <w:tab/>
      </w:r>
      <w:r w:rsidRPr="00895E43">
        <w:rPr>
          <w:rFonts w:asciiTheme="minorHAnsi" w:eastAsiaTheme="minorEastAsia" w:hAnsiTheme="minorHAnsi" w:cstheme="minorHAnsi"/>
          <w:lang w:val="en-US" w:eastAsia="de-DE"/>
        </w:rPr>
        <w:tab/>
      </w:r>
      <w:r w:rsidRPr="00895E43">
        <w:rPr>
          <w:rFonts w:asciiTheme="minorHAnsi" w:eastAsiaTheme="minorEastAsia" w:hAnsiTheme="minorHAnsi" w:cstheme="minorHAnsi"/>
          <w:lang w:val="en-US" w:eastAsia="de-DE"/>
        </w:rPr>
        <w:tab/>
        <w:t xml:space="preserve">     </w:t>
      </w:r>
      <m:oMath>
        <m:sSub>
          <m:sSubPr>
            <m:ctrlPr>
              <w:rPr>
                <w:rFonts w:asciiTheme="minorHAnsi" w:eastAsiaTheme="minorEastAsia" w:hAnsiTheme="minorHAnsi" w:cstheme="minorHAnsi"/>
                <w:i/>
                <w:lang w:eastAsia="de-DE"/>
              </w:rPr>
            </m:ctrlPr>
          </m:sSubPr>
          <m:e>
            <w:proofErr w:type="spellStart"/>
            <m:r>
              <m:rPr>
                <m:nor/>
              </m:rPr>
              <w:rPr>
                <w:rFonts w:asciiTheme="minorHAnsi" w:eastAsiaTheme="minorEastAsia" w:hAnsiTheme="minorHAnsi" w:cstheme="minorHAnsi"/>
                <w:lang w:val="en-US" w:eastAsia="de-DE"/>
              </w:rPr>
              <m:t>MnO</m:t>
            </m:r>
            <w:proofErr w:type="spellEnd"/>
          </m:e>
          <m:sub>
            <m:r>
              <m:rPr>
                <m:nor/>
              </m:rPr>
              <w:rPr>
                <w:rFonts w:asciiTheme="minorHAnsi" w:eastAsiaTheme="minorEastAsia" w:hAnsiTheme="minorHAnsi" w:cstheme="minorHAnsi"/>
                <w:lang w:val="en-US" w:eastAsia="de-DE"/>
              </w:rPr>
              <m:t>2</m:t>
            </m:r>
          </m:sub>
        </m:sSub>
        <m:r>
          <m:rPr>
            <m:nor/>
          </m:rPr>
          <w:rPr>
            <w:rFonts w:asciiTheme="minorHAnsi" w:eastAsiaTheme="minorEastAsia" w:hAnsiTheme="minorHAnsi" w:cstheme="minorHAnsi"/>
            <w:lang w:val="en-US" w:eastAsia="de-DE"/>
          </w:rPr>
          <m:t xml:space="preserve"> + 2</m:t>
        </m:r>
        <m:sSubSup>
          <m:sSubSupPr>
            <m:ctrlPr>
              <w:rPr>
                <w:rFonts w:asciiTheme="minorHAnsi" w:eastAsiaTheme="minorEastAsia" w:hAnsiTheme="minorHAnsi" w:cstheme="minorHAnsi"/>
                <w:i/>
                <w:lang w:eastAsia="de-DE"/>
              </w:rPr>
            </m:ctrlPr>
          </m:sSubSupPr>
          <m:e>
            <m:r>
              <m:rPr>
                <m:nor/>
              </m:rPr>
              <w:rPr>
                <w:rFonts w:asciiTheme="minorHAnsi" w:eastAsiaTheme="minorEastAsia" w:hAnsiTheme="minorHAnsi" w:cstheme="minorHAnsi"/>
                <w:lang w:val="en-US" w:eastAsia="de-DE"/>
              </w:rPr>
              <m:t>CO</m:t>
            </m:r>
          </m:e>
          <m:sub>
            <m:r>
              <m:rPr>
                <m:nor/>
              </m:rPr>
              <w:rPr>
                <w:rFonts w:asciiTheme="minorHAnsi" w:eastAsiaTheme="minorEastAsia" w:hAnsiTheme="minorHAnsi" w:cstheme="minorHAnsi"/>
                <w:lang w:val="en-US" w:eastAsia="de-DE"/>
              </w:rPr>
              <m:t>3</m:t>
            </m:r>
          </m:sub>
          <m:sup>
            <m:r>
              <m:rPr>
                <m:nor/>
              </m:rPr>
              <w:rPr>
                <w:rFonts w:asciiTheme="minorHAnsi" w:eastAsiaTheme="minorEastAsia" w:hAnsiTheme="minorHAnsi" w:cstheme="minorHAnsi"/>
                <w:lang w:val="en-US" w:eastAsia="de-DE"/>
              </w:rPr>
              <m:t>2-</m:t>
            </m:r>
          </m:sup>
        </m:sSubSup>
        <m:r>
          <m:rPr>
            <m:nor/>
          </m:rPr>
          <w:rPr>
            <w:rFonts w:asciiTheme="minorHAnsi" w:eastAsiaTheme="minorEastAsia" w:hAnsiTheme="minorHAnsi" w:cstheme="minorHAnsi"/>
            <w:lang w:val="en-US" w:eastAsia="de-DE"/>
          </w:rPr>
          <m:t xml:space="preserve"> → </m:t>
        </m:r>
        <m:sSub>
          <m:sSubPr>
            <m:ctrlPr>
              <w:rPr>
                <w:rFonts w:asciiTheme="minorHAnsi" w:eastAsiaTheme="minorEastAsia" w:hAnsiTheme="minorHAnsi" w:cstheme="minorHAnsi"/>
                <w:i/>
                <w:lang w:eastAsia="de-DE"/>
              </w:rPr>
            </m:ctrlPr>
          </m:sSubPr>
          <m:e>
            <m:r>
              <m:rPr>
                <m:nor/>
              </m:rPr>
              <w:rPr>
                <w:rFonts w:asciiTheme="minorHAnsi" w:eastAsiaTheme="minorEastAsia" w:hAnsiTheme="minorHAnsi" w:cstheme="minorHAnsi"/>
                <w:lang w:val="en-US" w:eastAsia="de-DE"/>
              </w:rPr>
              <m:t xml:space="preserve"> </m:t>
            </m:r>
            <w:proofErr w:type="spellStart"/>
            <m:r>
              <m:rPr>
                <m:nor/>
              </m:rPr>
              <w:rPr>
                <w:rFonts w:asciiTheme="minorHAnsi" w:eastAsiaTheme="minorEastAsia" w:hAnsiTheme="minorHAnsi" w:cstheme="minorHAnsi"/>
                <w:lang w:val="en-US" w:eastAsia="de-DE"/>
              </w:rPr>
              <m:t>MnO</m:t>
            </m:r>
            <w:proofErr w:type="spellEnd"/>
          </m:e>
          <m:sub>
            <m:r>
              <m:rPr>
                <m:nor/>
              </m:rPr>
              <w:rPr>
                <w:rFonts w:asciiTheme="minorHAnsi" w:eastAsiaTheme="minorEastAsia" w:hAnsiTheme="minorHAnsi" w:cstheme="minorHAnsi"/>
                <w:lang w:val="en-US" w:eastAsia="de-DE"/>
              </w:rPr>
              <m:t>4</m:t>
            </m:r>
          </m:sub>
        </m:sSub>
        <m:r>
          <m:rPr>
            <m:nor/>
          </m:rPr>
          <w:rPr>
            <w:rFonts w:asciiTheme="minorHAnsi" w:eastAsiaTheme="minorEastAsia" w:hAnsiTheme="minorHAnsi" w:cstheme="minorHAnsi"/>
            <w:lang w:val="en-US" w:eastAsia="de-DE"/>
          </w:rPr>
          <m:t xml:space="preserve"> + 2</m:t>
        </m:r>
        <m:sSup>
          <m:sSupPr>
            <m:ctrlPr>
              <w:rPr>
                <w:rFonts w:asciiTheme="minorHAnsi" w:eastAsiaTheme="minorEastAsia" w:hAnsiTheme="minorHAnsi" w:cstheme="minorHAnsi"/>
                <w:i/>
                <w:lang w:eastAsia="de-DE"/>
              </w:rPr>
            </m:ctrlPr>
          </m:sSupPr>
          <m:e>
            <m:r>
              <m:rPr>
                <m:nor/>
              </m:rPr>
              <w:rPr>
                <w:rFonts w:asciiTheme="minorHAnsi" w:eastAsiaTheme="minorEastAsia" w:hAnsiTheme="minorHAnsi" w:cstheme="minorHAnsi"/>
                <w:lang w:val="en-US" w:eastAsia="de-DE"/>
              </w:rPr>
              <m:t>e</m:t>
            </m:r>
          </m:e>
          <m:sup>
            <m:r>
              <m:rPr>
                <m:nor/>
              </m:rPr>
              <w:rPr>
                <w:rFonts w:asciiTheme="minorHAnsi" w:eastAsiaTheme="minorEastAsia" w:hAnsiTheme="minorHAnsi" w:cstheme="minorHAnsi"/>
                <w:lang w:val="en-US" w:eastAsia="de-DE"/>
              </w:rPr>
              <m:t>-</m:t>
            </m:r>
          </m:sup>
        </m:sSup>
        <m:r>
          <m:rPr>
            <m:nor/>
          </m:rPr>
          <w:rPr>
            <w:rFonts w:asciiTheme="minorHAnsi" w:eastAsiaTheme="minorEastAsia" w:hAnsiTheme="minorHAnsi" w:cstheme="minorHAnsi"/>
            <w:lang w:val="en-US" w:eastAsia="de-DE"/>
          </w:rPr>
          <m:t xml:space="preserve"> + 2</m:t>
        </m:r>
        <m:sSub>
          <m:sSubPr>
            <m:ctrlPr>
              <w:rPr>
                <w:rFonts w:asciiTheme="minorHAnsi" w:eastAsiaTheme="minorEastAsia" w:hAnsiTheme="minorHAnsi" w:cstheme="minorHAnsi"/>
                <w:i/>
                <w:lang w:eastAsia="de-DE"/>
              </w:rPr>
            </m:ctrlPr>
          </m:sSubPr>
          <m:e>
            <m:r>
              <m:rPr>
                <m:nor/>
              </m:rPr>
              <w:rPr>
                <w:rFonts w:asciiTheme="minorHAnsi" w:eastAsiaTheme="minorEastAsia" w:hAnsiTheme="minorHAnsi" w:cstheme="minorHAnsi"/>
                <w:lang w:val="en-US" w:eastAsia="de-DE"/>
              </w:rPr>
              <m:t>CO</m:t>
            </m:r>
          </m:e>
          <m:sub>
            <m:r>
              <m:rPr>
                <m:nor/>
              </m:rPr>
              <w:rPr>
                <w:rFonts w:asciiTheme="minorHAnsi" w:eastAsiaTheme="minorEastAsia" w:hAnsiTheme="minorHAnsi" w:cstheme="minorHAnsi"/>
                <w:lang w:val="en-US" w:eastAsia="de-DE"/>
              </w:rPr>
              <m:t>2</m:t>
            </m:r>
          </m:sub>
        </m:sSub>
      </m:oMath>
    </w:p>
    <w:p w:rsidR="00672371" w:rsidRPr="00895E43" w:rsidRDefault="00672371" w:rsidP="004B5C14">
      <w:pPr>
        <w:rPr>
          <w:rFonts w:asciiTheme="minorHAnsi" w:eastAsiaTheme="minorEastAsia" w:hAnsiTheme="minorHAnsi" w:cstheme="minorHAnsi"/>
          <w:lang w:val="en-US" w:eastAsia="de-DE"/>
        </w:rPr>
      </w:pPr>
      <w:r w:rsidRPr="00895E43">
        <w:rPr>
          <w:rFonts w:asciiTheme="minorHAnsi" w:eastAsiaTheme="minorEastAsia" w:hAnsiTheme="minorHAnsi" w:cstheme="minorHAnsi"/>
          <w:lang w:val="en-US" w:eastAsia="de-DE"/>
        </w:rPr>
        <w:t>Redox:</w:t>
      </w:r>
      <w:r w:rsidRPr="00895E43">
        <w:rPr>
          <w:rFonts w:asciiTheme="minorHAnsi" w:eastAsiaTheme="minorEastAsia" w:hAnsiTheme="minorHAnsi" w:cstheme="minorHAnsi"/>
          <w:lang w:val="en-US" w:eastAsia="de-DE"/>
        </w:rPr>
        <w:tab/>
      </w:r>
      <w:r w:rsidRPr="00895E43">
        <w:rPr>
          <w:rFonts w:asciiTheme="minorHAnsi" w:eastAsiaTheme="minorEastAsia" w:hAnsiTheme="minorHAnsi" w:cstheme="minorHAnsi"/>
          <w:lang w:val="en-US" w:eastAsia="de-DE"/>
        </w:rPr>
        <w:tab/>
        <w:t xml:space="preserve">         </w:t>
      </w:r>
      <m:oMath>
        <m:sSub>
          <m:sSubPr>
            <m:ctrlPr>
              <w:rPr>
                <w:rFonts w:asciiTheme="minorHAnsi" w:eastAsiaTheme="minorEastAsia" w:hAnsiTheme="minorHAnsi" w:cstheme="minorHAnsi"/>
                <w:i/>
                <w:lang w:eastAsia="de-DE"/>
              </w:rPr>
            </m:ctrlPr>
          </m:sSubPr>
          <m:e>
            <w:proofErr w:type="spellStart"/>
            <m:r>
              <m:rPr>
                <m:nor/>
              </m:rPr>
              <w:rPr>
                <w:rFonts w:asciiTheme="minorHAnsi" w:eastAsiaTheme="minorEastAsia" w:hAnsiTheme="minorHAnsi" w:cstheme="minorHAnsi"/>
                <w:lang w:val="en-US" w:eastAsia="de-DE"/>
              </w:rPr>
              <m:t>MnO</m:t>
            </m:r>
            <w:proofErr w:type="spellEnd"/>
          </m:e>
          <m:sub>
            <m:r>
              <m:rPr>
                <m:nor/>
              </m:rPr>
              <w:rPr>
                <w:rFonts w:asciiTheme="minorHAnsi" w:eastAsiaTheme="minorEastAsia" w:hAnsiTheme="minorHAnsi" w:cstheme="minorHAnsi"/>
                <w:lang w:val="en-US" w:eastAsia="de-DE"/>
              </w:rPr>
              <m:t>2</m:t>
            </m:r>
          </m:sub>
        </m:sSub>
        <m:r>
          <m:rPr>
            <m:nor/>
          </m:rPr>
          <w:rPr>
            <w:rFonts w:asciiTheme="minorHAnsi" w:eastAsiaTheme="minorEastAsia" w:hAnsiTheme="minorHAnsi" w:cstheme="minorHAnsi"/>
            <w:lang w:val="en-US" w:eastAsia="de-DE"/>
          </w:rPr>
          <m:t>+</m:t>
        </m:r>
        <m:r>
          <w:rPr>
            <w:rFonts w:asciiTheme="minorHAnsi" w:eastAsiaTheme="minorEastAsia" w:hAnsiTheme="minorHAnsi" w:cstheme="minorHAnsi"/>
            <w:lang w:val="en-US" w:eastAsia="de-DE"/>
          </w:rPr>
          <m:t xml:space="preserve"> </m:t>
        </m:r>
        <m:sSubSup>
          <m:sSubSupPr>
            <m:ctrlPr>
              <w:rPr>
                <w:rFonts w:asciiTheme="minorHAnsi" w:eastAsiaTheme="minorEastAsia" w:hAnsiTheme="minorHAnsi" w:cstheme="minorHAnsi"/>
                <w:i/>
                <w:lang w:eastAsia="de-DE"/>
              </w:rPr>
            </m:ctrlPr>
          </m:sSubSupPr>
          <m:e>
            <m:r>
              <m:rPr>
                <m:nor/>
              </m:rPr>
              <w:rPr>
                <w:rFonts w:asciiTheme="minorHAnsi" w:eastAsiaTheme="minorEastAsia" w:hAnsiTheme="minorHAnsi" w:cstheme="minorHAnsi"/>
                <w:lang w:val="en-US" w:eastAsia="de-DE"/>
              </w:rPr>
              <m:t>NO</m:t>
            </m:r>
          </m:e>
          <m:sub>
            <m:r>
              <m:rPr>
                <m:nor/>
              </m:rPr>
              <w:rPr>
                <w:rFonts w:asciiTheme="minorHAnsi" w:eastAsiaTheme="minorEastAsia" w:hAnsiTheme="minorHAnsi" w:cstheme="minorHAnsi"/>
                <w:lang w:val="en-US" w:eastAsia="de-DE"/>
              </w:rPr>
              <m:t>3</m:t>
            </m:r>
          </m:sub>
          <m:sup>
            <m:r>
              <m:rPr>
                <m:nor/>
              </m:rPr>
              <w:rPr>
                <w:rFonts w:asciiTheme="minorHAnsi" w:eastAsiaTheme="minorEastAsia" w:hAnsiTheme="minorHAnsi" w:cstheme="minorHAnsi"/>
                <w:lang w:val="en-US" w:eastAsia="de-DE"/>
              </w:rPr>
              <m:t>-</m:t>
            </m:r>
          </m:sup>
        </m:sSubSup>
        <m:r>
          <m:rPr>
            <m:nor/>
          </m:rPr>
          <w:rPr>
            <w:rFonts w:asciiTheme="minorHAnsi" w:eastAsiaTheme="minorEastAsia" w:hAnsiTheme="minorHAnsi" w:cstheme="minorHAnsi"/>
            <w:lang w:val="en-US" w:eastAsia="de-DE"/>
          </w:rPr>
          <m:t>+</m:t>
        </m:r>
        <m:r>
          <w:rPr>
            <w:rFonts w:asciiTheme="minorHAnsi" w:eastAsiaTheme="minorEastAsia" w:hAnsiTheme="minorHAnsi" w:cstheme="minorHAnsi"/>
            <w:lang w:val="en-US" w:eastAsia="de-DE"/>
          </w:rPr>
          <m:t xml:space="preserve"> </m:t>
        </m:r>
        <m:sSubSup>
          <m:sSubSupPr>
            <m:ctrlPr>
              <w:rPr>
                <w:rFonts w:asciiTheme="minorHAnsi" w:eastAsiaTheme="minorEastAsia" w:hAnsiTheme="minorHAnsi" w:cstheme="minorHAnsi"/>
                <w:i/>
                <w:lang w:eastAsia="de-DE"/>
              </w:rPr>
            </m:ctrlPr>
          </m:sSubSupPr>
          <m:e>
            <m:r>
              <m:rPr>
                <m:nor/>
              </m:rPr>
              <w:rPr>
                <w:rFonts w:asciiTheme="minorHAnsi" w:eastAsiaTheme="minorEastAsia" w:hAnsiTheme="minorHAnsi" w:cstheme="minorHAnsi"/>
                <w:lang w:val="en-US" w:eastAsia="de-DE"/>
              </w:rPr>
              <m:t>CO</m:t>
            </m:r>
          </m:e>
          <m:sub>
            <m:r>
              <m:rPr>
                <m:nor/>
              </m:rPr>
              <w:rPr>
                <w:rFonts w:asciiTheme="minorHAnsi" w:eastAsiaTheme="minorEastAsia" w:hAnsiTheme="minorHAnsi" w:cstheme="minorHAnsi"/>
                <w:lang w:val="en-US" w:eastAsia="de-DE"/>
              </w:rPr>
              <m:t>3</m:t>
            </m:r>
          </m:sub>
          <m:sup>
            <m:r>
              <m:rPr>
                <m:nor/>
              </m:rPr>
              <w:rPr>
                <w:rFonts w:asciiTheme="minorHAnsi" w:eastAsiaTheme="minorEastAsia" w:hAnsiTheme="minorHAnsi" w:cstheme="minorHAnsi"/>
                <w:lang w:val="en-US" w:eastAsia="de-DE"/>
              </w:rPr>
              <m:t>2-</m:t>
            </m:r>
          </m:sup>
        </m:sSubSup>
        <m:r>
          <m:rPr>
            <m:nor/>
          </m:rPr>
          <w:rPr>
            <w:rFonts w:asciiTheme="minorHAnsi" w:eastAsiaTheme="minorEastAsia" w:hAnsiTheme="minorHAnsi" w:cstheme="minorHAnsi"/>
            <w:lang w:val="en-US" w:eastAsia="de-DE"/>
          </w:rPr>
          <m:t xml:space="preserve"> →</m:t>
        </m:r>
        <m:r>
          <w:rPr>
            <w:rFonts w:asciiTheme="minorHAnsi" w:eastAsiaTheme="minorEastAsia" w:hAnsiTheme="minorHAnsi" w:cstheme="minorHAnsi"/>
            <w:lang w:val="en-US" w:eastAsia="de-DE"/>
          </w:rPr>
          <m:t xml:space="preserve"> </m:t>
        </m:r>
        <m:sSubSup>
          <m:sSubSupPr>
            <m:ctrlPr>
              <w:rPr>
                <w:rFonts w:asciiTheme="minorHAnsi" w:eastAsiaTheme="minorEastAsia" w:hAnsiTheme="minorHAnsi" w:cstheme="minorHAnsi"/>
                <w:i/>
                <w:lang w:eastAsia="de-DE"/>
              </w:rPr>
            </m:ctrlPr>
          </m:sSubSupPr>
          <m:e>
            <w:proofErr w:type="spellStart"/>
            <m:r>
              <m:rPr>
                <m:nor/>
              </m:rPr>
              <w:rPr>
                <w:rFonts w:asciiTheme="minorHAnsi" w:eastAsiaTheme="minorEastAsia" w:hAnsiTheme="minorHAnsi" w:cstheme="minorHAnsi"/>
                <w:lang w:val="en-US" w:eastAsia="de-DE"/>
              </w:rPr>
              <m:t>MnO</m:t>
            </m:r>
            <w:proofErr w:type="spellEnd"/>
          </m:e>
          <m:sub>
            <m:r>
              <m:rPr>
                <m:nor/>
              </m:rPr>
              <w:rPr>
                <w:rFonts w:asciiTheme="minorHAnsi" w:eastAsiaTheme="minorEastAsia" w:hAnsiTheme="minorHAnsi" w:cstheme="minorHAnsi"/>
                <w:lang w:val="en-US" w:eastAsia="de-DE"/>
              </w:rPr>
              <m:t>4</m:t>
            </m:r>
          </m:sub>
          <m:sup>
            <m:r>
              <m:rPr>
                <m:nor/>
              </m:rPr>
              <w:rPr>
                <w:rFonts w:asciiTheme="minorHAnsi" w:eastAsiaTheme="minorEastAsia" w:hAnsiTheme="minorHAnsi" w:cstheme="minorHAnsi"/>
                <w:lang w:val="en-US" w:eastAsia="de-DE"/>
              </w:rPr>
              <m:t>2-</m:t>
            </m:r>
          </m:sup>
        </m:sSubSup>
        <m:r>
          <m:rPr>
            <m:nor/>
          </m:rPr>
          <w:rPr>
            <w:rFonts w:asciiTheme="minorHAnsi" w:eastAsiaTheme="minorEastAsia" w:hAnsiTheme="minorHAnsi" w:cstheme="minorHAnsi"/>
            <w:lang w:val="en-US" w:eastAsia="de-DE"/>
          </w:rPr>
          <m:t>+</m:t>
        </m:r>
        <m:r>
          <w:rPr>
            <w:rFonts w:asciiTheme="minorHAnsi" w:eastAsiaTheme="minorEastAsia" w:hAnsiTheme="minorHAnsi" w:cstheme="minorHAnsi"/>
            <w:lang w:val="en-US" w:eastAsia="de-DE"/>
          </w:rPr>
          <m:t xml:space="preserve"> </m:t>
        </m:r>
        <m:sSubSup>
          <m:sSubSupPr>
            <m:ctrlPr>
              <w:rPr>
                <w:rFonts w:asciiTheme="minorHAnsi" w:eastAsiaTheme="minorEastAsia" w:hAnsiTheme="minorHAnsi" w:cstheme="minorHAnsi"/>
                <w:i/>
                <w:lang w:eastAsia="de-DE"/>
              </w:rPr>
            </m:ctrlPr>
          </m:sSubSupPr>
          <m:e>
            <m:r>
              <m:rPr>
                <m:nor/>
              </m:rPr>
              <w:rPr>
                <w:rFonts w:asciiTheme="minorHAnsi" w:eastAsiaTheme="minorEastAsia" w:hAnsiTheme="minorHAnsi" w:cstheme="minorHAnsi"/>
                <w:lang w:val="en-US" w:eastAsia="de-DE"/>
              </w:rPr>
              <m:t>NO</m:t>
            </m:r>
          </m:e>
          <m:sub>
            <m:r>
              <m:rPr>
                <m:nor/>
              </m:rPr>
              <w:rPr>
                <w:rFonts w:asciiTheme="minorHAnsi" w:eastAsiaTheme="minorEastAsia" w:hAnsiTheme="minorHAnsi" w:cstheme="minorHAnsi"/>
                <w:lang w:val="en-US" w:eastAsia="de-DE"/>
              </w:rPr>
              <m:t>2</m:t>
            </m:r>
          </m:sub>
          <m:sup>
            <m:r>
              <m:rPr>
                <m:nor/>
              </m:rPr>
              <w:rPr>
                <w:rFonts w:asciiTheme="minorHAnsi" w:eastAsiaTheme="minorEastAsia" w:hAnsiTheme="minorHAnsi" w:cstheme="minorHAnsi"/>
                <w:lang w:val="en-US" w:eastAsia="de-DE"/>
              </w:rPr>
              <m:t>-</m:t>
            </m:r>
          </m:sup>
        </m:sSubSup>
        <m:r>
          <m:rPr>
            <m:nor/>
          </m:rPr>
          <w:rPr>
            <w:rFonts w:asciiTheme="minorHAnsi" w:eastAsiaTheme="minorEastAsia" w:hAnsiTheme="minorHAnsi" w:cstheme="minorHAnsi"/>
            <w:lang w:val="en-US" w:eastAsia="de-DE"/>
          </w:rPr>
          <m:t>+</m:t>
        </m:r>
        <m:r>
          <w:rPr>
            <w:rFonts w:asciiTheme="minorHAnsi" w:eastAsiaTheme="minorEastAsia" w:hAnsiTheme="minorHAnsi" w:cstheme="minorHAnsi"/>
            <w:lang w:val="en-US" w:eastAsia="de-DE"/>
          </w:rPr>
          <m:t xml:space="preserve"> </m:t>
        </m:r>
        <m:sSub>
          <m:sSubPr>
            <m:ctrlPr>
              <w:rPr>
                <w:rFonts w:asciiTheme="minorHAnsi" w:eastAsiaTheme="minorEastAsia" w:hAnsiTheme="minorHAnsi" w:cstheme="minorHAnsi"/>
                <w:i/>
                <w:lang w:eastAsia="de-DE"/>
              </w:rPr>
            </m:ctrlPr>
          </m:sSubPr>
          <m:e>
            <m:r>
              <m:rPr>
                <m:nor/>
              </m:rPr>
              <w:rPr>
                <w:rFonts w:asciiTheme="minorHAnsi" w:eastAsiaTheme="minorEastAsia" w:hAnsiTheme="minorHAnsi" w:cstheme="minorHAnsi"/>
                <w:lang w:val="en-US" w:eastAsia="de-DE"/>
              </w:rPr>
              <m:t>CO</m:t>
            </m:r>
          </m:e>
          <m:sub>
            <m:r>
              <m:rPr>
                <m:nor/>
              </m:rPr>
              <w:rPr>
                <w:rFonts w:asciiTheme="minorHAnsi" w:eastAsiaTheme="minorEastAsia" w:hAnsiTheme="minorHAnsi" w:cstheme="minorHAnsi"/>
                <w:lang w:val="en-US" w:eastAsia="de-DE"/>
              </w:rPr>
              <m:t>2</m:t>
            </m:r>
          </m:sub>
        </m:sSub>
      </m:oMath>
    </w:p>
    <w:p w:rsidR="00672371" w:rsidRDefault="00672371" w:rsidP="004B5C14">
      <w:pPr>
        <w:rPr>
          <w:rFonts w:eastAsiaTheme="minorEastAsia"/>
          <w:lang w:eastAsia="de-DE"/>
        </w:rPr>
      </w:pPr>
      <w:r>
        <w:rPr>
          <w:rFonts w:eastAsiaTheme="minorEastAsia"/>
          <w:lang w:eastAsia="de-DE"/>
        </w:rPr>
        <w:t>Disproportionierung:</w:t>
      </w:r>
    </w:p>
    <w:p w:rsidR="00672371" w:rsidRPr="00895E43" w:rsidRDefault="00672371" w:rsidP="00672371">
      <w:pPr>
        <w:ind w:left="708" w:firstLine="708"/>
        <w:rPr>
          <w:rFonts w:asciiTheme="minorHAnsi" w:hAnsiTheme="minorHAnsi" w:cstheme="minorHAnsi"/>
          <w:lang w:eastAsia="de-DE"/>
        </w:rPr>
      </w:pPr>
      <m:oMathPara>
        <m:oMathParaPr>
          <m:jc m:val="center"/>
        </m:oMathParaPr>
        <m:oMath>
          <m:r>
            <m:rPr>
              <m:nor/>
            </m:rPr>
            <w:rPr>
              <w:rFonts w:asciiTheme="minorHAnsi" w:hAnsiTheme="minorHAnsi" w:cstheme="minorHAnsi"/>
              <w:lang w:eastAsia="de-DE"/>
            </w:rPr>
            <m:t>3</m:t>
          </m:r>
          <m:sSubSup>
            <m:sSubSupPr>
              <m:ctrlPr>
                <w:rPr>
                  <w:rFonts w:asciiTheme="minorHAnsi" w:hAnsiTheme="minorHAnsi" w:cstheme="minorHAnsi"/>
                  <w:i/>
                  <w:lang w:eastAsia="de-DE"/>
                </w:rPr>
              </m:ctrlPr>
            </m:sSubSupPr>
            <m:e>
              <m:r>
                <m:rPr>
                  <m:nor/>
                </m:rPr>
                <w:rPr>
                  <w:rFonts w:asciiTheme="minorHAnsi" w:hAnsiTheme="minorHAnsi" w:cstheme="minorHAnsi"/>
                  <w:lang w:eastAsia="de-DE"/>
                </w:rPr>
                <m:t>MnO</m:t>
              </m:r>
            </m:e>
            <m:sub>
              <m:r>
                <m:rPr>
                  <m:nor/>
                </m:rPr>
                <w:rPr>
                  <w:rFonts w:asciiTheme="minorHAnsi" w:hAnsiTheme="minorHAnsi" w:cstheme="minorHAnsi"/>
                  <w:lang w:eastAsia="de-DE"/>
                </w:rPr>
                <m:t>4</m:t>
              </m:r>
            </m:sub>
            <m:sup>
              <m:r>
                <m:rPr>
                  <m:nor/>
                </m:rPr>
                <w:rPr>
                  <w:rFonts w:asciiTheme="minorHAnsi" w:hAnsiTheme="minorHAnsi" w:cstheme="minorHAnsi"/>
                  <w:lang w:eastAsia="de-DE"/>
                </w:rPr>
                <m:t>2-</m:t>
              </m:r>
            </m:sup>
          </m:sSubSup>
          <m:r>
            <m:rPr>
              <m:nor/>
            </m:rPr>
            <w:rPr>
              <w:rFonts w:asciiTheme="minorHAnsi" w:hAnsiTheme="minorHAnsi" w:cstheme="minorHAnsi"/>
              <w:lang w:eastAsia="de-DE"/>
            </w:rPr>
            <m:t>+4</m:t>
          </m:r>
          <m:sSup>
            <m:sSupPr>
              <m:ctrlPr>
                <w:rPr>
                  <w:rFonts w:asciiTheme="minorHAnsi" w:hAnsiTheme="minorHAnsi" w:cstheme="minorHAnsi"/>
                  <w:i/>
                  <w:lang w:eastAsia="de-DE"/>
                </w:rPr>
              </m:ctrlPr>
            </m:sSupPr>
            <m:e>
              <m:r>
                <m:rPr>
                  <m:nor/>
                </m:rPr>
                <w:rPr>
                  <w:rFonts w:asciiTheme="minorHAnsi" w:hAnsiTheme="minorHAnsi" w:cstheme="minorHAnsi"/>
                  <w:lang w:eastAsia="de-DE"/>
                </w:rPr>
                <m:t>H</m:t>
              </m:r>
            </m:e>
            <m:sup>
              <m:r>
                <m:rPr>
                  <m:nor/>
                </m:rPr>
                <w:rPr>
                  <w:rFonts w:asciiTheme="minorHAnsi" w:hAnsiTheme="minorHAnsi" w:cstheme="minorHAnsi"/>
                  <w:lang w:eastAsia="de-DE"/>
                </w:rPr>
                <m:t>+</m:t>
              </m:r>
            </m:sup>
          </m:sSup>
          <m:r>
            <m:rPr>
              <m:nor/>
            </m:rPr>
            <w:rPr>
              <w:rFonts w:asciiTheme="minorHAnsi" w:hAnsiTheme="minorHAnsi" w:cstheme="minorHAnsi"/>
              <w:lang w:eastAsia="de-DE"/>
            </w:rPr>
            <m:t xml:space="preserve"> →2</m:t>
          </m:r>
          <m:sSubSup>
            <m:sSubSupPr>
              <m:ctrlPr>
                <w:rPr>
                  <w:rFonts w:asciiTheme="minorHAnsi" w:hAnsiTheme="minorHAnsi" w:cstheme="minorHAnsi"/>
                  <w:i/>
                  <w:lang w:eastAsia="de-DE"/>
                </w:rPr>
              </m:ctrlPr>
            </m:sSubSupPr>
            <m:e>
              <m:r>
                <m:rPr>
                  <m:nor/>
                </m:rPr>
                <w:rPr>
                  <w:rFonts w:asciiTheme="minorHAnsi" w:hAnsiTheme="minorHAnsi" w:cstheme="minorHAnsi"/>
                  <w:lang w:eastAsia="de-DE"/>
                </w:rPr>
                <m:t>MnO</m:t>
              </m:r>
            </m:e>
            <m:sub>
              <m:r>
                <m:rPr>
                  <m:nor/>
                </m:rPr>
                <w:rPr>
                  <w:rFonts w:asciiTheme="minorHAnsi" w:hAnsiTheme="minorHAnsi" w:cstheme="minorHAnsi"/>
                  <w:lang w:eastAsia="de-DE"/>
                </w:rPr>
                <m:t>4</m:t>
              </m:r>
            </m:sub>
            <m:sup>
              <m:r>
                <m:rPr>
                  <m:nor/>
                </m:rPr>
                <w:rPr>
                  <w:rFonts w:asciiTheme="minorHAnsi" w:hAnsiTheme="minorHAnsi" w:cstheme="minorHAnsi"/>
                  <w:lang w:eastAsia="de-DE"/>
                </w:rPr>
                <m:t>-</m:t>
              </m:r>
            </m:sup>
          </m:sSubSup>
          <m:r>
            <m:rPr>
              <m:nor/>
            </m:rPr>
            <w:rPr>
              <w:rFonts w:asciiTheme="minorHAnsi" w:hAnsiTheme="minorHAnsi" w:cstheme="minorHAnsi"/>
              <w:lang w:eastAsia="de-DE"/>
            </w:rPr>
            <m:t>+</m:t>
          </m:r>
          <m:r>
            <w:rPr>
              <w:rFonts w:asciiTheme="minorHAnsi" w:hAnsiTheme="minorHAnsi" w:cstheme="minorHAnsi"/>
              <w:lang w:eastAsia="de-DE"/>
            </w:rPr>
            <m:t xml:space="preserve"> </m:t>
          </m:r>
          <m:sSub>
            <m:sSubPr>
              <m:ctrlPr>
                <w:rPr>
                  <w:rFonts w:asciiTheme="minorHAnsi" w:hAnsiTheme="minorHAnsi" w:cstheme="minorHAnsi"/>
                  <w:i/>
                  <w:lang w:eastAsia="de-DE"/>
                </w:rPr>
              </m:ctrlPr>
            </m:sSubPr>
            <m:e>
              <m:r>
                <m:rPr>
                  <m:nor/>
                </m:rPr>
                <w:rPr>
                  <w:rFonts w:asciiTheme="minorHAnsi" w:hAnsiTheme="minorHAnsi" w:cstheme="minorHAnsi"/>
                  <w:lang w:eastAsia="de-DE"/>
                </w:rPr>
                <m:t>MnO</m:t>
              </m:r>
            </m:e>
            <m:sub>
              <m:r>
                <m:rPr>
                  <m:nor/>
                </m:rPr>
                <w:rPr>
                  <w:rFonts w:asciiTheme="minorHAnsi" w:hAnsiTheme="minorHAnsi" w:cstheme="minorHAnsi"/>
                  <w:lang w:eastAsia="de-DE"/>
                </w:rPr>
                <m:t>2</m:t>
              </m:r>
            </m:sub>
          </m:sSub>
          <m:r>
            <m:rPr>
              <m:nor/>
            </m:rPr>
            <w:rPr>
              <w:rFonts w:asciiTheme="minorHAnsi" w:hAnsiTheme="minorHAnsi" w:cstheme="minorHAnsi"/>
              <w:lang w:eastAsia="de-DE"/>
            </w:rPr>
            <m:t>+</m:t>
          </m:r>
          <m:r>
            <w:rPr>
              <w:rFonts w:asciiTheme="minorHAnsi" w:hAnsiTheme="minorHAnsi" w:cstheme="minorHAnsi"/>
              <w:lang w:eastAsia="de-DE"/>
            </w:rPr>
            <m:t xml:space="preserve"> </m:t>
          </m:r>
          <m:sSub>
            <m:sSubPr>
              <m:ctrlPr>
                <w:rPr>
                  <w:rFonts w:asciiTheme="minorHAnsi" w:hAnsiTheme="minorHAnsi" w:cstheme="minorHAnsi"/>
                  <w:i/>
                  <w:lang w:eastAsia="de-DE"/>
                </w:rPr>
              </m:ctrlPr>
            </m:sSubPr>
            <m:e>
              <m:r>
                <m:rPr>
                  <m:nor/>
                </m:rPr>
                <w:rPr>
                  <w:rFonts w:asciiTheme="minorHAnsi" w:hAnsiTheme="minorHAnsi" w:cstheme="minorHAnsi"/>
                  <w:lang w:eastAsia="de-DE"/>
                </w:rPr>
                <m:t>H</m:t>
              </m:r>
            </m:e>
            <m:sub>
              <m:r>
                <m:rPr>
                  <m:nor/>
                </m:rPr>
                <w:rPr>
                  <w:rFonts w:asciiTheme="minorHAnsi" w:hAnsiTheme="minorHAnsi" w:cstheme="minorHAnsi"/>
                  <w:lang w:eastAsia="de-DE"/>
                </w:rPr>
                <m:t>2</m:t>
              </m:r>
            </m:sub>
          </m:sSub>
          <m:r>
            <m:rPr>
              <m:nor/>
            </m:rPr>
            <w:rPr>
              <w:rFonts w:asciiTheme="minorHAnsi" w:hAnsiTheme="minorHAnsi" w:cstheme="minorHAnsi"/>
              <w:lang w:eastAsia="de-DE"/>
            </w:rPr>
            <m:t>O</m:t>
          </m:r>
        </m:oMath>
      </m:oMathPara>
    </w:p>
    <w:p w:rsidR="00672371" w:rsidRDefault="00672371" w:rsidP="004B5C14">
      <w:pPr>
        <w:rPr>
          <w:rFonts w:eastAsiaTheme="minorEastAsia"/>
          <w:lang w:eastAsia="de-DE"/>
        </w:rPr>
      </w:pPr>
      <w:r w:rsidRPr="00672371">
        <w:rPr>
          <w:rStyle w:val="Fett"/>
        </w:rPr>
        <w:t>Entsorgung</w:t>
      </w:r>
      <w:r>
        <w:rPr>
          <w:rFonts w:eastAsiaTheme="minorEastAsia"/>
          <w:lang w:eastAsia="de-DE"/>
        </w:rPr>
        <w:t>: E1; E3</w:t>
      </w:r>
    </w:p>
    <w:p w:rsidR="00672371" w:rsidRDefault="00672371" w:rsidP="004B5C14">
      <w:pPr>
        <w:rPr>
          <w:rFonts w:cs="Arial"/>
        </w:rPr>
      </w:pPr>
      <w:r>
        <w:rPr>
          <w:rFonts w:cs="Arial"/>
        </w:rPr>
        <w:t xml:space="preserve">Zum Aufschluss besonders schwierig </w:t>
      </w:r>
      <w:proofErr w:type="spellStart"/>
      <w:r>
        <w:rPr>
          <w:rFonts w:cs="Arial"/>
        </w:rPr>
        <w:t>aufschließbarer</w:t>
      </w:r>
      <w:proofErr w:type="spellEnd"/>
      <w:r>
        <w:rPr>
          <w:rFonts w:cs="Arial"/>
        </w:rPr>
        <w:t xml:space="preserve"> Substanzen bzw. um Kontaminationen und Verdampfungsverluste zu vermeiden, die beim Aufschluss in offenen Gefäßen entstehen könnten, setzt man die Oxidationsschmelze in einer Druckbombe ein, wie dies z. B. beim </w:t>
      </w:r>
      <w:proofErr w:type="spellStart"/>
      <w:r>
        <w:rPr>
          <w:rFonts w:cs="Arial"/>
          <w:i/>
          <w:iCs/>
        </w:rPr>
        <w:t>Wurtzschmitt</w:t>
      </w:r>
      <w:proofErr w:type="spellEnd"/>
      <w:r>
        <w:rPr>
          <w:rFonts w:cs="Arial"/>
          <w:i/>
          <w:iCs/>
        </w:rPr>
        <w:t>-Aufschluss</w:t>
      </w:r>
      <w:r>
        <w:rPr>
          <w:rFonts w:cs="Arial"/>
        </w:rPr>
        <w:t xml:space="preserve"> geschieht:</w:t>
      </w:r>
    </w:p>
    <w:p w:rsidR="00672371" w:rsidRDefault="00672371" w:rsidP="00672371">
      <w:pPr>
        <w:pStyle w:val="Bilder"/>
        <w:rPr>
          <w:lang w:eastAsia="de-DE"/>
        </w:rPr>
      </w:pPr>
      <w:r>
        <w:rPr>
          <w:lang w:eastAsia="de-DE"/>
        </w:rPr>
        <w:drawing>
          <wp:inline distT="0" distB="0" distL="0" distR="0">
            <wp:extent cx="2694928"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4928" cy="1800000"/>
                    </a:xfrm>
                    <a:prstGeom prst="rect">
                      <a:avLst/>
                    </a:prstGeom>
                    <a:noFill/>
                    <a:ln>
                      <a:noFill/>
                    </a:ln>
                  </pic:spPr>
                </pic:pic>
              </a:graphicData>
            </a:graphic>
          </wp:inline>
        </w:drawing>
      </w:r>
    </w:p>
    <w:p w:rsidR="00672371" w:rsidRDefault="00672371" w:rsidP="00672371">
      <w:pPr>
        <w:pStyle w:val="Beschriftung"/>
      </w:pPr>
      <w:r>
        <w:t xml:space="preserve">Abb. </w:t>
      </w:r>
      <w:r w:rsidR="00895E43">
        <w:fldChar w:fldCharType="begin"/>
      </w:r>
      <w:r w:rsidR="00895E43">
        <w:instrText xml:space="preserve"> SEQ Abb. \* ARABIC </w:instrText>
      </w:r>
      <w:r w:rsidR="00895E43">
        <w:fldChar w:fldCharType="separate"/>
      </w:r>
      <w:r w:rsidR="00895E43">
        <w:rPr>
          <w:noProof/>
        </w:rPr>
        <w:t>3</w:t>
      </w:r>
      <w:r w:rsidR="00895E43">
        <w:rPr>
          <w:noProof/>
        </w:rPr>
        <w:fldChar w:fldCharType="end"/>
      </w:r>
      <w:r>
        <w:t>: Druckaufschluss-System</w:t>
      </w:r>
    </w:p>
    <w:p w:rsidR="00672371" w:rsidRPr="00672371" w:rsidRDefault="00672371" w:rsidP="00672371">
      <w:r>
        <w:rPr>
          <w:rFonts w:cs="Arial"/>
        </w:rPr>
        <w:t>Dieser wird meist als Makroanalyse (Substanzeinwaage: 50</w:t>
      </w:r>
      <w:r w:rsidR="00B00137">
        <w:rPr>
          <w:rFonts w:cs="Arial"/>
        </w:rPr>
        <w:t> </w:t>
      </w:r>
      <w:r>
        <w:rPr>
          <w:rFonts w:cs="Arial"/>
        </w:rPr>
        <w:t>–</w:t>
      </w:r>
      <w:r w:rsidR="00B00137">
        <w:rPr>
          <w:rFonts w:cs="Arial"/>
        </w:rPr>
        <w:t> </w:t>
      </w:r>
      <w:r>
        <w:rPr>
          <w:rFonts w:cs="Arial"/>
        </w:rPr>
        <w:t>300</w:t>
      </w:r>
      <w:r w:rsidR="00B00137">
        <w:rPr>
          <w:rFonts w:cs="Arial"/>
        </w:rPr>
        <w:t> </w:t>
      </w:r>
      <w:r>
        <w:rPr>
          <w:rFonts w:cs="Arial"/>
        </w:rPr>
        <w:t>mg) durchgeführt. Die Substanz wird zusammen mit grobkörnigem Na</w:t>
      </w:r>
      <w:r>
        <w:rPr>
          <w:rFonts w:cs="Arial"/>
          <w:vertAlign w:val="subscript"/>
        </w:rPr>
        <w:t>2</w:t>
      </w:r>
      <w:r>
        <w:rPr>
          <w:rFonts w:cs="Arial"/>
        </w:rPr>
        <w:t>O</w:t>
      </w:r>
      <w:r>
        <w:rPr>
          <w:rFonts w:cs="Arial"/>
          <w:vertAlign w:val="subscript"/>
        </w:rPr>
        <w:t>2</w:t>
      </w:r>
      <w:r>
        <w:rPr>
          <w:rFonts w:cs="Arial"/>
        </w:rPr>
        <w:t xml:space="preserve"> und einigen Tropfen Ethylenglykol als Zündmittel in einen Nickel-Tiegel gegeben. Der Tiegel wird in den Druckmantel gestellt und dieser mit Schraubdeckel fest verschlossen. Im Schutzofen wird die Bombe mit Hilfe eines Mikrobrenners gezündet. Bei der Verbrennung entstehen gasförmige Produkte, die den Druck im Innern des Druckmantels erhöhen. Aufgrund der geringen Einwaagen sind Druckaufschlüsse besonders für die (Ultra-)Spurenanalyse geeignet. Der </w:t>
      </w:r>
      <w:proofErr w:type="spellStart"/>
      <w:r>
        <w:rPr>
          <w:rFonts w:cs="Arial"/>
        </w:rPr>
        <w:t>Wurtzschmitt</w:t>
      </w:r>
      <w:proofErr w:type="spellEnd"/>
      <w:r>
        <w:rPr>
          <w:rFonts w:cs="Arial"/>
        </w:rPr>
        <w:t>-Aufschluss wird vor allem für die Elementaranalyse eingesetzt: zur Bestimmung von Halogenen, Schwefel, Phosphor und Metallen in organischen Verbindungen, aber auch zum Aufschluss von Metallen, Legierungen, Chrom-, Niob-, Tantal-Erzen und von Silicaten.</w:t>
      </w:r>
    </w:p>
    <w:p w:rsidR="004B5C14" w:rsidRDefault="00B00137" w:rsidP="00B00137">
      <w:pPr>
        <w:pStyle w:val="berschrift2"/>
      </w:pPr>
      <w:bookmarkStart w:id="11" w:name="_Toc47091099"/>
      <w:r>
        <w:t>Soda-Pottasche-Aufschluss</w:t>
      </w:r>
      <w:bookmarkEnd w:id="11"/>
    </w:p>
    <w:p w:rsidR="00B00137" w:rsidRDefault="00B00137" w:rsidP="00B00137">
      <w:pPr>
        <w:rPr>
          <w:rFonts w:cs="Arial"/>
        </w:rPr>
      </w:pPr>
      <w:r>
        <w:rPr>
          <w:rFonts w:cs="Arial"/>
        </w:rPr>
        <w:t>Mit Hilfe dieses Verfahrens können Erdalkalisulfate, hochgeglühte Oxide, Silicate und Silberhalogenide aufgeschlossen werden. Die aufzuschließende Substanz wird mit der 4 bis 6fachen Menge einer Mischung aus gleichen Teilen Na</w:t>
      </w:r>
      <w:r>
        <w:rPr>
          <w:rFonts w:cs="Arial"/>
          <w:vertAlign w:val="subscript"/>
        </w:rPr>
        <w:t>2</w:t>
      </w:r>
      <w:r>
        <w:rPr>
          <w:rFonts w:cs="Arial"/>
        </w:rPr>
        <w:t>CO</w:t>
      </w:r>
      <w:r>
        <w:rPr>
          <w:rFonts w:cs="Arial"/>
          <w:vertAlign w:val="subscript"/>
        </w:rPr>
        <w:t>3</w:t>
      </w:r>
      <w:r>
        <w:rPr>
          <w:rFonts w:cs="Arial"/>
        </w:rPr>
        <w:t xml:space="preserve"> und K</w:t>
      </w:r>
      <w:r>
        <w:rPr>
          <w:rFonts w:cs="Arial"/>
          <w:vertAlign w:val="subscript"/>
        </w:rPr>
        <w:t>2</w:t>
      </w:r>
      <w:r>
        <w:rPr>
          <w:rFonts w:cs="Arial"/>
        </w:rPr>
        <w:t>CO</w:t>
      </w:r>
      <w:r>
        <w:rPr>
          <w:rFonts w:cs="Arial"/>
          <w:vertAlign w:val="subscript"/>
        </w:rPr>
        <w:t>3</w:t>
      </w:r>
      <w:r>
        <w:rPr>
          <w:rFonts w:cs="Arial"/>
        </w:rPr>
        <w:t xml:space="preserve"> (Gemisch à Schmelzpunkt-Erniedrigung!) vermengt und so hoch erhitzt, bis ein klarer Schmelzfluss entsteht. Nach Ende der Reaktion wird die erkaltete Schmelze zerkleinert und mit Wasser aufgenommen. </w:t>
      </w:r>
    </w:p>
    <w:p w:rsidR="00B00137" w:rsidRPr="00B00137" w:rsidRDefault="00B00137" w:rsidP="00B00137">
      <w:r>
        <w:rPr>
          <w:rFonts w:cs="Arial"/>
        </w:rPr>
        <w:t>Beim Aufschluss von Erdalkalisulfaten muss man filtrieren und so lange mit verdünnter Na</w:t>
      </w:r>
      <w:r>
        <w:rPr>
          <w:rFonts w:cs="Arial"/>
          <w:vertAlign w:val="subscript"/>
        </w:rPr>
        <w:t>2</w:t>
      </w:r>
      <w:r>
        <w:rPr>
          <w:rFonts w:cs="Arial"/>
        </w:rPr>
        <w:t>CO</w:t>
      </w:r>
      <w:r>
        <w:rPr>
          <w:rFonts w:cs="Arial"/>
          <w:vertAlign w:val="subscript"/>
        </w:rPr>
        <w:t>3</w:t>
      </w:r>
      <w:r>
        <w:rPr>
          <w:rFonts w:cs="Arial"/>
        </w:rPr>
        <w:t>-Lösung waschen, bis das Filtrat frei von SO</w:t>
      </w:r>
      <w:r>
        <w:rPr>
          <w:rFonts w:cs="Arial"/>
          <w:vertAlign w:val="subscript"/>
        </w:rPr>
        <w:t>4</w:t>
      </w:r>
      <w:r>
        <w:rPr>
          <w:rFonts w:cs="Arial"/>
        </w:rPr>
        <w:t xml:space="preserve"> </w:t>
      </w:r>
      <w:r>
        <w:rPr>
          <w:rFonts w:cs="Arial"/>
          <w:vertAlign w:val="superscript"/>
        </w:rPr>
        <w:t>2-</w:t>
      </w:r>
      <w:r>
        <w:rPr>
          <w:rFonts w:cs="Arial"/>
        </w:rPr>
        <w:t xml:space="preserve"> ist, da dieses sonst wieder als schwerlösliches Erdalkalisulfat ausfallen würde. Der Soda-Pottasche-Aufschluss beruht auf einer Störung des Löse-Gleichgewichts der aufzuschließenden schwerlöslichen Substanz: Da ein großer Überschuss an Alkalicarbonat vorhanden ist, wird das Gleichgewicht gemäß dem Prinzip vom kleinsten Zwang praktisch vollständig auf die Seite der Reaktionsprodukte verschoben:</w:t>
      </w:r>
    </w:p>
    <w:p w:rsidR="00E246AC" w:rsidRPr="00895E43" w:rsidRDefault="00B00137" w:rsidP="00B00137">
      <w:pPr>
        <w:pStyle w:val="Formeln"/>
        <w:rPr>
          <w:rFonts w:eastAsiaTheme="minorEastAsia"/>
          <w:lang w:val="en-US"/>
        </w:rPr>
      </w:pPr>
      <m:oMathPara>
        <m:oMath>
          <m:r>
            <m:rPr>
              <m:nor/>
            </m:rPr>
            <w:rPr>
              <w:lang w:val="en-US"/>
            </w:rPr>
            <m:t>2</m:t>
          </m:r>
          <m:sSub>
            <m:sSubPr>
              <m:ctrlPr>
                <w:rPr>
                  <w:rFonts w:ascii="Cambria Math" w:hAnsi="Cambria Math"/>
                </w:rPr>
              </m:ctrlPr>
            </m:sSubPr>
            <m:e>
              <w:proofErr w:type="spellStart"/>
              <m:r>
                <m:rPr>
                  <m:nor/>
                </m:rPr>
                <w:rPr>
                  <w:lang w:val="en-US"/>
                </w:rPr>
                <m:t>BaSO</m:t>
              </m:r>
              <w:proofErr w:type="spellEnd"/>
            </m:e>
            <m:sub>
              <m:r>
                <m:rPr>
                  <m:nor/>
                </m:rPr>
                <w:rPr>
                  <w:lang w:val="en-US"/>
                </w:rPr>
                <m:t>4</m:t>
              </m:r>
            </m:sub>
          </m:sSub>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Na</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K</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r>
            <m:rPr>
              <m:nor/>
            </m:rPr>
            <w:rPr>
              <w:rFonts w:ascii="Cambria Math"/>
              <w:lang w:val="en-US"/>
            </w:rPr>
            <m:t xml:space="preserve"> </m:t>
          </m:r>
          <m:r>
            <m:rPr>
              <m:nor/>
            </m:rPr>
            <w:rPr>
              <w:lang w:val="en-US"/>
            </w:rPr>
            <m:t>2</m:t>
          </m:r>
          <m:sSub>
            <m:sSubPr>
              <m:ctrlPr>
                <w:rPr>
                  <w:rFonts w:ascii="Cambria Math" w:hAnsi="Cambria Math"/>
                </w:rPr>
              </m:ctrlPr>
            </m:sSubPr>
            <m:e>
              <w:proofErr w:type="spellStart"/>
              <m:r>
                <m:rPr>
                  <m:nor/>
                </m:rPr>
                <w:rPr>
                  <w:lang w:val="en-US"/>
                </w:rPr>
                <m:t>BaCO</m:t>
              </m:r>
              <w:proofErr w:type="spellEnd"/>
            </m:e>
            <m:sub>
              <m:r>
                <m:rPr>
                  <m:nor/>
                </m:rPr>
                <w:rPr>
                  <w:lang w:val="en-US"/>
                </w:rPr>
                <m:t>3</m:t>
              </m:r>
            </m:sub>
          </m:sSub>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Na</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K</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oMath>
      </m:oMathPara>
    </w:p>
    <w:p w:rsidR="00B00137" w:rsidRDefault="00895E43" w:rsidP="00B00137">
      <w:pPr>
        <w:pStyle w:val="berschrift1"/>
      </w:pPr>
      <w:bookmarkStart w:id="12" w:name="_Toc47091100"/>
      <w:r>
        <w:t xml:space="preserve">Durch </w:t>
      </w:r>
      <w:r w:rsidR="00B00137">
        <w:t>Mikrowellen</w:t>
      </w:r>
      <w:r>
        <w:t xml:space="preserve"> u</w:t>
      </w:r>
      <w:r w:rsidR="00B00137">
        <w:t>nterstützter Aufschluss</w:t>
      </w:r>
      <w:bookmarkEnd w:id="12"/>
    </w:p>
    <w:p w:rsidR="00B00137" w:rsidRDefault="00B00137" w:rsidP="00B00137">
      <w:pPr>
        <w:rPr>
          <w:rFonts w:cs="Arial"/>
        </w:rPr>
      </w:pPr>
      <w:r>
        <w:rPr>
          <w:rFonts w:cs="Arial"/>
        </w:rPr>
        <w:t>Aufschlüsse mit Hilfe von Mikrowellen-Anregung werden seit den 80er Jahren durchgeführt und haben sich rasch durchgesetzt. Der wesentliche Vorteil gegenüber Aufschlüssen mit konventioneller thermischer Anregung besteht im geringen Zeitbedarf (15 – 20 Minuten statt 1 – 3 Stunden bei Bomben-Aufschlüssen). Dieser Zeit-Unterschied beruht darauf, dass bei thermischer Anregung zunächst die Gefäßwand aufgeheizt wird und erst danach (sekundär) die Probe- bzw. Aufschluss-Substanz. Bei Mikrowellen-Anregung dagegen durchdringen die Mikrowellen die Gefäßwände, ohne sie zu erwärmen, und die Probe wird direkt erhitzt. Die für Aufschlüsse verwendeten Mikrowellen (f= 2,45 GHz) können aber aufgrund der geringen Energie keine Molekular-Strukturen verändern oder Schwingungen anregen; sie können nur Rotationen von Dipolen und Molekular-Bewegungen anregen, was zur schnellen Erwärmung der Substanz führt. Eingesetzt wird der mikrowellenunterstützte Aufschluss vor allem in der Schwermetall-Analytik bei Lebensmitteln, aber auch bei geologischen Proben.</w:t>
      </w:r>
    </w:p>
    <w:p w:rsidR="00B00137" w:rsidRPr="00B00137" w:rsidRDefault="00B00137" w:rsidP="00B00137">
      <w:pPr>
        <w:pStyle w:val="EinstiegAbschluss"/>
      </w:pPr>
      <w:r w:rsidRPr="00895E43">
        <w:rPr>
          <w:b/>
        </w:rPr>
        <w:t>Abschluss</w:t>
      </w:r>
      <w:r>
        <w:t xml:space="preserve">: </w:t>
      </w:r>
      <w:r>
        <w:rPr>
          <w:rFonts w:cs="Arial"/>
        </w:rPr>
        <w:t>Theoretisch kann man mit Hilfe chemischer Methoden Lebensmittel auf die enthaltenen Mineralstoffe und Spuren-Elemente hin untersuchen. Da die Verfahren aber apparativ bzw. zeitlich zum Teil sehr aufwendig sind, wird sich der chemisch gebildete "Otto-Normal-Verbraucher" freuen, dass die Mengen-Angaben bestimmter chemischer Element bereits auf der Lebensmittel-Verpackung angegeben sind.</w:t>
      </w:r>
    </w:p>
    <w:p w:rsidR="00931B30" w:rsidRPr="000E61E0" w:rsidRDefault="00931B30" w:rsidP="00931B30">
      <w:pPr>
        <w:rPr>
          <w:b/>
          <w:bCs/>
        </w:rPr>
      </w:pPr>
      <w:r w:rsidRPr="000E61E0">
        <w:rPr>
          <w:b/>
          <w:bCs/>
        </w:rPr>
        <w:t>Quellen:</w:t>
      </w:r>
    </w:p>
    <w:p w:rsidR="00931B30" w:rsidRPr="008737B7" w:rsidRDefault="008737B7" w:rsidP="00F0263F">
      <w:pPr>
        <w:pStyle w:val="AufzhlungStandard"/>
      </w:pPr>
      <w:r>
        <w:rPr>
          <w:rFonts w:cs="Arial"/>
        </w:rPr>
        <w:t>Bock R. "Aufschlussmethoden der anorganischen und organischen Chemie"; Weinheim 1972</w:t>
      </w:r>
    </w:p>
    <w:p w:rsidR="008737B7" w:rsidRPr="008737B7" w:rsidRDefault="008737B7" w:rsidP="00F0263F">
      <w:pPr>
        <w:pStyle w:val="AufzhlungStandard"/>
      </w:pPr>
      <w:r>
        <w:rPr>
          <w:rFonts w:cs="Arial"/>
        </w:rPr>
        <w:t>Hein H., Kunze W. "Umweltanalytik"; Weinheim 1994</w:t>
      </w:r>
    </w:p>
    <w:p w:rsidR="008737B7" w:rsidRPr="008737B7" w:rsidRDefault="008737B7" w:rsidP="00F0263F">
      <w:pPr>
        <w:pStyle w:val="AufzhlungStandard"/>
      </w:pPr>
      <w:r>
        <w:rPr>
          <w:rFonts w:cs="Arial"/>
        </w:rPr>
        <w:t xml:space="preserve">Kunze U. "Grundlagen der quantitativen Analyse"; Stuttgart, New York </w:t>
      </w:r>
      <w:r>
        <w:rPr>
          <w:rFonts w:cs="Arial"/>
          <w:vertAlign w:val="superscript"/>
        </w:rPr>
        <w:t>2</w:t>
      </w:r>
      <w:r>
        <w:rPr>
          <w:rFonts w:cs="Arial"/>
        </w:rPr>
        <w:t xml:space="preserve"> 1986</w:t>
      </w:r>
    </w:p>
    <w:p w:rsidR="008737B7" w:rsidRPr="008737B7" w:rsidRDefault="008737B7" w:rsidP="00F0263F">
      <w:pPr>
        <w:pStyle w:val="AufzhlungStandard"/>
      </w:pPr>
      <w:r>
        <w:rPr>
          <w:rFonts w:cs="Arial"/>
        </w:rPr>
        <w:t>Schwedt G. "Analytische Chemie"; Stuttgart 1995</w:t>
      </w:r>
    </w:p>
    <w:p w:rsidR="008737B7" w:rsidRPr="008737B7" w:rsidRDefault="008737B7" w:rsidP="00F0263F">
      <w:pPr>
        <w:pStyle w:val="AufzhlungStandard"/>
      </w:pPr>
      <w:r>
        <w:rPr>
          <w:rFonts w:cs="Arial"/>
        </w:rPr>
        <w:t>Seel F. "Grundlagen der analytischen Chemie"; Weinheim, New York</w:t>
      </w:r>
      <w:r>
        <w:rPr>
          <w:rFonts w:cs="Arial"/>
          <w:vertAlign w:val="superscript"/>
        </w:rPr>
        <w:t>7</w:t>
      </w:r>
      <w:r>
        <w:rPr>
          <w:rFonts w:cs="Arial"/>
        </w:rPr>
        <w:t xml:space="preserve"> 1979</w:t>
      </w:r>
    </w:p>
    <w:p w:rsidR="008737B7" w:rsidRPr="008737B7" w:rsidRDefault="008737B7" w:rsidP="00F0263F">
      <w:pPr>
        <w:pStyle w:val="AufzhlungStandard"/>
      </w:pPr>
      <w:proofErr w:type="spellStart"/>
      <w:r>
        <w:rPr>
          <w:rFonts w:cs="Arial"/>
        </w:rPr>
        <w:t>Stoeppler</w:t>
      </w:r>
      <w:proofErr w:type="spellEnd"/>
      <w:r>
        <w:rPr>
          <w:rFonts w:cs="Arial"/>
        </w:rPr>
        <w:t xml:space="preserve"> M. "Probennahme und </w:t>
      </w:r>
      <w:proofErr w:type="spellStart"/>
      <w:r>
        <w:rPr>
          <w:rFonts w:cs="Arial"/>
        </w:rPr>
        <w:t>Aufschluß</w:t>
      </w:r>
      <w:proofErr w:type="spellEnd"/>
      <w:r>
        <w:rPr>
          <w:rFonts w:cs="Arial"/>
        </w:rPr>
        <w:t>"; Berlin, Heidelberg 1994</w:t>
      </w:r>
    </w:p>
    <w:p w:rsidR="008737B7" w:rsidRPr="008737B7" w:rsidRDefault="008737B7" w:rsidP="008737B7">
      <w:pPr>
        <w:pStyle w:val="AufzhlungStandard"/>
      </w:pPr>
      <w:proofErr w:type="spellStart"/>
      <w:r>
        <w:rPr>
          <w:rFonts w:cs="Arial"/>
        </w:rPr>
        <w:t>Tölg</w:t>
      </w:r>
      <w:proofErr w:type="spellEnd"/>
      <w:r>
        <w:rPr>
          <w:rFonts w:cs="Arial"/>
        </w:rPr>
        <w:t xml:space="preserve"> G. "Chemische Elementaranalyse mit kleinsten Proben"; Weinheim 1968</w:t>
      </w:r>
    </w:p>
    <w:p w:rsidR="008737B7" w:rsidRDefault="008737B7" w:rsidP="008737B7">
      <w:pPr>
        <w:pStyle w:val="AufzhlungStandard"/>
      </w:pPr>
      <w:bookmarkStart w:id="13" w:name="_Ref46396026"/>
      <w:r>
        <w:t>Acker L. et al. "Handbuch der Lebensmittelchemie", Band V/1 ‚ Kohlenhydratreiche Lebensmittel‘; Berlin, Heidelberg, New York 1967, S. 19</w:t>
      </w:r>
      <w:bookmarkEnd w:id="13"/>
    </w:p>
    <w:sectPr w:rsidR="008737B7" w:rsidSect="004B5C14">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64" w:rsidRDefault="002F7E64" w:rsidP="005A7DCE">
      <w:pPr>
        <w:spacing w:before="0"/>
      </w:pPr>
      <w:r>
        <w:separator/>
      </w:r>
    </w:p>
  </w:endnote>
  <w:endnote w:type="continuationSeparator" w:id="0">
    <w:p w:rsidR="002F7E64" w:rsidRDefault="002F7E6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895E43">
          <w:rPr>
            <w:noProof/>
          </w:rPr>
          <w:t>6</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64" w:rsidRDefault="002F7E64" w:rsidP="005A7DCE">
      <w:pPr>
        <w:spacing w:before="0"/>
      </w:pPr>
      <w:r>
        <w:separator/>
      </w:r>
    </w:p>
  </w:footnote>
  <w:footnote w:type="continuationSeparator" w:id="0">
    <w:p w:rsidR="002F7E64" w:rsidRDefault="002F7E6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225E32"/>
    <w:rsid w:val="002F7E64"/>
    <w:rsid w:val="0033663A"/>
    <w:rsid w:val="0036111E"/>
    <w:rsid w:val="004B5C14"/>
    <w:rsid w:val="004D0FAE"/>
    <w:rsid w:val="005633FE"/>
    <w:rsid w:val="0058690D"/>
    <w:rsid w:val="005A7DCE"/>
    <w:rsid w:val="00672371"/>
    <w:rsid w:val="006C46BC"/>
    <w:rsid w:val="007161D1"/>
    <w:rsid w:val="00783295"/>
    <w:rsid w:val="007B2C80"/>
    <w:rsid w:val="007F18E1"/>
    <w:rsid w:val="008117E4"/>
    <w:rsid w:val="00825BFE"/>
    <w:rsid w:val="00850560"/>
    <w:rsid w:val="008737B7"/>
    <w:rsid w:val="00883728"/>
    <w:rsid w:val="00895E43"/>
    <w:rsid w:val="008A524D"/>
    <w:rsid w:val="00931B30"/>
    <w:rsid w:val="00945ED7"/>
    <w:rsid w:val="009710A6"/>
    <w:rsid w:val="00A21130"/>
    <w:rsid w:val="00A5383F"/>
    <w:rsid w:val="00AA5678"/>
    <w:rsid w:val="00AA5D66"/>
    <w:rsid w:val="00AB7E4B"/>
    <w:rsid w:val="00AE53F0"/>
    <w:rsid w:val="00AF7672"/>
    <w:rsid w:val="00B00137"/>
    <w:rsid w:val="00C47CC6"/>
    <w:rsid w:val="00C6611D"/>
    <w:rsid w:val="00D97908"/>
    <w:rsid w:val="00DB7964"/>
    <w:rsid w:val="00E14DE1"/>
    <w:rsid w:val="00E20AF3"/>
    <w:rsid w:val="00E246AC"/>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C15FE"/>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table" w:styleId="Tabellenraster">
    <w:name w:val="Table Grid"/>
    <w:basedOn w:val="NormaleTabelle"/>
    <w:uiPriority w:val="39"/>
    <w:rsid w:val="0087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246AC"/>
    <w:pPr>
      <w:spacing w:before="100" w:beforeAutospacing="1" w:after="100" w:afterAutospacing="1"/>
      <w:jc w:val="left"/>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E246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4493">
      <w:bodyDiv w:val="1"/>
      <w:marLeft w:val="0"/>
      <w:marRight w:val="0"/>
      <w:marTop w:val="0"/>
      <w:marBottom w:val="0"/>
      <w:divBdr>
        <w:top w:val="none" w:sz="0" w:space="0" w:color="auto"/>
        <w:left w:val="none" w:sz="0" w:space="0" w:color="auto"/>
        <w:bottom w:val="none" w:sz="0" w:space="0" w:color="auto"/>
        <w:right w:val="none" w:sz="0" w:space="0" w:color="auto"/>
      </w:divBdr>
    </w:div>
    <w:div w:id="1434550248">
      <w:bodyDiv w:val="1"/>
      <w:marLeft w:val="0"/>
      <w:marRight w:val="0"/>
      <w:marTop w:val="0"/>
      <w:marBottom w:val="0"/>
      <w:divBdr>
        <w:top w:val="none" w:sz="0" w:space="0" w:color="auto"/>
        <w:left w:val="none" w:sz="0" w:space="0" w:color="auto"/>
        <w:bottom w:val="none" w:sz="0" w:space="0" w:color="auto"/>
        <w:right w:val="none" w:sz="0" w:space="0" w:color="auto"/>
      </w:divBdr>
    </w:div>
    <w:div w:id="18377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8313-E05F-4059-9ADE-1AD781C2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83C28570.dotm</Template>
  <TotalTime>0</TotalTime>
  <Pages>6</Pages>
  <Words>1561</Words>
  <Characters>9840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2020-07-31T10:31:00Z</cp:lastPrinted>
  <dcterms:created xsi:type="dcterms:W3CDTF">2020-07-23T09:23:00Z</dcterms:created>
  <dcterms:modified xsi:type="dcterms:W3CDTF">2020-07-31T10:31:00Z</dcterms:modified>
</cp:coreProperties>
</file>