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FE6DE9" w14:textId="77777777" w:rsidR="00E8473B" w:rsidRDefault="00E8473B" w:rsidP="00E8473B">
      <w:pPr>
        <w:pStyle w:val="Bilder"/>
      </w:pPr>
      <w:r w:rsidRPr="00716CB6">
        <w:rPr>
          <w:lang w:eastAsia="de-DE"/>
        </w:rPr>
        <mc:AlternateContent>
          <mc:Choice Requires="wpg">
            <w:drawing>
              <wp:inline distT="0" distB="0" distL="0" distR="0" wp14:anchorId="5B456F19" wp14:editId="11C3E688">
                <wp:extent cx="2232342" cy="607060"/>
                <wp:effectExtent l="0" t="0" r="0" b="2540"/>
                <wp:docPr id="109" name="Gruppieren 1"/>
                <wp:cNvGraphicFramePr/>
                <a:graphic xmlns:a="http://schemas.openxmlformats.org/drawingml/2006/main">
                  <a:graphicData uri="http://schemas.microsoft.com/office/word/2010/wordprocessingGroup">
                    <wpg:wgp>
                      <wpg:cNvGrpSpPr/>
                      <wpg:grpSpPr>
                        <a:xfrm>
                          <a:off x="0" y="0"/>
                          <a:ext cx="2232342" cy="607060"/>
                          <a:chOff x="0" y="0"/>
                          <a:chExt cx="2232342" cy="607060"/>
                        </a:xfrm>
                      </wpg:grpSpPr>
                      <wpg:grpSp>
                        <wpg:cNvPr id="116" name="Group 21"/>
                        <wpg:cNvGrpSpPr>
                          <a:grpSpLocks noChangeAspect="1"/>
                        </wpg:cNvGrpSpPr>
                        <wpg:grpSpPr bwMode="auto">
                          <a:xfrm>
                            <a:off x="0" y="0"/>
                            <a:ext cx="536575" cy="534987"/>
                            <a:chOff x="0" y="0"/>
                            <a:chExt cx="907" cy="906"/>
                          </a:xfrm>
                        </wpg:grpSpPr>
                        <wps:wsp>
                          <wps:cNvPr id="117" name="Rectangle 22"/>
                          <wps:cNvSpPr>
                            <a:spLocks noChangeAspect="1" noChangeArrowheads="1"/>
                          </wps:cNvSpPr>
                          <wps:spPr bwMode="auto">
                            <a:xfrm>
                              <a:off x="0" y="0"/>
                              <a:ext cx="907" cy="906"/>
                            </a:xfrm>
                            <a:prstGeom prst="rect">
                              <a:avLst/>
                            </a:prstGeom>
                            <a:solidFill>
                              <a:schemeClr val="bg1"/>
                            </a:solidFill>
                            <a:ln w="9525">
                              <a:solidFill>
                                <a:schemeClr val="tx1"/>
                              </a:solidFill>
                              <a:miter lim="800000"/>
                              <a:headEnd/>
                              <a:tailEnd/>
                            </a:ln>
                          </wps:spPr>
                          <wps:bodyPr wrap="none" anchor="ctr"/>
                        </wps:wsp>
                        <wps:wsp>
                          <wps:cNvPr id="118" name="Freeform 23"/>
                          <wps:cNvSpPr>
                            <a:spLocks noChangeAspect="1"/>
                          </wps:cNvSpPr>
                          <wps:spPr bwMode="auto">
                            <a:xfrm>
                              <a:off x="47" y="241"/>
                              <a:ext cx="830" cy="618"/>
                            </a:xfrm>
                            <a:custGeom>
                              <a:avLst/>
                              <a:gdLst>
                                <a:gd name="T0" fmla="*/ 0 w 788"/>
                                <a:gd name="T1" fmla="*/ 885 h 587"/>
                                <a:gd name="T2" fmla="*/ 556 w 788"/>
                                <a:gd name="T3" fmla="*/ 884 h 587"/>
                                <a:gd name="T4" fmla="*/ 1188 w 788"/>
                                <a:gd name="T5" fmla="*/ 277 h 587"/>
                                <a:gd name="T6" fmla="*/ 1193 w 788"/>
                                <a:gd name="T7" fmla="*/ 0 h 587"/>
                                <a:gd name="T8" fmla="*/ 898 w 788"/>
                                <a:gd name="T9" fmla="*/ 0 h 587"/>
                                <a:gd name="T10" fmla="*/ 0 w 788"/>
                                <a:gd name="T11" fmla="*/ 885 h 587"/>
                                <a:gd name="T12" fmla="*/ 0 60000 65536"/>
                                <a:gd name="T13" fmla="*/ 0 60000 65536"/>
                                <a:gd name="T14" fmla="*/ 0 60000 65536"/>
                                <a:gd name="T15" fmla="*/ 0 60000 65536"/>
                                <a:gd name="T16" fmla="*/ 0 60000 65536"/>
                                <a:gd name="T17" fmla="*/ 0 60000 65536"/>
                                <a:gd name="T18" fmla="*/ 0 w 788"/>
                                <a:gd name="T19" fmla="*/ 0 h 587"/>
                                <a:gd name="T20" fmla="*/ 788 w 788"/>
                                <a:gd name="T21" fmla="*/ 587 h 587"/>
                              </a:gdLst>
                              <a:ahLst/>
                              <a:cxnLst>
                                <a:cxn ang="T12">
                                  <a:pos x="T0" y="T1"/>
                                </a:cxn>
                                <a:cxn ang="T13">
                                  <a:pos x="T2" y="T3"/>
                                </a:cxn>
                                <a:cxn ang="T14">
                                  <a:pos x="T4" y="T5"/>
                                </a:cxn>
                                <a:cxn ang="T15">
                                  <a:pos x="T6" y="T7"/>
                                </a:cxn>
                                <a:cxn ang="T16">
                                  <a:pos x="T8" y="T9"/>
                                </a:cxn>
                                <a:cxn ang="T17">
                                  <a:pos x="T10" y="T11"/>
                                </a:cxn>
                              </a:cxnLst>
                              <a:rect l="T18" t="T19" r="T20" b="T21"/>
                              <a:pathLst>
                                <a:path w="788" h="587">
                                  <a:moveTo>
                                    <a:pt x="0" y="587"/>
                                  </a:moveTo>
                                  <a:lnTo>
                                    <a:pt x="366" y="586"/>
                                  </a:lnTo>
                                  <a:lnTo>
                                    <a:pt x="785" y="183"/>
                                  </a:lnTo>
                                  <a:lnTo>
                                    <a:pt x="788" y="0"/>
                                  </a:lnTo>
                                  <a:lnTo>
                                    <a:pt x="593" y="0"/>
                                  </a:lnTo>
                                  <a:lnTo>
                                    <a:pt x="0" y="587"/>
                                  </a:lnTo>
                                  <a:close/>
                                </a:path>
                              </a:pathLst>
                            </a:custGeom>
                            <a:solidFill>
                              <a:srgbClr val="009900"/>
                            </a:solidFill>
                            <a:ln w="9525" cmpd="sng">
                              <a:solidFill>
                                <a:schemeClr val="tx1"/>
                              </a:solidFill>
                              <a:round/>
                              <a:headEnd/>
                              <a:tailEnd/>
                            </a:ln>
                          </wps:spPr>
                          <wps:bodyPr/>
                        </wps:wsp>
                        <wps:wsp>
                          <wps:cNvPr id="119" name="Freeform 24"/>
                          <wps:cNvSpPr>
                            <a:spLocks noChangeAspect="1"/>
                          </wps:cNvSpPr>
                          <wps:spPr bwMode="auto">
                            <a:xfrm>
                              <a:off x="47" y="47"/>
                              <a:ext cx="239" cy="812"/>
                            </a:xfrm>
                            <a:custGeom>
                              <a:avLst/>
                              <a:gdLst>
                                <a:gd name="T0" fmla="*/ 0 w 227"/>
                                <a:gd name="T1" fmla="*/ 0 h 771"/>
                                <a:gd name="T2" fmla="*/ 0 w 227"/>
                                <a:gd name="T3" fmla="*/ 1166 h 771"/>
                                <a:gd name="T4" fmla="*/ 343 w 227"/>
                                <a:gd name="T5" fmla="*/ 823 h 771"/>
                                <a:gd name="T6" fmla="*/ 343 w 227"/>
                                <a:gd name="T7" fmla="*/ 0 h 771"/>
                                <a:gd name="T8" fmla="*/ 0 w 227"/>
                                <a:gd name="T9" fmla="*/ 0 h 771"/>
                                <a:gd name="T10" fmla="*/ 0 60000 65536"/>
                                <a:gd name="T11" fmla="*/ 0 60000 65536"/>
                                <a:gd name="T12" fmla="*/ 0 60000 65536"/>
                                <a:gd name="T13" fmla="*/ 0 60000 65536"/>
                                <a:gd name="T14" fmla="*/ 0 60000 65536"/>
                                <a:gd name="T15" fmla="*/ 0 w 227"/>
                                <a:gd name="T16" fmla="*/ 0 h 771"/>
                                <a:gd name="T17" fmla="*/ 227 w 227"/>
                                <a:gd name="T18" fmla="*/ 771 h 771"/>
                              </a:gdLst>
                              <a:ahLst/>
                              <a:cxnLst>
                                <a:cxn ang="T10">
                                  <a:pos x="T0" y="T1"/>
                                </a:cxn>
                                <a:cxn ang="T11">
                                  <a:pos x="T2" y="T3"/>
                                </a:cxn>
                                <a:cxn ang="T12">
                                  <a:pos x="T4" y="T5"/>
                                </a:cxn>
                                <a:cxn ang="T13">
                                  <a:pos x="T6" y="T7"/>
                                </a:cxn>
                                <a:cxn ang="T14">
                                  <a:pos x="T8" y="T9"/>
                                </a:cxn>
                              </a:cxnLst>
                              <a:rect l="T15" t="T16" r="T17" b="T18"/>
                              <a:pathLst>
                                <a:path w="227" h="771">
                                  <a:moveTo>
                                    <a:pt x="0" y="0"/>
                                  </a:moveTo>
                                  <a:lnTo>
                                    <a:pt x="0" y="771"/>
                                  </a:lnTo>
                                  <a:lnTo>
                                    <a:pt x="227" y="544"/>
                                  </a:lnTo>
                                  <a:lnTo>
                                    <a:pt x="227" y="0"/>
                                  </a:lnTo>
                                  <a:lnTo>
                                    <a:pt x="0" y="0"/>
                                  </a:lnTo>
                                  <a:close/>
                                </a:path>
                              </a:pathLst>
                            </a:custGeom>
                            <a:solidFill>
                              <a:schemeClr val="bg1"/>
                            </a:solidFill>
                            <a:ln w="12700" cmpd="sng">
                              <a:solidFill>
                                <a:schemeClr val="tx1"/>
                              </a:solidFill>
                              <a:round/>
                              <a:headEnd/>
                              <a:tailEnd/>
                            </a:ln>
                          </wps:spPr>
                          <wps:bodyPr/>
                        </wps:wsp>
                      </wpg:grpSp>
                      <wps:wsp>
                        <wps:cNvPr id="120" name="Text Box 33"/>
                        <wps:cNvSpPr txBox="1">
                          <a:spLocks noChangeArrowheads="1"/>
                        </wps:cNvSpPr>
                        <wps:spPr bwMode="auto">
                          <a:xfrm>
                            <a:off x="503237" y="0"/>
                            <a:ext cx="172910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43634" w14:textId="77777777" w:rsidR="00E8473B" w:rsidRDefault="00E8473B" w:rsidP="00E8473B">
                              <w:pPr>
                                <w:pStyle w:val="StandardWeb"/>
                                <w:spacing w:before="168" w:after="0"/>
                                <w:textAlignment w:val="baseline"/>
                              </w:pPr>
                              <w:r>
                                <w:rPr>
                                  <w:rFonts w:ascii="Arial" w:hAnsi="Arial" w:cstheme="minorBidi"/>
                                  <w:color w:val="000000" w:themeColor="text1"/>
                                  <w:kern w:val="24"/>
                                  <w:sz w:val="28"/>
                                  <w:szCs w:val="28"/>
                                </w:rPr>
                                <w:t>UNIVERSITÄT</w:t>
                              </w:r>
                              <w:r>
                                <w:rPr>
                                  <w:rFonts w:ascii="Arial" w:hAnsi="Arial" w:cstheme="minorBidi"/>
                                  <w:color w:val="000000" w:themeColor="text1"/>
                                  <w:kern w:val="24"/>
                                  <w:sz w:val="28"/>
                                  <w:szCs w:val="28"/>
                                </w:rPr>
                                <w:br/>
                                <w:t>BAYREUTH</w:t>
                              </w:r>
                            </w:p>
                          </w:txbxContent>
                        </wps:txbx>
                        <wps:bodyPr>
                          <a:spAutoFit/>
                        </wps:bodyPr>
                      </wps:wsp>
                    </wpg:wgp>
                  </a:graphicData>
                </a:graphic>
              </wp:inline>
            </w:drawing>
          </mc:Choice>
          <mc:Fallback>
            <w:pict>
              <v:group w14:anchorId="5B456F19" id="Gruppieren 1" o:spid="_x0000_s1026" style="width:175.75pt;height:47.8pt;mso-position-horizontal-relative:char;mso-position-vertical-relative:line" coordsize="22323,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QpQYAANwYAAAOAAAAZHJzL2Uyb0RvYy54bWzMWdtu20YQfS/Qf1jwsYAi3i+C5SCxLL+k&#10;bdCoH0CTlESUN5C0paDIv/fMLpdc2pQsO0FQP4i34ezMmdk5w/HV+2OescekbtKyWGrGO11jSRGV&#10;cVrsltrfm/XM11jThkUcZmWRLLWvSaO9v/71l6tDtUjMcl9mcVIzKCmaxaFaavu2rRbzeRPtkzxs&#10;3pVVUuDhtqzzsMVlvZvHdXiA9jybm7ruzg9lHVd1GSVNg7sr8VC75vq32yRq/9xum6Rl2VKDbS3/&#10;rfnvPf3Or6/Cxa4Oq30adWaEb7AiD9MCi/aqVmEbsoc6faYqT6O6bMpt+y4q83m53aZRwn2AN4b+&#10;xJu7unyouC+7xWFX9TAB2ic4vVlt9Mfj55qlMWKnBxorwhxBuqsfqipN6qRgBiF0qHYLCN7V1Zfq&#10;c93d2Ikrcvq4rXM6wh125Nh+7bFNji2LcNM0LdOyTY1FeObqnu524Ed7ROjZa9H+9vyLc7nsnKzr&#10;jekvequle4Y7uAdYmTnhmoggvPxURv80rChv9mGxSz40FRIJEBEYfL0BDbFOtz67P/xexkAwfGhL&#10;ng+XQONYruM5AhnHsgPfE2n5EjKB7omXAt3llp2CBFurGbKn+b7s+bIPq4QnZUNJ0cMLW0T2/AWs&#10;gFqWMNMksw4VF6TUIXybk+AOeNd1edgnYQxTJeaKDlLYQNvb0D6JWrio6qa9S8qc0clSq+EID2L4&#10;+KlpKfSDCPekzNJ4nWYZv6CKldxkNXsMUWvud8Jw+KtKZQU7LLXAMR2uePSM17xBQ3uc1JCnLQpm&#10;luZLzdfpT+QKoXVbxDAyXLRhmolzGJwVPGUFYiIY92X8FegdUPWWWoGyrLGwiPYlymLU1jyTCGLk&#10;jJD/CckDlhDJs66ThKo9M61X5Y7YmG9JEhuJi5Jk2hzucCELlm+BL3ixMnyOidxd4SJ6EHlCYMvc&#10;QOmPkSV0axd3zmygYZtnIJTf5kxnB+b5XJUqYigivu+wPXPk/h/0oGz2ehzHndZkKUK+b09rshUh&#10;w/D9aVUoRv16pudNq0I97YUMI7CmVQHdXkqfVoTg9yJ+cMIkkFMvdEKPcQncF+FtqIDrzKV9xlwH&#10;hVrstiEyhor6eUkV+vOSKvznJdUYnJccx+GcR2o4TiXtBdEw1Wgg8afTAyw8xBWZP2QIale/o8K9&#10;KMDYesei22U4Q9lCK7RBtGjbVWVDbQRtOuznjayekKOnirg1EkeoSZyXG6z5XNweiSOKJO50JeG5&#10;uKjs0hgEiMQ5o09qd0fagT2JBye1eyNxyniSN0bOinU6mIjEqPndoIpR+7sxEDtU+g3FBy3wRvRB&#10;gC9sCWWOJE6Jp6hcsf1So4pE9/PyMdmUXKIdOrauXmHV4XlWqHKWK2BwfNmnyOfyWHF9no/Mhz+G&#10;L6Mhn8ujlBM4ce7DuvKpPAopJ8DehLbzUgLBwQepI8rKJuk4H3AI8pcQEcIKB4xpvN7d922ArgeB&#10;oGi8MhJTOgEW5RUa8KbYcZRHYpc1BfhO6Lj/9X2AZM6fSff9l8ZA9zal/MWtojQaDajoKy/uCTu6&#10;xwE6BrY3LdhEbO+jmpD2H8D2ptktotCFUu2IxTyv6zoGkTH1HNBEP9Oico5huO60IpVvLJvoeUKV&#10;SjW+aU1rUlnmpKYxwUy6hl2rcPikPU+JZQKgJzR/jspUcjlPj2PUz+lUwT+vUw3AeUk1CkS5E4Gi&#10;z1cFvEl8DTUG0HFCkxoG4DvEHEl/KeXqIx6SNHSStoyR+IuUOyb0Fyl3TOgvUu6Y0AWVjCmX6nvf&#10;aAwMijBxBsUKxKAENzGo+D6YZFAKJDEopfFpBpUMdYo/BbzdVoBtkqPkUfAdXwsVzLF5LX1RTq4q&#10;tcij0CbWfCrzdlZ8xeexYXrgzP8RKw4jpp/1QUzNmfgg3tD36MfyyKynH8SsPeI+TUgos56NVX7Q&#10;DMXRMbdDEstGaqBMwzMDQ8eeGE/0kHdy6PXKeUpR0jCF0zJNLcJFf4PnckfXXY9KsPAB67+BHtz6&#10;t749s033dmbrq9Xsw/rGnrlrw3NW1urmZmV8I4wMe7FP4zgpaBk57DXsy8Zh3dhZjGn7ce+4V1M7&#10;vzX/6wqiIjYfm8E7DfjSOSddMkxb/2gGs7XrezN7bTuzwNP9mW4EHwNXtwN7tR679Cktku936cxw&#10;SvWNPoenu9pXTqf6iJD5AxQINyDhgcbWU0dX7fH+iAShm2KKRbg11QeMW9cpH9Gpj/jLvK/lOxgj&#10;dL5GN+6nGb16jXP1nxLX/wEAAP//AwBQSwMEFAAGAAgAAAAhAO+F8TTcAAAABAEAAA8AAABkcnMv&#10;ZG93bnJldi54bWxMj0FrwkAQhe+F/odlCr3VTSqRmmYjIm1PUqgK4m3MjkkwOxuyaxL/fVcv7WXg&#10;8R7vfZMtRtOInjpXW1YQTyIQxIXVNZcKdtvPlzcQziNrbCyTgis5WOSPDxmm2g78Q/3GlyKUsEtR&#10;QeV9m0rpiooMuoltiYN3sp1BH2RXSt3hEMpNI1+jaCYN1hwWKmxpVVFx3lyMgq8Bh+U0/ujX59Pq&#10;etgm3/t1TEo9P43LdxCeRv8Xhht+QIc8MB3thbUTjYLwiL/f4E2TOAFxVDBPZiDzTP6Hz38BAAD/&#10;/wMAUEsBAi0AFAAGAAgAAAAhALaDOJL+AAAA4QEAABMAAAAAAAAAAAAAAAAAAAAAAFtDb250ZW50&#10;X1R5cGVzXS54bWxQSwECLQAUAAYACAAAACEAOP0h/9YAAACUAQAACwAAAAAAAAAAAAAAAAAvAQAA&#10;X3JlbHMvLnJlbHNQSwECLQAUAAYACAAAACEAN3/9UKUGAADcGAAADgAAAAAAAAAAAAAAAAAuAgAA&#10;ZHJzL2Uyb0RvYy54bWxQSwECLQAUAAYACAAAACEA74XxNNwAAAAEAQAADwAAAAAAAAAAAAAAAAD/&#10;CAAAZHJzL2Rvd25yZXYueG1sUEsFBgAAAAAEAAQA8wAAAAgKAAAAAA==&#10;">
                <v:group id="Group 21" o:spid="_x0000_s1027" style="position:absolute;width:5365;height:5349" coordsize="90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o:lock v:ext="edit" aspectratio="t"/>
                  <v:rect id="Rectangle 22" o:spid="_x0000_s1028" style="position:absolute;width:907;height:9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aAwgAAANwAAAAPAAAAZHJzL2Rvd25yZXYueG1sRE9NawIx&#10;EL0L/Q9hCl5Es0qpuhqlSLe0R1cv3obNuFncTMIm6vrvTaHQ2zze56y3vW3FjbrQOFYwnWQgiCun&#10;G64VHA/FeAEiRGSNrWNS8KAA283LYI25dnfe062MtUghHHJUYGL0uZShMmQxTJwnTtzZdRZjgl0t&#10;dYf3FG5bOcuyd2mx4dRg0NPOUHUpr1bBrHzbfT5O5Q9WV//VmMKPlsVJqeFr/7ECEamP/+I/97dO&#10;86dz+H0mXSA3TwAAAP//AwBQSwECLQAUAAYACAAAACEA2+H2y+4AAACFAQAAEwAAAAAAAAAAAAAA&#10;AAAAAAAAW0NvbnRlbnRfVHlwZXNdLnhtbFBLAQItABQABgAIAAAAIQBa9CxbvwAAABUBAAALAAAA&#10;AAAAAAAAAAAAAB8BAABfcmVscy8ucmVsc1BLAQItABQABgAIAAAAIQCsGgaAwgAAANwAAAAPAAAA&#10;AAAAAAAAAAAAAAcCAABkcnMvZG93bnJldi54bWxQSwUGAAAAAAMAAwC3AAAA9gIAAAAA&#10;" fillcolor="white [3212]" strokecolor="black [3213]">
                    <o:lock v:ext="edit" aspectratio="t"/>
                  </v:rect>
                  <v:shape id="Freeform 23" o:spid="_x0000_s1029" style="position:absolute;left:47;top:241;width:830;height:618;visibility:visible;mso-wrap-style:square;v-text-anchor:top" coordsize="78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ZGxAAAANwAAAAPAAAAZHJzL2Rvd25yZXYueG1sRI9Ba8JA&#10;EIXvgv9hGaE33ehBSnSVUhSlIFLjxduQHbPB7GzIrjH9951DobcZ3pv3vllvB9+onrpYBzYwn2Wg&#10;iMtga64MXIv99B1UTMgWm8Bk4IcibDfj0RpzG178Tf0lVUpCOOZowKXU5lrH0pHHOAstsWj30HlM&#10;snaVth2+JNw3epFlS+2xZmlw2NKno/JxeXoDt+Jw4udQBIzLc+Yeu/Np8dUb8zYZPlagEg3p3/x3&#10;fbSCPxdaeUYm0JtfAAAA//8DAFBLAQItABQABgAIAAAAIQDb4fbL7gAAAIUBAAATAAAAAAAAAAAA&#10;AAAAAAAAAABbQ29udGVudF9UeXBlc10ueG1sUEsBAi0AFAAGAAgAAAAhAFr0LFu/AAAAFQEAAAsA&#10;AAAAAAAAAAAAAAAAHwEAAF9yZWxzLy5yZWxzUEsBAi0AFAAGAAgAAAAhAG5qRkbEAAAA3AAAAA8A&#10;AAAAAAAAAAAAAAAABwIAAGRycy9kb3ducmV2LnhtbFBLBQYAAAAAAwADALcAAAD4AgAAAAA=&#10;" path="m,587r366,-1l785,183,788,,593,,,587xe" fillcolor="#090" strokecolor="black [3213]">
                    <v:path arrowok="t" o:connecttype="custom" o:connectlocs="0,932;586,931;1251,292;1257,0;946,0;0,932" o:connectangles="0,0,0,0,0,0" textboxrect="0,0,788,587"/>
                    <o:lock v:ext="edit" aspectratio="t"/>
                  </v:shape>
                  <v:shape id="Freeform 24" o:spid="_x0000_s1030" style="position:absolute;left:47;top:47;width:239;height:812;visibility:visible;mso-wrap-style:square;v-text-anchor:top" coordsize="22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BvxAAAANwAAAAPAAAAZHJzL2Rvd25yZXYueG1sRE9La8JA&#10;EL4L/Q/LFLzpJgrBpm6kCL4OFrS99DZkp3mYnY3ZVaO/vlso9DYf33Pmi9404kqdqywriMcRCOLc&#10;6ooLBZ8fq9EMhPPIGhvLpOBODhbZ02COqbY3PtD16AsRQtilqKD0vk2ldHlJBt3YtsSB+7adQR9g&#10;V0jd4S2Em0ZOoiiRBisODSW2tCwpPx0vRsF69jWtk2l/uW/28Rnfd+f6cUqUGj73b68gPPX+X/zn&#10;3uowP36B32fCBTL7AQAA//8DAFBLAQItABQABgAIAAAAIQDb4fbL7gAAAIUBAAATAAAAAAAAAAAA&#10;AAAAAAAAAABbQ29udGVudF9UeXBlc10ueG1sUEsBAi0AFAAGAAgAAAAhAFr0LFu/AAAAFQEAAAsA&#10;AAAAAAAAAAAAAAAAHwEAAF9yZWxzLy5yZWxzUEsBAi0AFAAGAAgAAAAhAJQrwG/EAAAA3AAAAA8A&#10;AAAAAAAAAAAAAAAABwIAAGRycy9kb3ducmV2LnhtbFBLBQYAAAAAAwADALcAAAD4AgAAAAA=&#10;" path="m,l,771,227,544,227,,,xe" fillcolor="white [3212]" strokecolor="black [3213]" strokeweight="1pt">
                    <v:path arrowok="t" o:connecttype="custom" o:connectlocs="0,0;0,1228;361,867;361,0;0,0" o:connectangles="0,0,0,0,0" textboxrect="0,0,227,771"/>
                    <o:lock v:ext="edit" aspectratio="t"/>
                  </v:shape>
                </v:group>
                <v:shapetype id="_x0000_t202" coordsize="21600,21600" o:spt="202" path="m,l,21600r21600,l21600,xe">
                  <v:stroke joinstyle="miter"/>
                  <v:path gradientshapeok="t" o:connecttype="rect"/>
                </v:shapetype>
                <v:shape id="Text Box 33" o:spid="_x0000_s1031" type="#_x0000_t202" style="position:absolute;left:5032;width:17291;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14:paraId="5BA43634" w14:textId="77777777" w:rsidR="00E8473B" w:rsidRDefault="00E8473B" w:rsidP="00E8473B">
                        <w:pPr>
                          <w:pStyle w:val="StandardWeb"/>
                          <w:spacing w:before="168" w:after="0"/>
                          <w:textAlignment w:val="baseline"/>
                        </w:pPr>
                        <w:r>
                          <w:rPr>
                            <w:rFonts w:ascii="Arial" w:hAnsi="Arial" w:cstheme="minorBidi"/>
                            <w:color w:val="000000" w:themeColor="text1"/>
                            <w:kern w:val="24"/>
                            <w:sz w:val="28"/>
                            <w:szCs w:val="28"/>
                          </w:rPr>
                          <w:t>UNIVERSITÄT</w:t>
                        </w:r>
                        <w:r>
                          <w:rPr>
                            <w:rFonts w:ascii="Arial" w:hAnsi="Arial" w:cstheme="minorBidi"/>
                            <w:color w:val="000000" w:themeColor="text1"/>
                            <w:kern w:val="24"/>
                            <w:sz w:val="28"/>
                            <w:szCs w:val="28"/>
                          </w:rPr>
                          <w:br/>
                          <w:t>BAYREUTH</w:t>
                        </w:r>
                      </w:p>
                    </w:txbxContent>
                  </v:textbox>
                </v:shape>
                <w10:anchorlock/>
              </v:group>
            </w:pict>
          </mc:Fallback>
        </mc:AlternateContent>
      </w:r>
      <w:r>
        <w:t xml:space="preserve">                                                      </w:t>
      </w:r>
      <w:r w:rsidRPr="00675FF9">
        <w:rPr>
          <w:lang w:eastAsia="de-DE"/>
        </w:rPr>
        <w:drawing>
          <wp:inline distT="0" distB="0" distL="0" distR="0" wp14:anchorId="236F97B8" wp14:editId="0B1C3D0C">
            <wp:extent cx="848496" cy="612000"/>
            <wp:effectExtent l="0" t="0" r="8890" b="0"/>
            <wp:docPr id="2054" name="Picture 14" descr="didaktik_logo_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4" descr="didaktik_logo_gross"/>
                    <pic:cNvPicPr>
                      <a:picLocks noChangeAspect="1" noChangeArrowheads="1"/>
                    </pic:cNvPicPr>
                  </pic:nvPicPr>
                  <pic:blipFill>
                    <a:blip r:embed="rId8" cstate="print">
                      <a:lum contrast="40000"/>
                      <a:extLst>
                        <a:ext uri="{28A0092B-C50C-407E-A947-70E740481C1C}">
                          <a14:useLocalDpi xmlns:a14="http://schemas.microsoft.com/office/drawing/2010/main" val="0"/>
                        </a:ext>
                      </a:extLst>
                    </a:blip>
                    <a:srcRect b="14961"/>
                    <a:stretch>
                      <a:fillRect/>
                    </a:stretch>
                  </pic:blipFill>
                  <pic:spPr bwMode="auto">
                    <a:xfrm>
                      <a:off x="0" y="0"/>
                      <a:ext cx="848496" cy="612000"/>
                    </a:xfrm>
                    <a:prstGeom prst="rect">
                      <a:avLst/>
                    </a:prstGeom>
                    <a:noFill/>
                    <a:ln w="9525">
                      <a:noFill/>
                      <a:miter lim="800000"/>
                      <a:headEnd/>
                      <a:tailEnd/>
                    </a:ln>
                  </pic:spPr>
                </pic:pic>
              </a:graphicData>
            </a:graphic>
          </wp:inline>
        </w:drawing>
      </w:r>
    </w:p>
    <w:p w14:paraId="1DCB6534" w14:textId="77777777" w:rsidR="00AE53F0" w:rsidRPr="00776C60" w:rsidRDefault="00E8473B" w:rsidP="00776C60">
      <w:pPr>
        <w:pStyle w:val="Seminar"/>
      </w:pPr>
      <w:r w:rsidRPr="00776C60">
        <w:t>Seminar</w:t>
      </w:r>
      <w:r w:rsidR="00FD7888" w:rsidRPr="00776C60">
        <w:t xml:space="preserve"> „Übungen im Vortragen – </w:t>
      </w:r>
      <w:r w:rsidR="00776C60" w:rsidRPr="00776C60">
        <w:t>OC</w:t>
      </w:r>
      <w:r w:rsidR="00FD7888" w:rsidRPr="00776C60">
        <w:t>“</w:t>
      </w:r>
    </w:p>
    <w:p w14:paraId="1EF64267" w14:textId="77777777" w:rsidR="00776C60" w:rsidRPr="00776C60" w:rsidRDefault="00776C60" w:rsidP="00776C60">
      <w:pPr>
        <w:pStyle w:val="Titel"/>
      </w:pPr>
      <w:r>
        <w:t>Antibiotika -</w:t>
      </w:r>
      <w:r>
        <w:br/>
        <w:t xml:space="preserve">Penicilline, Sulfonamide, </w:t>
      </w:r>
      <w:r w:rsidR="008D7F04">
        <w:t>Tetracycline</w:t>
      </w:r>
    </w:p>
    <w:p w14:paraId="685E19F8" w14:textId="5E42E680" w:rsidR="00E8473B" w:rsidRDefault="00776C60" w:rsidP="00E8473B">
      <w:pPr>
        <w:pStyle w:val="Autor"/>
      </w:pPr>
      <w:r>
        <w:t>Florian Mai, WS 04/05; Eva-Maria Käppel, SS 11; Marie Heinze, WS 06/07</w:t>
      </w:r>
      <w:r w:rsidR="003611A4">
        <w:t xml:space="preserve">; </w:t>
      </w:r>
      <w:r w:rsidR="000B1C78">
        <w:t xml:space="preserve">Jule </w:t>
      </w:r>
      <w:r w:rsidR="003611A4" w:rsidRPr="00C543F8">
        <w:t>Wendel</w:t>
      </w:r>
      <w:r w:rsidR="000B1C78" w:rsidRPr="00C543F8">
        <w:t>, SS 2</w:t>
      </w:r>
      <w:r w:rsidR="00C543F8" w:rsidRPr="00C543F8">
        <w:t>1</w:t>
      </w:r>
    </w:p>
    <w:sdt>
      <w:sdtPr>
        <w:rPr>
          <w:rFonts w:ascii="Arial" w:eastAsiaTheme="minorHAnsi" w:hAnsi="Arial" w:cstheme="minorBidi"/>
          <w:color w:val="auto"/>
          <w:sz w:val="24"/>
          <w:szCs w:val="22"/>
          <w:lang w:eastAsia="en-US"/>
        </w:rPr>
        <w:id w:val="-1976748905"/>
        <w:docPartObj>
          <w:docPartGallery w:val="Table of Contents"/>
          <w:docPartUnique/>
        </w:docPartObj>
      </w:sdtPr>
      <w:sdtEndPr>
        <w:rPr>
          <w:b/>
          <w:bCs/>
        </w:rPr>
      </w:sdtEndPr>
      <w:sdtContent>
        <w:p w14:paraId="7D1733E7" w14:textId="77777777" w:rsidR="006C46BC" w:rsidRPr="006C46BC" w:rsidRDefault="006C46BC" w:rsidP="006C46BC">
          <w:pPr>
            <w:pStyle w:val="Inhaltsverzeichnisberschrift"/>
          </w:pPr>
          <w:r>
            <w:t>Gliederung</w:t>
          </w:r>
        </w:p>
        <w:p w14:paraId="1B6B4C86" w14:textId="4B718344" w:rsidR="00E70EE2" w:rsidRDefault="006C46BC">
          <w:pPr>
            <w:pStyle w:val="Verzeichnis1"/>
            <w:tabs>
              <w:tab w:val="left" w:pos="480"/>
              <w:tab w:val="right" w:leader="dot" w:pos="9344"/>
            </w:tabs>
            <w:rPr>
              <w:rFonts w:asciiTheme="minorHAnsi" w:eastAsiaTheme="minorEastAsia" w:hAnsiTheme="minorHAnsi"/>
              <w:noProof/>
              <w:sz w:val="22"/>
              <w:lang w:eastAsia="de-DE"/>
            </w:rPr>
          </w:pPr>
          <w:r>
            <w:fldChar w:fldCharType="begin"/>
          </w:r>
          <w:r>
            <w:instrText xml:space="preserve"> TOC \o "1-3" \h \z \u </w:instrText>
          </w:r>
          <w:r>
            <w:fldChar w:fldCharType="separate"/>
          </w:r>
          <w:hyperlink w:anchor="_Toc118725328" w:history="1">
            <w:r w:rsidR="00E70EE2" w:rsidRPr="00742A10">
              <w:rPr>
                <w:rStyle w:val="Hyperlink"/>
                <w:noProof/>
              </w:rPr>
              <w:t>1</w:t>
            </w:r>
            <w:r w:rsidR="00E70EE2">
              <w:rPr>
                <w:rFonts w:asciiTheme="minorHAnsi" w:eastAsiaTheme="minorEastAsia" w:hAnsiTheme="minorHAnsi"/>
                <w:noProof/>
                <w:sz w:val="22"/>
                <w:lang w:eastAsia="de-DE"/>
              </w:rPr>
              <w:tab/>
            </w:r>
            <w:r w:rsidR="00E70EE2" w:rsidRPr="00742A10">
              <w:rPr>
                <w:rStyle w:val="Hyperlink"/>
                <w:noProof/>
              </w:rPr>
              <w:t>Antibiotika</w:t>
            </w:r>
            <w:r w:rsidR="00E70EE2">
              <w:rPr>
                <w:noProof/>
                <w:webHidden/>
              </w:rPr>
              <w:tab/>
            </w:r>
            <w:r w:rsidR="00E70EE2">
              <w:rPr>
                <w:noProof/>
                <w:webHidden/>
              </w:rPr>
              <w:fldChar w:fldCharType="begin"/>
            </w:r>
            <w:r w:rsidR="00E70EE2">
              <w:rPr>
                <w:noProof/>
                <w:webHidden/>
              </w:rPr>
              <w:instrText xml:space="preserve"> PAGEREF _Toc118725328 \h </w:instrText>
            </w:r>
            <w:r w:rsidR="00E70EE2">
              <w:rPr>
                <w:noProof/>
                <w:webHidden/>
              </w:rPr>
            </w:r>
            <w:r w:rsidR="00E70EE2">
              <w:rPr>
                <w:noProof/>
                <w:webHidden/>
              </w:rPr>
              <w:fldChar w:fldCharType="separate"/>
            </w:r>
            <w:r w:rsidR="00FE79AB">
              <w:rPr>
                <w:noProof/>
                <w:webHidden/>
              </w:rPr>
              <w:t>2</w:t>
            </w:r>
            <w:r w:rsidR="00E70EE2">
              <w:rPr>
                <w:noProof/>
                <w:webHidden/>
              </w:rPr>
              <w:fldChar w:fldCharType="end"/>
            </w:r>
          </w:hyperlink>
        </w:p>
        <w:p w14:paraId="7E636CB2" w14:textId="28141CBC" w:rsidR="00E70EE2" w:rsidRDefault="00FE79AB">
          <w:pPr>
            <w:pStyle w:val="Verzeichnis1"/>
            <w:tabs>
              <w:tab w:val="left" w:pos="480"/>
              <w:tab w:val="right" w:leader="dot" w:pos="9344"/>
            </w:tabs>
            <w:rPr>
              <w:rFonts w:asciiTheme="minorHAnsi" w:eastAsiaTheme="minorEastAsia" w:hAnsiTheme="minorHAnsi"/>
              <w:noProof/>
              <w:sz w:val="22"/>
              <w:lang w:eastAsia="de-DE"/>
            </w:rPr>
          </w:pPr>
          <w:hyperlink w:anchor="_Toc118725329" w:history="1">
            <w:r w:rsidR="00E70EE2" w:rsidRPr="00742A10">
              <w:rPr>
                <w:rStyle w:val="Hyperlink"/>
                <w:noProof/>
              </w:rPr>
              <w:t>2</w:t>
            </w:r>
            <w:r w:rsidR="00E70EE2">
              <w:rPr>
                <w:rFonts w:asciiTheme="minorHAnsi" w:eastAsiaTheme="minorEastAsia" w:hAnsiTheme="minorHAnsi"/>
                <w:noProof/>
                <w:sz w:val="22"/>
                <w:lang w:eastAsia="de-DE"/>
              </w:rPr>
              <w:tab/>
            </w:r>
            <w:r w:rsidR="00E70EE2" w:rsidRPr="00742A10">
              <w:rPr>
                <w:rStyle w:val="Hyperlink"/>
                <w:noProof/>
              </w:rPr>
              <w:t>Penicillin - der Aufstieg vom Schimmel-Pilz zum Lebensretter</w:t>
            </w:r>
            <w:r w:rsidR="00E70EE2">
              <w:rPr>
                <w:noProof/>
                <w:webHidden/>
              </w:rPr>
              <w:tab/>
            </w:r>
            <w:r w:rsidR="00E70EE2">
              <w:rPr>
                <w:noProof/>
                <w:webHidden/>
              </w:rPr>
              <w:fldChar w:fldCharType="begin"/>
            </w:r>
            <w:r w:rsidR="00E70EE2">
              <w:rPr>
                <w:noProof/>
                <w:webHidden/>
              </w:rPr>
              <w:instrText xml:space="preserve"> PAGEREF _Toc118725329 \h </w:instrText>
            </w:r>
            <w:r w:rsidR="00E70EE2">
              <w:rPr>
                <w:noProof/>
                <w:webHidden/>
              </w:rPr>
            </w:r>
            <w:r w:rsidR="00E70EE2">
              <w:rPr>
                <w:noProof/>
                <w:webHidden/>
              </w:rPr>
              <w:fldChar w:fldCharType="separate"/>
            </w:r>
            <w:r>
              <w:rPr>
                <w:noProof/>
                <w:webHidden/>
              </w:rPr>
              <w:t>2</w:t>
            </w:r>
            <w:r w:rsidR="00E70EE2">
              <w:rPr>
                <w:noProof/>
                <w:webHidden/>
              </w:rPr>
              <w:fldChar w:fldCharType="end"/>
            </w:r>
          </w:hyperlink>
        </w:p>
        <w:p w14:paraId="474DD576" w14:textId="443C3B6C" w:rsidR="00E70EE2" w:rsidRDefault="00FE79AB">
          <w:pPr>
            <w:pStyle w:val="Verzeichnis2"/>
            <w:tabs>
              <w:tab w:val="left" w:pos="880"/>
              <w:tab w:val="right" w:leader="dot" w:pos="9344"/>
            </w:tabs>
            <w:rPr>
              <w:rFonts w:asciiTheme="minorHAnsi" w:eastAsiaTheme="minorEastAsia" w:hAnsiTheme="minorHAnsi"/>
              <w:noProof/>
              <w:sz w:val="22"/>
              <w:lang w:eastAsia="de-DE"/>
            </w:rPr>
          </w:pPr>
          <w:hyperlink w:anchor="_Toc118725330" w:history="1">
            <w:r w:rsidR="00E70EE2" w:rsidRPr="00742A10">
              <w:rPr>
                <w:rStyle w:val="Hyperlink"/>
                <w:noProof/>
              </w:rPr>
              <w:t>2.1</w:t>
            </w:r>
            <w:r w:rsidR="00E70EE2">
              <w:rPr>
                <w:rFonts w:asciiTheme="minorHAnsi" w:eastAsiaTheme="minorEastAsia" w:hAnsiTheme="minorHAnsi"/>
                <w:noProof/>
                <w:sz w:val="22"/>
                <w:lang w:eastAsia="de-DE"/>
              </w:rPr>
              <w:tab/>
            </w:r>
            <w:r w:rsidR="00E70EE2" w:rsidRPr="00742A10">
              <w:rPr>
                <w:rStyle w:val="Hyperlink"/>
                <w:noProof/>
              </w:rPr>
              <w:t>Entdeckung</w:t>
            </w:r>
            <w:r w:rsidR="00E70EE2">
              <w:rPr>
                <w:noProof/>
                <w:webHidden/>
              </w:rPr>
              <w:tab/>
            </w:r>
            <w:r w:rsidR="00E70EE2">
              <w:rPr>
                <w:noProof/>
                <w:webHidden/>
              </w:rPr>
              <w:fldChar w:fldCharType="begin"/>
            </w:r>
            <w:r w:rsidR="00E70EE2">
              <w:rPr>
                <w:noProof/>
                <w:webHidden/>
              </w:rPr>
              <w:instrText xml:space="preserve"> PAGEREF _Toc118725330 \h </w:instrText>
            </w:r>
            <w:r w:rsidR="00E70EE2">
              <w:rPr>
                <w:noProof/>
                <w:webHidden/>
              </w:rPr>
            </w:r>
            <w:r w:rsidR="00E70EE2">
              <w:rPr>
                <w:noProof/>
                <w:webHidden/>
              </w:rPr>
              <w:fldChar w:fldCharType="separate"/>
            </w:r>
            <w:r>
              <w:rPr>
                <w:noProof/>
                <w:webHidden/>
              </w:rPr>
              <w:t>2</w:t>
            </w:r>
            <w:r w:rsidR="00E70EE2">
              <w:rPr>
                <w:noProof/>
                <w:webHidden/>
              </w:rPr>
              <w:fldChar w:fldCharType="end"/>
            </w:r>
          </w:hyperlink>
        </w:p>
        <w:p w14:paraId="1002DFD2" w14:textId="52EB0CA9" w:rsidR="00E70EE2" w:rsidRDefault="00FE79AB">
          <w:pPr>
            <w:pStyle w:val="Verzeichnis2"/>
            <w:tabs>
              <w:tab w:val="left" w:pos="880"/>
              <w:tab w:val="right" w:leader="dot" w:pos="9344"/>
            </w:tabs>
            <w:rPr>
              <w:rFonts w:asciiTheme="minorHAnsi" w:eastAsiaTheme="minorEastAsia" w:hAnsiTheme="minorHAnsi"/>
              <w:noProof/>
              <w:sz w:val="22"/>
              <w:lang w:eastAsia="de-DE"/>
            </w:rPr>
          </w:pPr>
          <w:hyperlink w:anchor="_Toc118725331" w:history="1">
            <w:r w:rsidR="00E70EE2" w:rsidRPr="00742A10">
              <w:rPr>
                <w:rStyle w:val="Hyperlink"/>
                <w:noProof/>
              </w:rPr>
              <w:t>2.2</w:t>
            </w:r>
            <w:r w:rsidR="00E70EE2">
              <w:rPr>
                <w:rFonts w:asciiTheme="minorHAnsi" w:eastAsiaTheme="minorEastAsia" w:hAnsiTheme="minorHAnsi"/>
                <w:noProof/>
                <w:sz w:val="22"/>
                <w:lang w:eastAsia="de-DE"/>
              </w:rPr>
              <w:tab/>
            </w:r>
            <w:r w:rsidR="00E70EE2" w:rsidRPr="00742A10">
              <w:rPr>
                <w:rStyle w:val="Hyperlink"/>
                <w:noProof/>
              </w:rPr>
              <w:t>Struktur des Penicillins</w:t>
            </w:r>
            <w:r w:rsidR="00E70EE2">
              <w:rPr>
                <w:noProof/>
                <w:webHidden/>
              </w:rPr>
              <w:tab/>
            </w:r>
            <w:r w:rsidR="00E70EE2">
              <w:rPr>
                <w:noProof/>
                <w:webHidden/>
              </w:rPr>
              <w:fldChar w:fldCharType="begin"/>
            </w:r>
            <w:r w:rsidR="00E70EE2">
              <w:rPr>
                <w:noProof/>
                <w:webHidden/>
              </w:rPr>
              <w:instrText xml:space="preserve"> PAGEREF _Toc118725331 \h </w:instrText>
            </w:r>
            <w:r w:rsidR="00E70EE2">
              <w:rPr>
                <w:noProof/>
                <w:webHidden/>
              </w:rPr>
            </w:r>
            <w:r w:rsidR="00E70EE2">
              <w:rPr>
                <w:noProof/>
                <w:webHidden/>
              </w:rPr>
              <w:fldChar w:fldCharType="separate"/>
            </w:r>
            <w:r>
              <w:rPr>
                <w:noProof/>
                <w:webHidden/>
              </w:rPr>
              <w:t>3</w:t>
            </w:r>
            <w:r w:rsidR="00E70EE2">
              <w:rPr>
                <w:noProof/>
                <w:webHidden/>
              </w:rPr>
              <w:fldChar w:fldCharType="end"/>
            </w:r>
          </w:hyperlink>
        </w:p>
        <w:p w14:paraId="5951277F" w14:textId="3B26FC28" w:rsidR="00E70EE2" w:rsidRDefault="00FE79AB">
          <w:pPr>
            <w:pStyle w:val="Verzeichnis2"/>
            <w:tabs>
              <w:tab w:val="left" w:pos="880"/>
              <w:tab w:val="right" w:leader="dot" w:pos="9344"/>
            </w:tabs>
            <w:rPr>
              <w:rFonts w:asciiTheme="minorHAnsi" w:eastAsiaTheme="minorEastAsia" w:hAnsiTheme="minorHAnsi"/>
              <w:noProof/>
              <w:sz w:val="22"/>
              <w:lang w:eastAsia="de-DE"/>
            </w:rPr>
          </w:pPr>
          <w:hyperlink w:anchor="_Toc118725332" w:history="1">
            <w:r w:rsidR="00E70EE2" w:rsidRPr="00742A10">
              <w:rPr>
                <w:rStyle w:val="Hyperlink"/>
                <w:noProof/>
              </w:rPr>
              <w:t>2.3</w:t>
            </w:r>
            <w:r w:rsidR="00E70EE2">
              <w:rPr>
                <w:rFonts w:asciiTheme="minorHAnsi" w:eastAsiaTheme="minorEastAsia" w:hAnsiTheme="minorHAnsi"/>
                <w:noProof/>
                <w:sz w:val="22"/>
                <w:lang w:eastAsia="de-DE"/>
              </w:rPr>
              <w:tab/>
            </w:r>
            <w:r w:rsidR="00E70EE2" w:rsidRPr="00742A10">
              <w:rPr>
                <w:rStyle w:val="Hyperlink"/>
                <w:noProof/>
              </w:rPr>
              <w:t>Wirkungsweise des Penicillins</w:t>
            </w:r>
            <w:r w:rsidR="00E70EE2">
              <w:rPr>
                <w:noProof/>
                <w:webHidden/>
              </w:rPr>
              <w:tab/>
            </w:r>
            <w:r w:rsidR="00E70EE2">
              <w:rPr>
                <w:noProof/>
                <w:webHidden/>
              </w:rPr>
              <w:fldChar w:fldCharType="begin"/>
            </w:r>
            <w:r w:rsidR="00E70EE2">
              <w:rPr>
                <w:noProof/>
                <w:webHidden/>
              </w:rPr>
              <w:instrText xml:space="preserve"> PAGEREF _Toc118725332 \h </w:instrText>
            </w:r>
            <w:r w:rsidR="00E70EE2">
              <w:rPr>
                <w:noProof/>
                <w:webHidden/>
              </w:rPr>
            </w:r>
            <w:r w:rsidR="00E70EE2">
              <w:rPr>
                <w:noProof/>
                <w:webHidden/>
              </w:rPr>
              <w:fldChar w:fldCharType="separate"/>
            </w:r>
            <w:r>
              <w:rPr>
                <w:noProof/>
                <w:webHidden/>
              </w:rPr>
              <w:t>3</w:t>
            </w:r>
            <w:r w:rsidR="00E70EE2">
              <w:rPr>
                <w:noProof/>
                <w:webHidden/>
              </w:rPr>
              <w:fldChar w:fldCharType="end"/>
            </w:r>
          </w:hyperlink>
        </w:p>
        <w:p w14:paraId="1965136C" w14:textId="797AAFE4" w:rsidR="00E70EE2" w:rsidRDefault="00FE79AB">
          <w:pPr>
            <w:pStyle w:val="Verzeichnis3"/>
            <w:tabs>
              <w:tab w:val="left" w:pos="1320"/>
              <w:tab w:val="right" w:leader="dot" w:pos="9344"/>
            </w:tabs>
            <w:rPr>
              <w:rFonts w:asciiTheme="minorHAnsi" w:eastAsiaTheme="minorEastAsia" w:hAnsiTheme="minorHAnsi"/>
              <w:noProof/>
              <w:sz w:val="22"/>
              <w:lang w:eastAsia="de-DE"/>
            </w:rPr>
          </w:pPr>
          <w:hyperlink w:anchor="_Toc118725333" w:history="1">
            <w:r w:rsidR="00E70EE2" w:rsidRPr="00742A10">
              <w:rPr>
                <w:rStyle w:val="Hyperlink"/>
                <w:noProof/>
              </w:rPr>
              <w:t>2.3.1</w:t>
            </w:r>
            <w:r w:rsidR="00E70EE2">
              <w:rPr>
                <w:rFonts w:asciiTheme="minorHAnsi" w:eastAsiaTheme="minorEastAsia" w:hAnsiTheme="minorHAnsi"/>
                <w:noProof/>
                <w:sz w:val="22"/>
                <w:lang w:eastAsia="de-DE"/>
              </w:rPr>
              <w:tab/>
            </w:r>
            <w:r w:rsidR="00E70EE2" w:rsidRPr="00742A10">
              <w:rPr>
                <w:rStyle w:val="Hyperlink"/>
                <w:noProof/>
              </w:rPr>
              <w:t>Kenne deinen Feind</w:t>
            </w:r>
            <w:r w:rsidR="00E70EE2">
              <w:rPr>
                <w:noProof/>
                <w:webHidden/>
              </w:rPr>
              <w:tab/>
            </w:r>
            <w:r w:rsidR="00E70EE2">
              <w:rPr>
                <w:noProof/>
                <w:webHidden/>
              </w:rPr>
              <w:fldChar w:fldCharType="begin"/>
            </w:r>
            <w:r w:rsidR="00E70EE2">
              <w:rPr>
                <w:noProof/>
                <w:webHidden/>
              </w:rPr>
              <w:instrText xml:space="preserve"> PAGEREF _Toc118725333 \h </w:instrText>
            </w:r>
            <w:r w:rsidR="00E70EE2">
              <w:rPr>
                <w:noProof/>
                <w:webHidden/>
              </w:rPr>
            </w:r>
            <w:r w:rsidR="00E70EE2">
              <w:rPr>
                <w:noProof/>
                <w:webHidden/>
              </w:rPr>
              <w:fldChar w:fldCharType="separate"/>
            </w:r>
            <w:r>
              <w:rPr>
                <w:noProof/>
                <w:webHidden/>
              </w:rPr>
              <w:t>3</w:t>
            </w:r>
            <w:r w:rsidR="00E70EE2">
              <w:rPr>
                <w:noProof/>
                <w:webHidden/>
              </w:rPr>
              <w:fldChar w:fldCharType="end"/>
            </w:r>
          </w:hyperlink>
        </w:p>
        <w:p w14:paraId="55A6D95E" w14:textId="7D813409" w:rsidR="00E70EE2" w:rsidRDefault="00FE79AB">
          <w:pPr>
            <w:pStyle w:val="Verzeichnis3"/>
            <w:tabs>
              <w:tab w:val="left" w:pos="1320"/>
              <w:tab w:val="right" w:leader="dot" w:pos="9344"/>
            </w:tabs>
            <w:rPr>
              <w:rFonts w:asciiTheme="minorHAnsi" w:eastAsiaTheme="minorEastAsia" w:hAnsiTheme="minorHAnsi"/>
              <w:noProof/>
              <w:sz w:val="22"/>
              <w:lang w:eastAsia="de-DE"/>
            </w:rPr>
          </w:pPr>
          <w:hyperlink w:anchor="_Toc118725334" w:history="1">
            <w:r w:rsidR="00E70EE2" w:rsidRPr="00742A10">
              <w:rPr>
                <w:rStyle w:val="Hyperlink"/>
                <w:noProof/>
              </w:rPr>
              <w:t>2.3.2</w:t>
            </w:r>
            <w:r w:rsidR="00E70EE2">
              <w:rPr>
                <w:rFonts w:asciiTheme="minorHAnsi" w:eastAsiaTheme="minorEastAsia" w:hAnsiTheme="minorHAnsi"/>
                <w:noProof/>
                <w:sz w:val="22"/>
                <w:lang w:eastAsia="de-DE"/>
              </w:rPr>
              <w:tab/>
            </w:r>
            <w:r w:rsidR="00E70EE2" w:rsidRPr="00742A10">
              <w:rPr>
                <w:rStyle w:val="Hyperlink"/>
                <w:noProof/>
              </w:rPr>
              <w:t>Der Angriff - Mimikry gibt es nicht nur bei Tieren</w:t>
            </w:r>
            <w:r w:rsidR="00E70EE2">
              <w:rPr>
                <w:noProof/>
                <w:webHidden/>
              </w:rPr>
              <w:tab/>
            </w:r>
            <w:r w:rsidR="00E70EE2">
              <w:rPr>
                <w:noProof/>
                <w:webHidden/>
              </w:rPr>
              <w:fldChar w:fldCharType="begin"/>
            </w:r>
            <w:r w:rsidR="00E70EE2">
              <w:rPr>
                <w:noProof/>
                <w:webHidden/>
              </w:rPr>
              <w:instrText xml:space="preserve"> PAGEREF _Toc118725334 \h </w:instrText>
            </w:r>
            <w:r w:rsidR="00E70EE2">
              <w:rPr>
                <w:noProof/>
                <w:webHidden/>
              </w:rPr>
            </w:r>
            <w:r w:rsidR="00E70EE2">
              <w:rPr>
                <w:noProof/>
                <w:webHidden/>
              </w:rPr>
              <w:fldChar w:fldCharType="separate"/>
            </w:r>
            <w:r>
              <w:rPr>
                <w:noProof/>
                <w:webHidden/>
              </w:rPr>
              <w:t>4</w:t>
            </w:r>
            <w:r w:rsidR="00E70EE2">
              <w:rPr>
                <w:noProof/>
                <w:webHidden/>
              </w:rPr>
              <w:fldChar w:fldCharType="end"/>
            </w:r>
          </w:hyperlink>
        </w:p>
        <w:p w14:paraId="7CEDE1C2" w14:textId="47C63AB5" w:rsidR="00E70EE2" w:rsidRDefault="00FE79AB">
          <w:pPr>
            <w:pStyle w:val="Verzeichnis3"/>
            <w:tabs>
              <w:tab w:val="left" w:pos="1320"/>
              <w:tab w:val="right" w:leader="dot" w:pos="9344"/>
            </w:tabs>
            <w:rPr>
              <w:rFonts w:asciiTheme="minorHAnsi" w:eastAsiaTheme="minorEastAsia" w:hAnsiTheme="minorHAnsi"/>
              <w:noProof/>
              <w:sz w:val="22"/>
              <w:lang w:eastAsia="de-DE"/>
            </w:rPr>
          </w:pPr>
          <w:hyperlink w:anchor="_Toc118725335" w:history="1">
            <w:r w:rsidR="00E70EE2" w:rsidRPr="00742A10">
              <w:rPr>
                <w:rStyle w:val="Hyperlink"/>
                <w:noProof/>
              </w:rPr>
              <w:t>2.3.3</w:t>
            </w:r>
            <w:r w:rsidR="00E70EE2">
              <w:rPr>
                <w:rFonts w:asciiTheme="minorHAnsi" w:eastAsiaTheme="minorEastAsia" w:hAnsiTheme="minorHAnsi"/>
                <w:noProof/>
                <w:sz w:val="22"/>
                <w:lang w:eastAsia="de-DE"/>
              </w:rPr>
              <w:tab/>
            </w:r>
            <w:r w:rsidR="00E70EE2" w:rsidRPr="00742A10">
              <w:rPr>
                <w:rStyle w:val="Hyperlink"/>
                <w:noProof/>
              </w:rPr>
              <w:t>Unterschätze deinen Feind nicht</w:t>
            </w:r>
            <w:r w:rsidR="00E70EE2">
              <w:rPr>
                <w:noProof/>
                <w:webHidden/>
              </w:rPr>
              <w:tab/>
            </w:r>
            <w:r w:rsidR="00E70EE2">
              <w:rPr>
                <w:noProof/>
                <w:webHidden/>
              </w:rPr>
              <w:fldChar w:fldCharType="begin"/>
            </w:r>
            <w:r w:rsidR="00E70EE2">
              <w:rPr>
                <w:noProof/>
                <w:webHidden/>
              </w:rPr>
              <w:instrText xml:space="preserve"> PAGEREF _Toc118725335 \h </w:instrText>
            </w:r>
            <w:r w:rsidR="00E70EE2">
              <w:rPr>
                <w:noProof/>
                <w:webHidden/>
              </w:rPr>
            </w:r>
            <w:r w:rsidR="00E70EE2">
              <w:rPr>
                <w:noProof/>
                <w:webHidden/>
              </w:rPr>
              <w:fldChar w:fldCharType="separate"/>
            </w:r>
            <w:r>
              <w:rPr>
                <w:noProof/>
                <w:webHidden/>
              </w:rPr>
              <w:t>4</w:t>
            </w:r>
            <w:r w:rsidR="00E70EE2">
              <w:rPr>
                <w:noProof/>
                <w:webHidden/>
              </w:rPr>
              <w:fldChar w:fldCharType="end"/>
            </w:r>
          </w:hyperlink>
        </w:p>
        <w:p w14:paraId="4CFABDEC" w14:textId="619BB1D0" w:rsidR="00E70EE2" w:rsidRDefault="00FE79AB">
          <w:pPr>
            <w:pStyle w:val="Verzeichnis2"/>
            <w:tabs>
              <w:tab w:val="left" w:pos="880"/>
              <w:tab w:val="right" w:leader="dot" w:pos="9344"/>
            </w:tabs>
            <w:rPr>
              <w:rFonts w:asciiTheme="minorHAnsi" w:eastAsiaTheme="minorEastAsia" w:hAnsiTheme="minorHAnsi"/>
              <w:noProof/>
              <w:sz w:val="22"/>
              <w:lang w:eastAsia="de-DE"/>
            </w:rPr>
          </w:pPr>
          <w:hyperlink w:anchor="_Toc118725336" w:history="1">
            <w:r w:rsidR="00E70EE2" w:rsidRPr="00742A10">
              <w:rPr>
                <w:rStyle w:val="Hyperlink"/>
                <w:noProof/>
              </w:rPr>
              <w:t>2.4</w:t>
            </w:r>
            <w:r w:rsidR="00E70EE2">
              <w:rPr>
                <w:rFonts w:asciiTheme="minorHAnsi" w:eastAsiaTheme="minorEastAsia" w:hAnsiTheme="minorHAnsi"/>
                <w:noProof/>
                <w:sz w:val="22"/>
                <w:lang w:eastAsia="de-DE"/>
              </w:rPr>
              <w:tab/>
            </w:r>
            <w:r w:rsidR="00E70EE2" w:rsidRPr="00742A10">
              <w:rPr>
                <w:rStyle w:val="Hyperlink"/>
                <w:noProof/>
              </w:rPr>
              <w:t>Die Zukunft des Penicillins</w:t>
            </w:r>
            <w:r w:rsidR="00E70EE2">
              <w:rPr>
                <w:noProof/>
                <w:webHidden/>
              </w:rPr>
              <w:tab/>
            </w:r>
            <w:r w:rsidR="00E70EE2">
              <w:rPr>
                <w:noProof/>
                <w:webHidden/>
              </w:rPr>
              <w:fldChar w:fldCharType="begin"/>
            </w:r>
            <w:r w:rsidR="00E70EE2">
              <w:rPr>
                <w:noProof/>
                <w:webHidden/>
              </w:rPr>
              <w:instrText xml:space="preserve"> PAGEREF _Toc118725336 \h </w:instrText>
            </w:r>
            <w:r w:rsidR="00E70EE2">
              <w:rPr>
                <w:noProof/>
                <w:webHidden/>
              </w:rPr>
            </w:r>
            <w:r w:rsidR="00E70EE2">
              <w:rPr>
                <w:noProof/>
                <w:webHidden/>
              </w:rPr>
              <w:fldChar w:fldCharType="separate"/>
            </w:r>
            <w:r>
              <w:rPr>
                <w:noProof/>
                <w:webHidden/>
              </w:rPr>
              <w:t>5</w:t>
            </w:r>
            <w:r w:rsidR="00E70EE2">
              <w:rPr>
                <w:noProof/>
                <w:webHidden/>
              </w:rPr>
              <w:fldChar w:fldCharType="end"/>
            </w:r>
          </w:hyperlink>
        </w:p>
        <w:p w14:paraId="4A54D6AF" w14:textId="2669EF1A" w:rsidR="00E70EE2" w:rsidRDefault="00FE79AB">
          <w:pPr>
            <w:pStyle w:val="Verzeichnis1"/>
            <w:tabs>
              <w:tab w:val="left" w:pos="480"/>
              <w:tab w:val="right" w:leader="dot" w:pos="9344"/>
            </w:tabs>
            <w:rPr>
              <w:rFonts w:asciiTheme="minorHAnsi" w:eastAsiaTheme="minorEastAsia" w:hAnsiTheme="minorHAnsi"/>
              <w:noProof/>
              <w:sz w:val="22"/>
              <w:lang w:eastAsia="de-DE"/>
            </w:rPr>
          </w:pPr>
          <w:hyperlink w:anchor="_Toc118725337" w:history="1">
            <w:r w:rsidR="00E70EE2" w:rsidRPr="00742A10">
              <w:rPr>
                <w:rStyle w:val="Hyperlink"/>
                <w:noProof/>
              </w:rPr>
              <w:t>3</w:t>
            </w:r>
            <w:r w:rsidR="00E70EE2">
              <w:rPr>
                <w:rFonts w:asciiTheme="minorHAnsi" w:eastAsiaTheme="minorEastAsia" w:hAnsiTheme="minorHAnsi"/>
                <w:noProof/>
                <w:sz w:val="22"/>
                <w:lang w:eastAsia="de-DE"/>
              </w:rPr>
              <w:tab/>
            </w:r>
            <w:r w:rsidR="00E70EE2" w:rsidRPr="00742A10">
              <w:rPr>
                <w:rStyle w:val="Hyperlink"/>
                <w:noProof/>
              </w:rPr>
              <w:t>Sulfonamide - von der Wunder-Waffe zum Toiletten-Reiniger?</w:t>
            </w:r>
            <w:r w:rsidR="00E70EE2">
              <w:rPr>
                <w:noProof/>
                <w:webHidden/>
              </w:rPr>
              <w:tab/>
            </w:r>
            <w:r w:rsidR="00E70EE2">
              <w:rPr>
                <w:noProof/>
                <w:webHidden/>
              </w:rPr>
              <w:fldChar w:fldCharType="begin"/>
            </w:r>
            <w:r w:rsidR="00E70EE2">
              <w:rPr>
                <w:noProof/>
                <w:webHidden/>
              </w:rPr>
              <w:instrText xml:space="preserve"> PAGEREF _Toc118725337 \h </w:instrText>
            </w:r>
            <w:r w:rsidR="00E70EE2">
              <w:rPr>
                <w:noProof/>
                <w:webHidden/>
              </w:rPr>
            </w:r>
            <w:r w:rsidR="00E70EE2">
              <w:rPr>
                <w:noProof/>
                <w:webHidden/>
              </w:rPr>
              <w:fldChar w:fldCharType="separate"/>
            </w:r>
            <w:r>
              <w:rPr>
                <w:noProof/>
                <w:webHidden/>
              </w:rPr>
              <w:t>5</w:t>
            </w:r>
            <w:r w:rsidR="00E70EE2">
              <w:rPr>
                <w:noProof/>
                <w:webHidden/>
              </w:rPr>
              <w:fldChar w:fldCharType="end"/>
            </w:r>
          </w:hyperlink>
        </w:p>
        <w:p w14:paraId="33BCCA25" w14:textId="183B9954" w:rsidR="00E70EE2" w:rsidRDefault="00FE79AB">
          <w:pPr>
            <w:pStyle w:val="Verzeichnis2"/>
            <w:tabs>
              <w:tab w:val="left" w:pos="880"/>
              <w:tab w:val="right" w:leader="dot" w:pos="9344"/>
            </w:tabs>
            <w:rPr>
              <w:rFonts w:asciiTheme="minorHAnsi" w:eastAsiaTheme="minorEastAsia" w:hAnsiTheme="minorHAnsi"/>
              <w:noProof/>
              <w:sz w:val="22"/>
              <w:lang w:eastAsia="de-DE"/>
            </w:rPr>
          </w:pPr>
          <w:hyperlink w:anchor="_Toc118725338" w:history="1">
            <w:r w:rsidR="00E70EE2" w:rsidRPr="00742A10">
              <w:rPr>
                <w:rStyle w:val="Hyperlink"/>
                <w:noProof/>
              </w:rPr>
              <w:t>3.1</w:t>
            </w:r>
            <w:r w:rsidR="00E70EE2">
              <w:rPr>
                <w:rFonts w:asciiTheme="minorHAnsi" w:eastAsiaTheme="minorEastAsia" w:hAnsiTheme="minorHAnsi"/>
                <w:noProof/>
                <w:sz w:val="22"/>
                <w:lang w:eastAsia="de-DE"/>
              </w:rPr>
              <w:tab/>
            </w:r>
            <w:r w:rsidR="00E70EE2" w:rsidRPr="00742A10">
              <w:rPr>
                <w:rStyle w:val="Hyperlink"/>
                <w:noProof/>
              </w:rPr>
              <w:t>Entdeckung</w:t>
            </w:r>
            <w:r w:rsidR="00E70EE2">
              <w:rPr>
                <w:noProof/>
                <w:webHidden/>
              </w:rPr>
              <w:tab/>
            </w:r>
            <w:r w:rsidR="00E70EE2">
              <w:rPr>
                <w:noProof/>
                <w:webHidden/>
              </w:rPr>
              <w:fldChar w:fldCharType="begin"/>
            </w:r>
            <w:r w:rsidR="00E70EE2">
              <w:rPr>
                <w:noProof/>
                <w:webHidden/>
              </w:rPr>
              <w:instrText xml:space="preserve"> PAGEREF _Toc118725338 \h </w:instrText>
            </w:r>
            <w:r w:rsidR="00E70EE2">
              <w:rPr>
                <w:noProof/>
                <w:webHidden/>
              </w:rPr>
            </w:r>
            <w:r w:rsidR="00E70EE2">
              <w:rPr>
                <w:noProof/>
                <w:webHidden/>
              </w:rPr>
              <w:fldChar w:fldCharType="separate"/>
            </w:r>
            <w:r>
              <w:rPr>
                <w:noProof/>
                <w:webHidden/>
              </w:rPr>
              <w:t>5</w:t>
            </w:r>
            <w:r w:rsidR="00E70EE2">
              <w:rPr>
                <w:noProof/>
                <w:webHidden/>
              </w:rPr>
              <w:fldChar w:fldCharType="end"/>
            </w:r>
          </w:hyperlink>
        </w:p>
        <w:p w14:paraId="6CA3CDB9" w14:textId="64B8C842" w:rsidR="00E70EE2" w:rsidRDefault="00FE79AB">
          <w:pPr>
            <w:pStyle w:val="Verzeichnis2"/>
            <w:tabs>
              <w:tab w:val="left" w:pos="880"/>
              <w:tab w:val="right" w:leader="dot" w:pos="9344"/>
            </w:tabs>
            <w:rPr>
              <w:rFonts w:asciiTheme="minorHAnsi" w:eastAsiaTheme="minorEastAsia" w:hAnsiTheme="minorHAnsi"/>
              <w:noProof/>
              <w:sz w:val="22"/>
              <w:lang w:eastAsia="de-DE"/>
            </w:rPr>
          </w:pPr>
          <w:hyperlink w:anchor="_Toc118725339" w:history="1">
            <w:r w:rsidR="00E70EE2" w:rsidRPr="00742A10">
              <w:rPr>
                <w:rStyle w:val="Hyperlink"/>
                <w:noProof/>
              </w:rPr>
              <w:t>3.2</w:t>
            </w:r>
            <w:r w:rsidR="00E70EE2">
              <w:rPr>
                <w:rFonts w:asciiTheme="minorHAnsi" w:eastAsiaTheme="minorEastAsia" w:hAnsiTheme="minorHAnsi"/>
                <w:noProof/>
                <w:sz w:val="22"/>
                <w:lang w:eastAsia="de-DE"/>
              </w:rPr>
              <w:tab/>
            </w:r>
            <w:r w:rsidR="00E70EE2" w:rsidRPr="00742A10">
              <w:rPr>
                <w:rStyle w:val="Hyperlink"/>
                <w:noProof/>
              </w:rPr>
              <w:t>Struktur der Sulfonamide</w:t>
            </w:r>
            <w:r w:rsidR="00E70EE2">
              <w:rPr>
                <w:noProof/>
                <w:webHidden/>
              </w:rPr>
              <w:tab/>
            </w:r>
            <w:r w:rsidR="00E70EE2">
              <w:rPr>
                <w:noProof/>
                <w:webHidden/>
              </w:rPr>
              <w:fldChar w:fldCharType="begin"/>
            </w:r>
            <w:r w:rsidR="00E70EE2">
              <w:rPr>
                <w:noProof/>
                <w:webHidden/>
              </w:rPr>
              <w:instrText xml:space="preserve"> PAGEREF _Toc118725339 \h </w:instrText>
            </w:r>
            <w:r w:rsidR="00E70EE2">
              <w:rPr>
                <w:noProof/>
                <w:webHidden/>
              </w:rPr>
            </w:r>
            <w:r w:rsidR="00E70EE2">
              <w:rPr>
                <w:noProof/>
                <w:webHidden/>
              </w:rPr>
              <w:fldChar w:fldCharType="separate"/>
            </w:r>
            <w:r>
              <w:rPr>
                <w:noProof/>
                <w:webHidden/>
              </w:rPr>
              <w:t>5</w:t>
            </w:r>
            <w:r w:rsidR="00E70EE2">
              <w:rPr>
                <w:noProof/>
                <w:webHidden/>
              </w:rPr>
              <w:fldChar w:fldCharType="end"/>
            </w:r>
          </w:hyperlink>
        </w:p>
        <w:p w14:paraId="63181BB4" w14:textId="0F13C83E" w:rsidR="00E70EE2" w:rsidRDefault="00FE79AB">
          <w:pPr>
            <w:pStyle w:val="Verzeichnis2"/>
            <w:tabs>
              <w:tab w:val="left" w:pos="880"/>
              <w:tab w:val="right" w:leader="dot" w:pos="9344"/>
            </w:tabs>
            <w:rPr>
              <w:rFonts w:asciiTheme="minorHAnsi" w:eastAsiaTheme="minorEastAsia" w:hAnsiTheme="minorHAnsi"/>
              <w:noProof/>
              <w:sz w:val="22"/>
              <w:lang w:eastAsia="de-DE"/>
            </w:rPr>
          </w:pPr>
          <w:hyperlink w:anchor="_Toc118725340" w:history="1">
            <w:r w:rsidR="00E70EE2" w:rsidRPr="00742A10">
              <w:rPr>
                <w:rStyle w:val="Hyperlink"/>
                <w:noProof/>
              </w:rPr>
              <w:t>3.3</w:t>
            </w:r>
            <w:r w:rsidR="00E70EE2">
              <w:rPr>
                <w:rFonts w:asciiTheme="minorHAnsi" w:eastAsiaTheme="minorEastAsia" w:hAnsiTheme="minorHAnsi"/>
                <w:noProof/>
                <w:sz w:val="22"/>
                <w:lang w:eastAsia="de-DE"/>
              </w:rPr>
              <w:tab/>
            </w:r>
            <w:r w:rsidR="00E70EE2" w:rsidRPr="00742A10">
              <w:rPr>
                <w:rStyle w:val="Hyperlink"/>
                <w:noProof/>
              </w:rPr>
              <w:t>Bakterieller Stoffwechsel und Wirkungsweise der Sulfonamide</w:t>
            </w:r>
            <w:r w:rsidR="00E70EE2">
              <w:rPr>
                <w:noProof/>
                <w:webHidden/>
              </w:rPr>
              <w:tab/>
            </w:r>
            <w:r w:rsidR="00E70EE2">
              <w:rPr>
                <w:noProof/>
                <w:webHidden/>
              </w:rPr>
              <w:fldChar w:fldCharType="begin"/>
            </w:r>
            <w:r w:rsidR="00E70EE2">
              <w:rPr>
                <w:noProof/>
                <w:webHidden/>
              </w:rPr>
              <w:instrText xml:space="preserve"> PAGEREF _Toc118725340 \h </w:instrText>
            </w:r>
            <w:r w:rsidR="00E70EE2">
              <w:rPr>
                <w:noProof/>
                <w:webHidden/>
              </w:rPr>
            </w:r>
            <w:r w:rsidR="00E70EE2">
              <w:rPr>
                <w:noProof/>
                <w:webHidden/>
              </w:rPr>
              <w:fldChar w:fldCharType="separate"/>
            </w:r>
            <w:r>
              <w:rPr>
                <w:noProof/>
                <w:webHidden/>
              </w:rPr>
              <w:t>5</w:t>
            </w:r>
            <w:r w:rsidR="00E70EE2">
              <w:rPr>
                <w:noProof/>
                <w:webHidden/>
              </w:rPr>
              <w:fldChar w:fldCharType="end"/>
            </w:r>
          </w:hyperlink>
        </w:p>
        <w:p w14:paraId="2EEBBF01" w14:textId="5FBFF63B" w:rsidR="00E70EE2" w:rsidRDefault="00FE79AB">
          <w:pPr>
            <w:pStyle w:val="Verzeichnis2"/>
            <w:tabs>
              <w:tab w:val="left" w:pos="880"/>
              <w:tab w:val="right" w:leader="dot" w:pos="9344"/>
            </w:tabs>
            <w:rPr>
              <w:rFonts w:asciiTheme="minorHAnsi" w:eastAsiaTheme="minorEastAsia" w:hAnsiTheme="minorHAnsi"/>
              <w:noProof/>
              <w:sz w:val="22"/>
              <w:lang w:eastAsia="de-DE"/>
            </w:rPr>
          </w:pPr>
          <w:hyperlink w:anchor="_Toc118725341" w:history="1">
            <w:r w:rsidR="00E70EE2" w:rsidRPr="00742A10">
              <w:rPr>
                <w:rStyle w:val="Hyperlink"/>
                <w:noProof/>
              </w:rPr>
              <w:t>3.4</w:t>
            </w:r>
            <w:r w:rsidR="00E70EE2">
              <w:rPr>
                <w:rFonts w:asciiTheme="minorHAnsi" w:eastAsiaTheme="minorEastAsia" w:hAnsiTheme="minorHAnsi"/>
                <w:noProof/>
                <w:sz w:val="22"/>
                <w:lang w:eastAsia="de-DE"/>
              </w:rPr>
              <w:tab/>
            </w:r>
            <w:r w:rsidR="00E70EE2" w:rsidRPr="00742A10">
              <w:rPr>
                <w:rStyle w:val="Hyperlink"/>
                <w:noProof/>
              </w:rPr>
              <w:t>Die Zukunft von Sulfonamiden</w:t>
            </w:r>
            <w:r w:rsidR="00E70EE2">
              <w:rPr>
                <w:noProof/>
                <w:webHidden/>
              </w:rPr>
              <w:tab/>
            </w:r>
            <w:r w:rsidR="00E70EE2">
              <w:rPr>
                <w:noProof/>
                <w:webHidden/>
              </w:rPr>
              <w:fldChar w:fldCharType="begin"/>
            </w:r>
            <w:r w:rsidR="00E70EE2">
              <w:rPr>
                <w:noProof/>
                <w:webHidden/>
              </w:rPr>
              <w:instrText xml:space="preserve"> PAGEREF _Toc118725341 \h </w:instrText>
            </w:r>
            <w:r w:rsidR="00E70EE2">
              <w:rPr>
                <w:noProof/>
                <w:webHidden/>
              </w:rPr>
            </w:r>
            <w:r w:rsidR="00E70EE2">
              <w:rPr>
                <w:noProof/>
                <w:webHidden/>
              </w:rPr>
              <w:fldChar w:fldCharType="separate"/>
            </w:r>
            <w:r>
              <w:rPr>
                <w:noProof/>
                <w:webHidden/>
              </w:rPr>
              <w:t>7</w:t>
            </w:r>
            <w:r w:rsidR="00E70EE2">
              <w:rPr>
                <w:noProof/>
                <w:webHidden/>
              </w:rPr>
              <w:fldChar w:fldCharType="end"/>
            </w:r>
          </w:hyperlink>
        </w:p>
        <w:p w14:paraId="250B5172" w14:textId="1B6C5868" w:rsidR="00E70EE2" w:rsidRDefault="00FE79AB">
          <w:pPr>
            <w:pStyle w:val="Verzeichnis1"/>
            <w:tabs>
              <w:tab w:val="left" w:pos="480"/>
              <w:tab w:val="right" w:leader="dot" w:pos="9344"/>
            </w:tabs>
            <w:rPr>
              <w:rFonts w:asciiTheme="minorHAnsi" w:eastAsiaTheme="minorEastAsia" w:hAnsiTheme="minorHAnsi"/>
              <w:noProof/>
              <w:sz w:val="22"/>
              <w:lang w:eastAsia="de-DE"/>
            </w:rPr>
          </w:pPr>
          <w:hyperlink w:anchor="_Toc118725342" w:history="1">
            <w:r w:rsidR="00E70EE2" w:rsidRPr="00742A10">
              <w:rPr>
                <w:rStyle w:val="Hyperlink"/>
                <w:noProof/>
              </w:rPr>
              <w:t>4</w:t>
            </w:r>
            <w:r w:rsidR="00E70EE2">
              <w:rPr>
                <w:rFonts w:asciiTheme="minorHAnsi" w:eastAsiaTheme="minorEastAsia" w:hAnsiTheme="minorHAnsi"/>
                <w:noProof/>
                <w:sz w:val="22"/>
                <w:lang w:eastAsia="de-DE"/>
              </w:rPr>
              <w:tab/>
            </w:r>
            <w:r w:rsidR="00E70EE2" w:rsidRPr="00742A10">
              <w:rPr>
                <w:rStyle w:val="Hyperlink"/>
                <w:noProof/>
              </w:rPr>
              <w:t>Die Antibiotikum-Klasse der Tetracycline</w:t>
            </w:r>
            <w:r w:rsidR="00E70EE2">
              <w:rPr>
                <w:noProof/>
                <w:webHidden/>
              </w:rPr>
              <w:tab/>
            </w:r>
            <w:r w:rsidR="00E70EE2">
              <w:rPr>
                <w:noProof/>
                <w:webHidden/>
              </w:rPr>
              <w:fldChar w:fldCharType="begin"/>
            </w:r>
            <w:r w:rsidR="00E70EE2">
              <w:rPr>
                <w:noProof/>
                <w:webHidden/>
              </w:rPr>
              <w:instrText xml:space="preserve"> PAGEREF _Toc118725342 \h </w:instrText>
            </w:r>
            <w:r w:rsidR="00E70EE2">
              <w:rPr>
                <w:noProof/>
                <w:webHidden/>
              </w:rPr>
            </w:r>
            <w:r w:rsidR="00E70EE2">
              <w:rPr>
                <w:noProof/>
                <w:webHidden/>
              </w:rPr>
              <w:fldChar w:fldCharType="separate"/>
            </w:r>
            <w:r>
              <w:rPr>
                <w:noProof/>
                <w:webHidden/>
              </w:rPr>
              <w:t>8</w:t>
            </w:r>
            <w:r w:rsidR="00E70EE2">
              <w:rPr>
                <w:noProof/>
                <w:webHidden/>
              </w:rPr>
              <w:fldChar w:fldCharType="end"/>
            </w:r>
          </w:hyperlink>
        </w:p>
        <w:p w14:paraId="3E405237" w14:textId="53D7B72D" w:rsidR="00E70EE2" w:rsidRDefault="00FE79AB">
          <w:pPr>
            <w:pStyle w:val="Verzeichnis1"/>
            <w:tabs>
              <w:tab w:val="left" w:pos="480"/>
              <w:tab w:val="right" w:leader="dot" w:pos="9344"/>
            </w:tabs>
            <w:rPr>
              <w:rFonts w:asciiTheme="minorHAnsi" w:eastAsiaTheme="minorEastAsia" w:hAnsiTheme="minorHAnsi"/>
              <w:noProof/>
              <w:sz w:val="22"/>
              <w:lang w:eastAsia="de-DE"/>
            </w:rPr>
          </w:pPr>
          <w:hyperlink w:anchor="_Toc118725343" w:history="1">
            <w:r w:rsidR="00E70EE2" w:rsidRPr="00742A10">
              <w:rPr>
                <w:rStyle w:val="Hyperlink"/>
                <w:noProof/>
              </w:rPr>
              <w:t>5</w:t>
            </w:r>
            <w:r w:rsidR="00E70EE2">
              <w:rPr>
                <w:rFonts w:asciiTheme="minorHAnsi" w:eastAsiaTheme="minorEastAsia" w:hAnsiTheme="minorHAnsi"/>
                <w:noProof/>
                <w:sz w:val="22"/>
                <w:lang w:eastAsia="de-DE"/>
              </w:rPr>
              <w:tab/>
            </w:r>
            <w:r w:rsidR="00E70EE2" w:rsidRPr="00742A10">
              <w:rPr>
                <w:rStyle w:val="Hyperlink"/>
                <w:noProof/>
              </w:rPr>
              <w:t>Vancomycin</w:t>
            </w:r>
            <w:r w:rsidR="00E70EE2">
              <w:rPr>
                <w:noProof/>
                <w:webHidden/>
              </w:rPr>
              <w:tab/>
            </w:r>
            <w:r w:rsidR="00E70EE2">
              <w:rPr>
                <w:noProof/>
                <w:webHidden/>
              </w:rPr>
              <w:fldChar w:fldCharType="begin"/>
            </w:r>
            <w:r w:rsidR="00E70EE2">
              <w:rPr>
                <w:noProof/>
                <w:webHidden/>
              </w:rPr>
              <w:instrText xml:space="preserve"> PAGEREF _Toc118725343 \h </w:instrText>
            </w:r>
            <w:r w:rsidR="00E70EE2">
              <w:rPr>
                <w:noProof/>
                <w:webHidden/>
              </w:rPr>
            </w:r>
            <w:r w:rsidR="00E70EE2">
              <w:rPr>
                <w:noProof/>
                <w:webHidden/>
              </w:rPr>
              <w:fldChar w:fldCharType="separate"/>
            </w:r>
            <w:r>
              <w:rPr>
                <w:noProof/>
                <w:webHidden/>
              </w:rPr>
              <w:t>9</w:t>
            </w:r>
            <w:r w:rsidR="00E70EE2">
              <w:rPr>
                <w:noProof/>
                <w:webHidden/>
              </w:rPr>
              <w:fldChar w:fldCharType="end"/>
            </w:r>
          </w:hyperlink>
        </w:p>
        <w:p w14:paraId="449ECC9D" w14:textId="77C91ACA" w:rsidR="00E70EE2" w:rsidRDefault="00FE79AB">
          <w:pPr>
            <w:pStyle w:val="Verzeichnis2"/>
            <w:tabs>
              <w:tab w:val="left" w:pos="880"/>
              <w:tab w:val="right" w:leader="dot" w:pos="9344"/>
            </w:tabs>
            <w:rPr>
              <w:rFonts w:asciiTheme="minorHAnsi" w:eastAsiaTheme="minorEastAsia" w:hAnsiTheme="minorHAnsi"/>
              <w:noProof/>
              <w:sz w:val="22"/>
              <w:lang w:eastAsia="de-DE"/>
            </w:rPr>
          </w:pPr>
          <w:hyperlink w:anchor="_Toc118725344" w:history="1">
            <w:r w:rsidR="00E70EE2" w:rsidRPr="00742A10">
              <w:rPr>
                <w:rStyle w:val="Hyperlink"/>
                <w:noProof/>
              </w:rPr>
              <w:t>5.1</w:t>
            </w:r>
            <w:r w:rsidR="00E70EE2">
              <w:rPr>
                <w:rFonts w:asciiTheme="minorHAnsi" w:eastAsiaTheme="minorEastAsia" w:hAnsiTheme="minorHAnsi"/>
                <w:noProof/>
                <w:sz w:val="22"/>
                <w:lang w:eastAsia="de-DE"/>
              </w:rPr>
              <w:tab/>
            </w:r>
            <w:r w:rsidR="00E70EE2" w:rsidRPr="00742A10">
              <w:rPr>
                <w:rStyle w:val="Hyperlink"/>
                <w:noProof/>
              </w:rPr>
              <w:t>Eigenschaften des Vancomycins</w:t>
            </w:r>
            <w:r w:rsidR="00E70EE2">
              <w:rPr>
                <w:noProof/>
                <w:webHidden/>
              </w:rPr>
              <w:tab/>
            </w:r>
            <w:r w:rsidR="00E70EE2">
              <w:rPr>
                <w:noProof/>
                <w:webHidden/>
              </w:rPr>
              <w:fldChar w:fldCharType="begin"/>
            </w:r>
            <w:r w:rsidR="00E70EE2">
              <w:rPr>
                <w:noProof/>
                <w:webHidden/>
              </w:rPr>
              <w:instrText xml:space="preserve"> PAGEREF _Toc118725344 \h </w:instrText>
            </w:r>
            <w:r w:rsidR="00E70EE2">
              <w:rPr>
                <w:noProof/>
                <w:webHidden/>
              </w:rPr>
            </w:r>
            <w:r w:rsidR="00E70EE2">
              <w:rPr>
                <w:noProof/>
                <w:webHidden/>
              </w:rPr>
              <w:fldChar w:fldCharType="separate"/>
            </w:r>
            <w:r>
              <w:rPr>
                <w:noProof/>
                <w:webHidden/>
              </w:rPr>
              <w:t>9</w:t>
            </w:r>
            <w:r w:rsidR="00E70EE2">
              <w:rPr>
                <w:noProof/>
                <w:webHidden/>
              </w:rPr>
              <w:fldChar w:fldCharType="end"/>
            </w:r>
          </w:hyperlink>
        </w:p>
        <w:p w14:paraId="1B1C8B90" w14:textId="504DB161" w:rsidR="00E70EE2" w:rsidRDefault="00FE79AB">
          <w:pPr>
            <w:pStyle w:val="Verzeichnis2"/>
            <w:tabs>
              <w:tab w:val="left" w:pos="880"/>
              <w:tab w:val="right" w:leader="dot" w:pos="9344"/>
            </w:tabs>
            <w:rPr>
              <w:rFonts w:asciiTheme="minorHAnsi" w:eastAsiaTheme="minorEastAsia" w:hAnsiTheme="minorHAnsi"/>
              <w:noProof/>
              <w:sz w:val="22"/>
              <w:lang w:eastAsia="de-DE"/>
            </w:rPr>
          </w:pPr>
          <w:hyperlink w:anchor="_Toc118725345" w:history="1">
            <w:r w:rsidR="00E70EE2" w:rsidRPr="00742A10">
              <w:rPr>
                <w:rStyle w:val="Hyperlink"/>
                <w:noProof/>
              </w:rPr>
              <w:t>5.2</w:t>
            </w:r>
            <w:r w:rsidR="00E70EE2">
              <w:rPr>
                <w:rFonts w:asciiTheme="minorHAnsi" w:eastAsiaTheme="minorEastAsia" w:hAnsiTheme="minorHAnsi"/>
                <w:noProof/>
                <w:sz w:val="22"/>
                <w:lang w:eastAsia="de-DE"/>
              </w:rPr>
              <w:tab/>
            </w:r>
            <w:r w:rsidR="00E70EE2" w:rsidRPr="00742A10">
              <w:rPr>
                <w:rStyle w:val="Hyperlink"/>
                <w:noProof/>
              </w:rPr>
              <w:t>Wirkungsweise</w:t>
            </w:r>
            <w:r w:rsidR="00E70EE2">
              <w:rPr>
                <w:noProof/>
                <w:webHidden/>
              </w:rPr>
              <w:tab/>
            </w:r>
            <w:r w:rsidR="00E70EE2">
              <w:rPr>
                <w:noProof/>
                <w:webHidden/>
              </w:rPr>
              <w:fldChar w:fldCharType="begin"/>
            </w:r>
            <w:r w:rsidR="00E70EE2">
              <w:rPr>
                <w:noProof/>
                <w:webHidden/>
              </w:rPr>
              <w:instrText xml:space="preserve"> PAGEREF _Toc118725345 \h </w:instrText>
            </w:r>
            <w:r w:rsidR="00E70EE2">
              <w:rPr>
                <w:noProof/>
                <w:webHidden/>
              </w:rPr>
            </w:r>
            <w:r w:rsidR="00E70EE2">
              <w:rPr>
                <w:noProof/>
                <w:webHidden/>
              </w:rPr>
              <w:fldChar w:fldCharType="separate"/>
            </w:r>
            <w:r>
              <w:rPr>
                <w:noProof/>
                <w:webHidden/>
              </w:rPr>
              <w:t>10</w:t>
            </w:r>
            <w:r w:rsidR="00E70EE2">
              <w:rPr>
                <w:noProof/>
                <w:webHidden/>
              </w:rPr>
              <w:fldChar w:fldCharType="end"/>
            </w:r>
          </w:hyperlink>
        </w:p>
        <w:p w14:paraId="3122D5B3" w14:textId="7F1F2161" w:rsidR="00E70EE2" w:rsidRDefault="00FE79AB">
          <w:pPr>
            <w:pStyle w:val="Verzeichnis1"/>
            <w:tabs>
              <w:tab w:val="left" w:pos="480"/>
              <w:tab w:val="right" w:leader="dot" w:pos="9344"/>
            </w:tabs>
            <w:rPr>
              <w:rFonts w:asciiTheme="minorHAnsi" w:eastAsiaTheme="minorEastAsia" w:hAnsiTheme="minorHAnsi"/>
              <w:noProof/>
              <w:sz w:val="22"/>
              <w:lang w:eastAsia="de-DE"/>
            </w:rPr>
          </w:pPr>
          <w:hyperlink w:anchor="_Toc118725346" w:history="1">
            <w:r w:rsidR="00E70EE2" w:rsidRPr="00742A10">
              <w:rPr>
                <w:rStyle w:val="Hyperlink"/>
                <w:noProof/>
              </w:rPr>
              <w:t>6</w:t>
            </w:r>
            <w:r w:rsidR="00E70EE2">
              <w:rPr>
                <w:rFonts w:asciiTheme="minorHAnsi" w:eastAsiaTheme="minorEastAsia" w:hAnsiTheme="minorHAnsi"/>
                <w:noProof/>
                <w:sz w:val="22"/>
                <w:lang w:eastAsia="de-DE"/>
              </w:rPr>
              <w:tab/>
            </w:r>
            <w:r w:rsidR="00E70EE2" w:rsidRPr="00742A10">
              <w:rPr>
                <w:rStyle w:val="Hyperlink"/>
                <w:noProof/>
              </w:rPr>
              <w:t>Resistenz</w:t>
            </w:r>
            <w:r w:rsidR="00E70EE2">
              <w:rPr>
                <w:noProof/>
                <w:webHidden/>
              </w:rPr>
              <w:tab/>
            </w:r>
            <w:r w:rsidR="00E70EE2">
              <w:rPr>
                <w:noProof/>
                <w:webHidden/>
              </w:rPr>
              <w:fldChar w:fldCharType="begin"/>
            </w:r>
            <w:r w:rsidR="00E70EE2">
              <w:rPr>
                <w:noProof/>
                <w:webHidden/>
              </w:rPr>
              <w:instrText xml:space="preserve"> PAGEREF _Toc118725346 \h </w:instrText>
            </w:r>
            <w:r w:rsidR="00E70EE2">
              <w:rPr>
                <w:noProof/>
                <w:webHidden/>
              </w:rPr>
            </w:r>
            <w:r w:rsidR="00E70EE2">
              <w:rPr>
                <w:noProof/>
                <w:webHidden/>
              </w:rPr>
              <w:fldChar w:fldCharType="separate"/>
            </w:r>
            <w:r>
              <w:rPr>
                <w:noProof/>
                <w:webHidden/>
              </w:rPr>
              <w:t>11</w:t>
            </w:r>
            <w:r w:rsidR="00E70EE2">
              <w:rPr>
                <w:noProof/>
                <w:webHidden/>
              </w:rPr>
              <w:fldChar w:fldCharType="end"/>
            </w:r>
          </w:hyperlink>
        </w:p>
        <w:p w14:paraId="206D0B52" w14:textId="72FABD8A" w:rsidR="00E70EE2" w:rsidRDefault="00FE79AB">
          <w:pPr>
            <w:pStyle w:val="Verzeichnis1"/>
            <w:tabs>
              <w:tab w:val="left" w:pos="480"/>
              <w:tab w:val="right" w:leader="dot" w:pos="9344"/>
            </w:tabs>
            <w:rPr>
              <w:rFonts w:asciiTheme="minorHAnsi" w:eastAsiaTheme="minorEastAsia" w:hAnsiTheme="minorHAnsi"/>
              <w:noProof/>
              <w:sz w:val="22"/>
              <w:lang w:eastAsia="de-DE"/>
            </w:rPr>
          </w:pPr>
          <w:hyperlink w:anchor="_Toc118725347" w:history="1">
            <w:r w:rsidR="00E70EE2" w:rsidRPr="00742A10">
              <w:rPr>
                <w:rStyle w:val="Hyperlink"/>
                <w:noProof/>
              </w:rPr>
              <w:t>7</w:t>
            </w:r>
            <w:r w:rsidR="00E70EE2">
              <w:rPr>
                <w:rFonts w:asciiTheme="minorHAnsi" w:eastAsiaTheme="minorEastAsia" w:hAnsiTheme="minorHAnsi"/>
                <w:noProof/>
                <w:sz w:val="22"/>
                <w:lang w:eastAsia="de-DE"/>
              </w:rPr>
              <w:tab/>
            </w:r>
            <w:r w:rsidR="00E70EE2" w:rsidRPr="00742A10">
              <w:rPr>
                <w:rStyle w:val="Hyperlink"/>
                <w:noProof/>
              </w:rPr>
              <w:t>Multi-Resistente Bakterien-Stämme</w:t>
            </w:r>
            <w:r w:rsidR="00E70EE2">
              <w:rPr>
                <w:noProof/>
                <w:webHidden/>
              </w:rPr>
              <w:tab/>
            </w:r>
            <w:r w:rsidR="00E70EE2">
              <w:rPr>
                <w:noProof/>
                <w:webHidden/>
              </w:rPr>
              <w:fldChar w:fldCharType="begin"/>
            </w:r>
            <w:r w:rsidR="00E70EE2">
              <w:rPr>
                <w:noProof/>
                <w:webHidden/>
              </w:rPr>
              <w:instrText xml:space="preserve"> PAGEREF _Toc118725347 \h </w:instrText>
            </w:r>
            <w:r w:rsidR="00E70EE2">
              <w:rPr>
                <w:noProof/>
                <w:webHidden/>
              </w:rPr>
            </w:r>
            <w:r w:rsidR="00E70EE2">
              <w:rPr>
                <w:noProof/>
                <w:webHidden/>
              </w:rPr>
              <w:fldChar w:fldCharType="separate"/>
            </w:r>
            <w:r>
              <w:rPr>
                <w:noProof/>
                <w:webHidden/>
              </w:rPr>
              <w:t>11</w:t>
            </w:r>
            <w:r w:rsidR="00E70EE2">
              <w:rPr>
                <w:noProof/>
                <w:webHidden/>
              </w:rPr>
              <w:fldChar w:fldCharType="end"/>
            </w:r>
          </w:hyperlink>
        </w:p>
        <w:p w14:paraId="6D32A256" w14:textId="39DAD6B2" w:rsidR="006C46BC" w:rsidRDefault="006C46BC">
          <w:r>
            <w:rPr>
              <w:b/>
              <w:bCs/>
            </w:rPr>
            <w:fldChar w:fldCharType="end"/>
          </w:r>
        </w:p>
      </w:sdtContent>
    </w:sdt>
    <w:p w14:paraId="4A8ABB59" w14:textId="4A702650" w:rsidR="00FD7888" w:rsidRPr="00776C60" w:rsidRDefault="00FD7888" w:rsidP="00FD7888">
      <w:pPr>
        <w:pStyle w:val="EinstiegAbschluss"/>
      </w:pPr>
      <w:bookmarkStart w:id="0" w:name="_Überschrift_1"/>
      <w:bookmarkEnd w:id="0"/>
      <w:r w:rsidRPr="00776C60">
        <w:rPr>
          <w:rStyle w:val="Fett"/>
        </w:rPr>
        <w:t>Einstieg</w:t>
      </w:r>
      <w:r w:rsidR="00776C60" w:rsidRPr="00776C60">
        <w:rPr>
          <w:rStyle w:val="Fett"/>
        </w:rPr>
        <w:t xml:space="preserve"> 1</w:t>
      </w:r>
      <w:r>
        <w:t>:</w:t>
      </w:r>
      <w:r w:rsidR="00776C60">
        <w:t xml:space="preserve"> </w:t>
      </w:r>
      <w:r w:rsidR="00776C60">
        <w:rPr>
          <w:rFonts w:cs="Arial"/>
        </w:rPr>
        <w:t xml:space="preserve">Schaut man sich einmal seine Zukunft in Zahlen an, so kommt man schon ein wenig ins Nachdenken. Sicherlich hat der </w:t>
      </w:r>
      <w:r w:rsidR="00E70EE2">
        <w:rPr>
          <w:rFonts w:cs="Arial"/>
        </w:rPr>
        <w:t>E</w:t>
      </w:r>
      <w:r w:rsidR="00776C60">
        <w:rPr>
          <w:rFonts w:cs="Arial"/>
        </w:rPr>
        <w:t>in</w:t>
      </w:r>
      <w:r w:rsidR="00E70EE2">
        <w:rPr>
          <w:rFonts w:cs="Arial"/>
        </w:rPr>
        <w:t>e</w:t>
      </w:r>
      <w:r w:rsidR="00776C60">
        <w:rPr>
          <w:rFonts w:cs="Arial"/>
        </w:rPr>
        <w:t xml:space="preserve"> oder </w:t>
      </w:r>
      <w:r w:rsidR="00E70EE2">
        <w:rPr>
          <w:rFonts w:cs="Arial"/>
        </w:rPr>
        <w:t>A</w:t>
      </w:r>
      <w:r w:rsidR="00776C60">
        <w:rPr>
          <w:rFonts w:cs="Arial"/>
        </w:rPr>
        <w:t xml:space="preserve">ndere schon einmal darüber nachgedacht, sich vom Lehrer-Beruf zu verabschieden und die lukrative Wirtschaft zu wechseln. In solch schweren Zeiten sollte man sich aber auch einen Zweig mit Zukunft aussuchen. Schon einmal an den Verkauf von chemischen Therapeutika, wie zum Beispiel Antibiotika, gedacht? Mit einer jährlichen Produktion von über 500 Millionen Tonnen (Tendenz steigend) ein Chemie-Zweig mit Boom-Charakter. Doch blättert man einmal in den Tages-Zeitungen und Magazinen, so wird man häufig mit einer erschreckenden </w:t>
      </w:r>
      <w:r w:rsidR="00776C60">
        <w:rPr>
          <w:rFonts w:cs="Arial"/>
        </w:rPr>
        <w:lastRenderedPageBreak/>
        <w:t>Schatten-Seite der Chemotherapeutika konfrontiert. Beispiele wären: „Antibiotikaresistenzen nehmen zu“; „Sulfonamid und Antibiotika-Rückstände in Honig“; „Menschen sterben für die Tierzucht“. Was steckt wirklich hinter alle diesen Horror-Meldungen? Was steckt eigentlich hinter dem Begriff Antibiotikum, wie wirkt so etwas und ist die ganze Panik tatsächlich gerechtfertigt? Lohnt es sich tatsächlich das Klassenzimmer mit dem Forschungslabor zu tauschen?</w:t>
      </w:r>
    </w:p>
    <w:p w14:paraId="474213C8" w14:textId="77777777" w:rsidR="00776C60" w:rsidRPr="00A32A9A" w:rsidRDefault="00776C60" w:rsidP="00FD7888">
      <w:pPr>
        <w:pStyle w:val="EinstiegAbschluss"/>
      </w:pPr>
      <w:r>
        <w:rPr>
          <w:rStyle w:val="Fett"/>
        </w:rPr>
        <w:t>Einstieg 2:</w:t>
      </w:r>
      <w:r>
        <w:t xml:space="preserve"> </w:t>
      </w:r>
      <w:r>
        <w:rPr>
          <w:rFonts w:cs="Arial"/>
        </w:rPr>
        <w:t>Frauen kommt diese Situation wohl sehr bekannt vor. Sie hat sich eine Blasen-Entzündung eingefangen. Der Arzt verschreibt ihr ein Antibiotikum. Nur verschreibt er ihr nicht irgendein Antibiotikum, sondern mit sehr hoher Wahrscheinlichkeit eines das Sulfonamide enthält.</w:t>
      </w:r>
    </w:p>
    <w:p w14:paraId="4CFDC050" w14:textId="77777777" w:rsidR="00A32A9A" w:rsidRPr="00A32A9A" w:rsidRDefault="00A32A9A" w:rsidP="00FD7888">
      <w:pPr>
        <w:pStyle w:val="EinstiegAbschluss"/>
      </w:pPr>
      <w:r>
        <w:rPr>
          <w:rStyle w:val="Fett"/>
        </w:rPr>
        <w:t>Einstieg 3:</w:t>
      </w:r>
      <w:r>
        <w:t xml:space="preserve"> </w:t>
      </w:r>
      <w:r>
        <w:rPr>
          <w:rFonts w:cs="Arial"/>
        </w:rPr>
        <w:t>Im September des Jahres 1929 stellte Alexander Fleming ärgerlich fest, dass eine Bakterien-Kolonie mit einem Schimmel-Pilz verunreinigt wurde. Die Bakterien um den Schimmel-Pilz waren verkümmert. Fleming entdeckte, dass die Bakterien auf Grund eines Wirkstoffs, den der Schimmel-Pilz absondert, starben. Dieser Wirkstoff bekam den Namen Penicillin. Nach langen Versuchen Penicillin zu isoliert und zu vermehren, versuchte Fleming 1941 den 1. Patienten mit Blut-Vergiftung zu behandeln. Da zu wenig Substanz vorhanden war, starb der Patient. Fleming stellte dennoch fest, dass das Penicillin zu anfangs Wirkung zeigte und behandelte 1942 mit neuem Penicillin den 2. Patienten, der unter Meningitis litt. Dieser konnte von nach einigen Wochen gesund das Krankenhaus verlassen.</w:t>
      </w:r>
    </w:p>
    <w:p w14:paraId="3DC7A30A" w14:textId="3DE3BD37" w:rsidR="00A32A9A" w:rsidRPr="003611A4" w:rsidRDefault="00A32A9A" w:rsidP="00FD7888">
      <w:pPr>
        <w:pStyle w:val="EinstiegAbschluss"/>
      </w:pPr>
      <w:r>
        <w:rPr>
          <w:rFonts w:cs="Arial"/>
        </w:rPr>
        <w:t>Mit der großtechnischen Herstellung des Penicillins begann dann 1944 der Siegeslauf des Penicillins um die ganze Welt. Die Entdeckung des Penicillins gab Anstoß zur Entwicklung neuer Antibiotika-Klassen. Nun ergeben sich folgende Fragen: Was sind Antibiotika und warum müssen Wissenschaftler nach immer neuen Antibiotika suchen?</w:t>
      </w:r>
    </w:p>
    <w:p w14:paraId="64DEAF49" w14:textId="68D3BA91" w:rsidR="003611A4" w:rsidRPr="008E11EA" w:rsidRDefault="003611A4" w:rsidP="0031098E">
      <w:pPr>
        <w:pStyle w:val="EinstiegAbschluss"/>
        <w:rPr>
          <w:rFonts w:cs="Arial"/>
        </w:rPr>
      </w:pPr>
      <w:r w:rsidRPr="008E11EA">
        <w:rPr>
          <w:rFonts w:cs="Arial"/>
          <w:b/>
        </w:rPr>
        <w:t>Einstieg 4</w:t>
      </w:r>
      <w:r w:rsidRPr="008E11EA">
        <w:rPr>
          <w:rFonts w:cs="Arial"/>
        </w:rPr>
        <w:t xml:space="preserve">: </w:t>
      </w:r>
      <w:r w:rsidR="000B1C78" w:rsidRPr="008E11EA">
        <w:rPr>
          <w:rFonts w:cs="Arial"/>
        </w:rPr>
        <w:t>Mandelentzündungen können zu einem richtigen Problem werden, vor allem wenn es sich dabei um eine Staphylokokken-Infektion handelt. Die Medizin hat versucht</w:t>
      </w:r>
      <w:r w:rsidR="00E70EE2">
        <w:rPr>
          <w:rFonts w:cs="Arial"/>
        </w:rPr>
        <w:t>,</w:t>
      </w:r>
      <w:r w:rsidR="000B1C78" w:rsidRPr="008E11EA">
        <w:rPr>
          <w:rFonts w:cs="Arial"/>
        </w:rPr>
        <w:t xml:space="preserve"> verschiedene Antibiotika einzusetzen</w:t>
      </w:r>
      <w:r w:rsidR="00E70EE2">
        <w:rPr>
          <w:rFonts w:cs="Arial"/>
        </w:rPr>
        <w:t>. D</w:t>
      </w:r>
      <w:r w:rsidR="000B1C78" w:rsidRPr="008E11EA">
        <w:rPr>
          <w:rFonts w:cs="Arial"/>
        </w:rPr>
        <w:t xml:space="preserve">abei kam heraus, dass Vancomycin </w:t>
      </w:r>
      <w:r w:rsidR="00213FD4" w:rsidRPr="008E11EA">
        <w:rPr>
          <w:rFonts w:cs="Arial"/>
        </w:rPr>
        <w:t xml:space="preserve">mit </w:t>
      </w:r>
      <w:r w:rsidR="000B1C78" w:rsidRPr="008E11EA">
        <w:rPr>
          <w:rFonts w:cs="Arial"/>
        </w:rPr>
        <w:t>am besten gegen eine Staphylokokken-Infektion hilft.</w:t>
      </w:r>
    </w:p>
    <w:p w14:paraId="2EC698A4" w14:textId="77777777" w:rsidR="00A32A9A" w:rsidRDefault="00A32A9A" w:rsidP="00A32A9A">
      <w:pPr>
        <w:pStyle w:val="berschrift1"/>
      </w:pPr>
      <w:bookmarkStart w:id="1" w:name="_Toc118725328"/>
      <w:r w:rsidRPr="00A32A9A">
        <w:t>Antibiotik</w:t>
      </w:r>
      <w:r w:rsidR="00C86A7D">
        <w:t>a</w:t>
      </w:r>
      <w:bookmarkEnd w:id="1"/>
    </w:p>
    <w:p w14:paraId="13DA9589" w14:textId="77777777" w:rsidR="00A32A9A" w:rsidRPr="00A32A9A" w:rsidRDefault="00A32A9A" w:rsidP="00A32A9A">
      <w:r>
        <w:rPr>
          <w:rFonts w:cs="Arial"/>
        </w:rPr>
        <w:t>Antibiotika werden aus langsam wachsenden Bakterien oder Pilzen gewonnen, die sich durch die abgeschiedenen Substanzen vor schnell wachsenden Bakterien schützen. Man unterscheidet Antibiotika, die Bakterien töten (=Bakterizide) und die die das Wachstum der Bakterien hemmen (=Bakteriostatika).</w:t>
      </w:r>
    </w:p>
    <w:p w14:paraId="43A766F6" w14:textId="77777777" w:rsidR="00776C60" w:rsidRPr="00776C60" w:rsidRDefault="00776C60" w:rsidP="00776C60">
      <w:pPr>
        <w:pStyle w:val="berschrift1"/>
      </w:pPr>
      <w:bookmarkStart w:id="2" w:name="_Toc118725329"/>
      <w:r w:rsidRPr="00776C60">
        <w:t>Penicillin - der Aufstieg vom Schimmel-Pilz zum Lebensretter</w:t>
      </w:r>
      <w:bookmarkEnd w:id="2"/>
    </w:p>
    <w:p w14:paraId="0825BC12" w14:textId="77777777" w:rsidR="00776C60" w:rsidRPr="00776C60" w:rsidRDefault="00776C60" w:rsidP="00776C60">
      <w:pPr>
        <w:pStyle w:val="berschrift2"/>
      </w:pPr>
      <w:bookmarkStart w:id="3" w:name="_Toc118725330"/>
      <w:r w:rsidRPr="00776C60">
        <w:t>Entdeckung</w:t>
      </w:r>
      <w:bookmarkEnd w:id="3"/>
    </w:p>
    <w:p w14:paraId="2AACA3B5" w14:textId="77777777" w:rsidR="00776C60" w:rsidRDefault="00776C60" w:rsidP="00776C60">
      <w:pPr>
        <w:rPr>
          <w:rFonts w:cs="Arial"/>
        </w:rPr>
      </w:pPr>
      <w:r>
        <w:rPr>
          <w:rFonts w:cs="Arial"/>
        </w:rPr>
        <w:t>Das Penicillin wurde 1929 in London von Alexander Fleming entdeckt. Er untersuchte diverse Staphylokokken, welche Furunkel und Abszesse auslösten. Durch Zufall siedelte sich ein Pilz auf einer der Agar-</w:t>
      </w:r>
      <w:proofErr w:type="gramStart"/>
      <w:r>
        <w:rPr>
          <w:rFonts w:cs="Arial"/>
        </w:rPr>
        <w:t>Platten ,</w:t>
      </w:r>
      <w:proofErr w:type="gramEnd"/>
      <w:r>
        <w:rPr>
          <w:rFonts w:cs="Arial"/>
        </w:rPr>
        <w:t xml:space="preserve"> die er für seine Versuche verwendete, an. Bei dem Pilz handelte es sich um </w:t>
      </w:r>
      <w:proofErr w:type="spellStart"/>
      <w:r w:rsidRPr="008D7F04">
        <w:rPr>
          <w:rStyle w:val="SchwacheHervorhebung"/>
        </w:rPr>
        <w:t>Penicillium</w:t>
      </w:r>
      <w:proofErr w:type="spellEnd"/>
      <w:r w:rsidRPr="008D7F04">
        <w:rPr>
          <w:rStyle w:val="SchwacheHervorhebung"/>
        </w:rPr>
        <w:t xml:space="preserve"> </w:t>
      </w:r>
      <w:proofErr w:type="spellStart"/>
      <w:r w:rsidRPr="008D7F04">
        <w:rPr>
          <w:rStyle w:val="SchwacheHervorhebung"/>
        </w:rPr>
        <w:t>notatum</w:t>
      </w:r>
      <w:proofErr w:type="spellEnd"/>
      <w:r>
        <w:rPr>
          <w:rFonts w:cs="Arial"/>
        </w:rPr>
        <w:t xml:space="preserve">. Aufgrund einer zufälligen Kaltwetter-Periode wuchs der Pilz </w:t>
      </w:r>
      <w:r w:rsidR="008D7F04">
        <w:rPr>
          <w:rFonts w:cs="Arial"/>
        </w:rPr>
        <w:t>schneller</w:t>
      </w:r>
      <w:r>
        <w:rPr>
          <w:rFonts w:cs="Arial"/>
        </w:rPr>
        <w:t xml:space="preserve"> als die Bakterien, es bildeten sich </w:t>
      </w:r>
      <w:proofErr w:type="spellStart"/>
      <w:r>
        <w:rPr>
          <w:rFonts w:cs="Arial"/>
        </w:rPr>
        <w:t>Hemmhöfe</w:t>
      </w:r>
      <w:proofErr w:type="spellEnd"/>
      <w:r>
        <w:rPr>
          <w:rFonts w:cs="Arial"/>
        </w:rPr>
        <w:t xml:space="preserve"> um den Pilz. Fleming registrierte dies, bezeichnete den Pilz als lokales Antiseptikum und verkannte seine Entdeckung mit dem Satz: „[Penicillin] sei es nicht der Mühe wert, untersucht zu werden“. Der Zweite Weltkrieg bringt jedoch die Wende, Penicillin wurde wieder entdeckt und rettete tausende Menschen-Leben. Zur damaligen Zeit war Penicillin extrem wertvoll, so dass es aus dem Urin der Patienten wieder gewonnen wurde. Dank moderner </w:t>
      </w:r>
      <w:r>
        <w:rPr>
          <w:rFonts w:cs="Arial"/>
        </w:rPr>
        <w:lastRenderedPageBreak/>
        <w:t>Methoden lassen sich aus einem Liter Pilz-Kultur mehrere tausendmal so viel Penicillin gewinnen, als in den Vierzigern.</w:t>
      </w:r>
    </w:p>
    <w:p w14:paraId="3C110DD4" w14:textId="77777777" w:rsidR="00776C60" w:rsidRDefault="00776C60" w:rsidP="00776C60">
      <w:pPr>
        <w:pStyle w:val="Bilder"/>
      </w:pPr>
      <w:r>
        <w:rPr>
          <w:lang w:eastAsia="de-DE"/>
        </w:rPr>
        <w:drawing>
          <wp:inline distT="0" distB="0" distL="0" distR="0" wp14:anchorId="555EA89C" wp14:editId="2B774BCE">
            <wp:extent cx="1987200" cy="288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7200" cy="2880000"/>
                    </a:xfrm>
                    <a:prstGeom prst="rect">
                      <a:avLst/>
                    </a:prstGeom>
                    <a:noFill/>
                    <a:ln>
                      <a:noFill/>
                    </a:ln>
                  </pic:spPr>
                </pic:pic>
              </a:graphicData>
            </a:graphic>
          </wp:inline>
        </w:drawing>
      </w:r>
    </w:p>
    <w:p w14:paraId="754C44E5" w14:textId="51CC3785" w:rsidR="00776C60" w:rsidRDefault="00776C60" w:rsidP="00776C60">
      <w:pPr>
        <w:pStyle w:val="Beschriftung"/>
      </w:pPr>
      <w:r>
        <w:t xml:space="preserve">Abb. </w:t>
      </w:r>
      <w:fldSimple w:instr=" SEQ Abb. \* ARABIC ">
        <w:r w:rsidR="00FE79AB">
          <w:rPr>
            <w:noProof/>
          </w:rPr>
          <w:t>1</w:t>
        </w:r>
      </w:fldSimple>
      <w:r>
        <w:t>: Alexander Fleming [</w:t>
      </w:r>
      <w:r>
        <w:fldChar w:fldCharType="begin"/>
      </w:r>
      <w:r>
        <w:instrText xml:space="preserve"> REF _Ref41974738 \r \h </w:instrText>
      </w:r>
      <w:r>
        <w:fldChar w:fldCharType="separate"/>
      </w:r>
      <w:r w:rsidR="00FE79AB">
        <w:t>16</w:t>
      </w:r>
      <w:r>
        <w:fldChar w:fldCharType="end"/>
      </w:r>
      <w:r>
        <w:t>]</w:t>
      </w:r>
    </w:p>
    <w:p w14:paraId="09FBFEF4" w14:textId="77777777" w:rsidR="00516670" w:rsidRPr="00516670" w:rsidRDefault="00516670" w:rsidP="00516670">
      <w:pPr>
        <w:pStyle w:val="berschrift2"/>
      </w:pPr>
      <w:bookmarkStart w:id="4" w:name="_Toc118725331"/>
      <w:r w:rsidRPr="00516670">
        <w:t>Struktur des Penicillins</w:t>
      </w:r>
      <w:bookmarkEnd w:id="4"/>
    </w:p>
    <w:p w14:paraId="23709090" w14:textId="77777777" w:rsidR="00776C60" w:rsidRDefault="00516670" w:rsidP="00516670">
      <w:r>
        <w:t>Das Penicillin gehört zu der Familie der β-Lactam-Antibiotika.</w:t>
      </w:r>
    </w:p>
    <w:p w14:paraId="3066A773" w14:textId="77777777" w:rsidR="00516670" w:rsidRDefault="008D7F04" w:rsidP="00D86B30">
      <w:pPr>
        <w:pStyle w:val="Bilder"/>
      </w:pPr>
      <w:r>
        <w:rPr>
          <w:lang w:eastAsia="de-DE"/>
        </w:rPr>
        <w:drawing>
          <wp:inline distT="0" distB="0" distL="0" distR="0" wp14:anchorId="1AA3DD3A" wp14:editId="1B6AC72D">
            <wp:extent cx="2286000" cy="1517650"/>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517650"/>
                    </a:xfrm>
                    <a:prstGeom prst="rect">
                      <a:avLst/>
                    </a:prstGeom>
                    <a:noFill/>
                    <a:ln>
                      <a:noFill/>
                    </a:ln>
                  </pic:spPr>
                </pic:pic>
              </a:graphicData>
            </a:graphic>
          </wp:inline>
        </w:drawing>
      </w:r>
    </w:p>
    <w:p w14:paraId="6D32B706" w14:textId="5E540EA5" w:rsidR="00D86B30" w:rsidRDefault="00D86B30" w:rsidP="00D86B30">
      <w:pPr>
        <w:pStyle w:val="Beschriftung"/>
      </w:pPr>
      <w:r>
        <w:t xml:space="preserve">Abb. </w:t>
      </w:r>
      <w:fldSimple w:instr=" SEQ Abb. \* ARABIC ">
        <w:r w:rsidR="00FE79AB">
          <w:rPr>
            <w:noProof/>
          </w:rPr>
          <w:t>2</w:t>
        </w:r>
      </w:fldSimple>
      <w:r>
        <w:t>: Penicillin</w:t>
      </w:r>
    </w:p>
    <w:p w14:paraId="4DA44FA0" w14:textId="77777777" w:rsidR="00D86B30" w:rsidRDefault="00D86B30" w:rsidP="00D86B30">
      <w:r w:rsidRPr="00D86B30">
        <w:rPr>
          <w:rStyle w:val="Fett"/>
        </w:rPr>
        <w:t>Definition Antibiotikum</w:t>
      </w:r>
      <w:r>
        <w:rPr>
          <w:i/>
          <w:iCs/>
        </w:rPr>
        <w:t xml:space="preserve">: </w:t>
      </w:r>
      <w:r>
        <w:t>Chemisches Agens, das von einem Organismus produziert wird und für andere Organismen schädlich ist.</w:t>
      </w:r>
    </w:p>
    <w:p w14:paraId="338F7D13" w14:textId="77777777" w:rsidR="00D86B30" w:rsidRPr="00D86B30" w:rsidRDefault="00D86B30" w:rsidP="00D86B30">
      <w:pPr>
        <w:pStyle w:val="berschrift2"/>
      </w:pPr>
      <w:bookmarkStart w:id="5" w:name="_Toc118725332"/>
      <w:r w:rsidRPr="00D86B30">
        <w:t>Wirkungsweise des Penicillins</w:t>
      </w:r>
      <w:bookmarkEnd w:id="5"/>
    </w:p>
    <w:p w14:paraId="22BE147A" w14:textId="77777777" w:rsidR="00D86B30" w:rsidRPr="00D86B30" w:rsidRDefault="00D86B30" w:rsidP="00D86B30">
      <w:pPr>
        <w:pStyle w:val="berschrift3"/>
      </w:pPr>
      <w:bookmarkStart w:id="6" w:name="_Toc118725333"/>
      <w:r w:rsidRPr="00D86B30">
        <w:t>Kenne deinen Feind</w:t>
      </w:r>
      <w:bookmarkEnd w:id="6"/>
    </w:p>
    <w:p w14:paraId="7124463D" w14:textId="731E6CF5" w:rsidR="00D86B30" w:rsidRDefault="00D86B30" w:rsidP="00265F85">
      <w:r>
        <w:t xml:space="preserve">Beim Penicillin handelt es sich um ein bakteriostatisch wirksames Antibiotikum, d. h. es wirkt </w:t>
      </w:r>
      <w:proofErr w:type="gramStart"/>
      <w:r>
        <w:t>auf wachsende</w:t>
      </w:r>
      <w:proofErr w:type="gramEnd"/>
      <w:r>
        <w:t xml:space="preserve"> Bakterien. Im Gegensatz zu tierischen Zellen, sind bakterielle Zellen von einer Zell-Wand, dem </w:t>
      </w:r>
      <w:proofErr w:type="spellStart"/>
      <w:r>
        <w:t>Murein-Sacculus</w:t>
      </w:r>
      <w:proofErr w:type="spellEnd"/>
      <w:r>
        <w:t xml:space="preserve">, umgeben. Dieser </w:t>
      </w:r>
      <w:proofErr w:type="spellStart"/>
      <w:r>
        <w:t>Murein-Sacculus</w:t>
      </w:r>
      <w:proofErr w:type="spellEnd"/>
      <w:r>
        <w:t xml:space="preserve"> besteht aus polymerisierten Ketten der beiden β-(1,</w:t>
      </w:r>
      <w:proofErr w:type="gramStart"/>
      <w:r>
        <w:t>4)-</w:t>
      </w:r>
      <w:proofErr w:type="spellStart"/>
      <w:proofErr w:type="gramEnd"/>
      <w:r>
        <w:t>glykosidisch</w:t>
      </w:r>
      <w:proofErr w:type="spellEnd"/>
      <w:r>
        <w:t xml:space="preserve"> verknüpften Zucker-N-</w:t>
      </w:r>
      <w:proofErr w:type="spellStart"/>
      <w:r>
        <w:t>Acteylglucosamin</w:t>
      </w:r>
      <w:proofErr w:type="spellEnd"/>
      <w:r>
        <w:t xml:space="preserve"> und N-</w:t>
      </w:r>
      <w:proofErr w:type="spellStart"/>
      <w:r>
        <w:t>Acteylmuraminsäure</w:t>
      </w:r>
      <w:proofErr w:type="spellEnd"/>
      <w:r>
        <w:t xml:space="preserve">. Die Ketten wiederum werden untereinander mit Hilfe des Enzyms </w:t>
      </w:r>
      <w:proofErr w:type="spellStart"/>
      <w:r>
        <w:t>Glykopeptid</w:t>
      </w:r>
      <w:proofErr w:type="spellEnd"/>
      <w:r w:rsidR="00C86A7D">
        <w:t>-T</w:t>
      </w:r>
      <w:r>
        <w:t>ransferase verknüpft (</w:t>
      </w:r>
      <w:r w:rsidRPr="00307F91">
        <w:t>siehe</w:t>
      </w:r>
      <w:r w:rsidRPr="00D86B30">
        <w:rPr>
          <w:color w:val="FF00FF" w:themeColor="accent4"/>
        </w:rPr>
        <w:t xml:space="preserve"> </w:t>
      </w:r>
      <w:r w:rsidR="00307F91">
        <w:rPr>
          <w:color w:val="FF00FF" w:themeColor="accent4"/>
        </w:rPr>
        <w:fldChar w:fldCharType="begin"/>
      </w:r>
      <w:r w:rsidR="00307F91">
        <w:rPr>
          <w:color w:val="FF00FF" w:themeColor="accent4"/>
        </w:rPr>
        <w:instrText xml:space="preserve"> REF _Ref41979465 \h </w:instrText>
      </w:r>
      <w:r w:rsidR="00307F91">
        <w:rPr>
          <w:color w:val="FF00FF" w:themeColor="accent4"/>
        </w:rPr>
      </w:r>
      <w:r w:rsidR="00307F91">
        <w:rPr>
          <w:color w:val="FF00FF" w:themeColor="accent4"/>
        </w:rPr>
        <w:fldChar w:fldCharType="separate"/>
      </w:r>
      <w:r w:rsidR="00FE79AB">
        <w:t xml:space="preserve">Abb. </w:t>
      </w:r>
      <w:r w:rsidR="00FE79AB">
        <w:rPr>
          <w:noProof/>
        </w:rPr>
        <w:t>3</w:t>
      </w:r>
      <w:r w:rsidR="00307F91">
        <w:rPr>
          <w:color w:val="FF00FF" w:themeColor="accent4"/>
        </w:rPr>
        <w:fldChar w:fldCharType="end"/>
      </w:r>
      <w:r>
        <w:t xml:space="preserve">), was in einer Quer-Vernetzung und einer stabilen Zell-Wand resultiert. Nur durch diese Quer-Vernetzung erhalten die Zell-Wände ihre extreme Stabilität und Reiß-Festigkeit, welche notwendig </w:t>
      </w:r>
      <w:r w:rsidR="008D7F04">
        <w:t>ist,</w:t>
      </w:r>
      <w:r>
        <w:t xml:space="preserve"> um den Druck von bis zu 1,96 bar im Inneren der Zelle </w:t>
      </w:r>
      <w:r w:rsidR="008D7F04">
        <w:t>Stand</w:t>
      </w:r>
      <w:r>
        <w:t xml:space="preserve"> zu halten.</w:t>
      </w:r>
    </w:p>
    <w:p w14:paraId="17A77BA9" w14:textId="77777777" w:rsidR="00265F85" w:rsidRPr="00265F85" w:rsidRDefault="00265F85" w:rsidP="00265F85"/>
    <w:p w14:paraId="0F3FD2A5" w14:textId="77777777" w:rsidR="00265F85" w:rsidRPr="00265F85" w:rsidRDefault="00265F85" w:rsidP="00265F85">
      <w:pPr>
        <w:sectPr w:rsidR="00265F85" w:rsidRPr="00265F85" w:rsidSect="00931B30">
          <w:footerReference w:type="default" r:id="rId11"/>
          <w:pgSz w:w="11906" w:h="16838"/>
          <w:pgMar w:top="851" w:right="1134" w:bottom="1134" w:left="1418" w:header="0" w:footer="0" w:gutter="0"/>
          <w:cols w:space="708"/>
          <w:titlePg/>
          <w:docGrid w:linePitch="360"/>
        </w:sectPr>
      </w:pPr>
    </w:p>
    <w:p w14:paraId="1E80CC06" w14:textId="77777777" w:rsidR="00D86B30" w:rsidRDefault="00265F85" w:rsidP="00265F85">
      <w:pPr>
        <w:pStyle w:val="Bilder"/>
        <w:spacing w:before="840"/>
      </w:pPr>
      <w:r>
        <w:rPr>
          <w:lang w:eastAsia="de-DE"/>
        </w:rPr>
        <w:lastRenderedPageBreak/>
        <w:drawing>
          <wp:inline distT="0" distB="0" distL="0" distR="0" wp14:anchorId="6A67B94D" wp14:editId="283CA267">
            <wp:extent cx="1998000" cy="1800000"/>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8000" cy="1800000"/>
                    </a:xfrm>
                    <a:prstGeom prst="rect">
                      <a:avLst/>
                    </a:prstGeom>
                    <a:noFill/>
                    <a:ln>
                      <a:noFill/>
                    </a:ln>
                  </pic:spPr>
                </pic:pic>
              </a:graphicData>
            </a:graphic>
          </wp:inline>
        </w:drawing>
      </w:r>
    </w:p>
    <w:p w14:paraId="4E1FD1FA" w14:textId="42F9BCD1" w:rsidR="00265F85" w:rsidRDefault="00265F85" w:rsidP="00265F85">
      <w:pPr>
        <w:pStyle w:val="Beschriftung"/>
        <w:rPr>
          <w:rFonts w:cs="Arial"/>
        </w:rPr>
      </w:pPr>
      <w:bookmarkStart w:id="7" w:name="_Ref41979465"/>
      <w:r>
        <w:t xml:space="preserve">Abb. </w:t>
      </w:r>
      <w:fldSimple w:instr=" SEQ Abb. \* ARABIC ">
        <w:r w:rsidR="00FE79AB">
          <w:rPr>
            <w:noProof/>
          </w:rPr>
          <w:t>3</w:t>
        </w:r>
      </w:fldSimple>
      <w:bookmarkEnd w:id="7"/>
      <w:r>
        <w:t xml:space="preserve">: </w:t>
      </w:r>
      <w:r>
        <w:rPr>
          <w:rFonts w:cs="Arial"/>
        </w:rPr>
        <w:t xml:space="preserve">Verknüpfung innerhalb eines </w:t>
      </w:r>
      <w:proofErr w:type="spellStart"/>
      <w:r>
        <w:rPr>
          <w:rFonts w:cs="Arial"/>
        </w:rPr>
        <w:t>Murein-Sacculus</w:t>
      </w:r>
      <w:proofErr w:type="spellEnd"/>
      <w:r>
        <w:rPr>
          <w:rFonts w:cs="Arial"/>
        </w:rPr>
        <w:t xml:space="preserve"> [</w:t>
      </w:r>
      <w:r>
        <w:rPr>
          <w:rFonts w:cs="Arial"/>
        </w:rPr>
        <w:fldChar w:fldCharType="begin"/>
      </w:r>
      <w:r>
        <w:rPr>
          <w:rFonts w:cs="Arial"/>
        </w:rPr>
        <w:instrText xml:space="preserve"> REF _Ref41975458 \r \h </w:instrText>
      </w:r>
      <w:r>
        <w:rPr>
          <w:rFonts w:cs="Arial"/>
        </w:rPr>
      </w:r>
      <w:r>
        <w:rPr>
          <w:rFonts w:cs="Arial"/>
        </w:rPr>
        <w:fldChar w:fldCharType="separate"/>
      </w:r>
      <w:r w:rsidR="00FE79AB">
        <w:rPr>
          <w:rFonts w:cs="Arial"/>
        </w:rPr>
        <w:t>12</w:t>
      </w:r>
      <w:r>
        <w:rPr>
          <w:rFonts w:cs="Arial"/>
        </w:rPr>
        <w:fldChar w:fldCharType="end"/>
      </w:r>
      <w:r>
        <w:rPr>
          <w:rFonts w:cs="Arial"/>
        </w:rPr>
        <w:t>]</w:t>
      </w:r>
    </w:p>
    <w:p w14:paraId="35C74ED2" w14:textId="77777777" w:rsidR="00265F85" w:rsidRDefault="00265F85" w:rsidP="00265F85">
      <w:pPr>
        <w:pStyle w:val="Bilder"/>
      </w:pPr>
      <w:r>
        <w:rPr>
          <w:lang w:eastAsia="de-DE"/>
        </w:rPr>
        <w:drawing>
          <wp:inline distT="0" distB="0" distL="0" distR="0" wp14:anchorId="392F24AE" wp14:editId="609F0A31">
            <wp:extent cx="2473200" cy="2880000"/>
            <wp:effectExtent l="0" t="0" r="381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3200" cy="2880000"/>
                    </a:xfrm>
                    <a:prstGeom prst="rect">
                      <a:avLst/>
                    </a:prstGeom>
                    <a:noFill/>
                    <a:ln>
                      <a:noFill/>
                    </a:ln>
                  </pic:spPr>
                </pic:pic>
              </a:graphicData>
            </a:graphic>
          </wp:inline>
        </w:drawing>
      </w:r>
    </w:p>
    <w:p w14:paraId="3A279074" w14:textId="2F1BC84A" w:rsidR="00265F85" w:rsidRDefault="00265F85" w:rsidP="00265F85">
      <w:pPr>
        <w:pStyle w:val="Beschriftung"/>
        <w:rPr>
          <w:rFonts w:cs="Arial"/>
        </w:rPr>
      </w:pPr>
      <w:r>
        <w:t xml:space="preserve">Abb. </w:t>
      </w:r>
      <w:fldSimple w:instr=" SEQ Abb. \* ARABIC ">
        <w:r w:rsidR="00FE79AB">
          <w:rPr>
            <w:noProof/>
          </w:rPr>
          <w:t>4</w:t>
        </w:r>
      </w:fldSimple>
      <w:r>
        <w:t xml:space="preserve">: </w:t>
      </w:r>
      <w:r>
        <w:rPr>
          <w:rFonts w:cs="Arial"/>
        </w:rPr>
        <w:t xml:space="preserve">molekularer Aufbau von </w:t>
      </w:r>
      <w:proofErr w:type="spellStart"/>
      <w:r>
        <w:rPr>
          <w:rFonts w:cs="Arial"/>
        </w:rPr>
        <w:t>Murein</w:t>
      </w:r>
      <w:proofErr w:type="spellEnd"/>
      <w:r>
        <w:rPr>
          <w:rFonts w:cs="Arial"/>
        </w:rPr>
        <w:t xml:space="preserve"> [</w:t>
      </w:r>
      <w:r>
        <w:rPr>
          <w:rFonts w:cs="Arial"/>
        </w:rPr>
        <w:fldChar w:fldCharType="begin"/>
      </w:r>
      <w:r>
        <w:rPr>
          <w:rFonts w:cs="Arial"/>
        </w:rPr>
        <w:instrText xml:space="preserve"> REF _Ref41975639 \r \h </w:instrText>
      </w:r>
      <w:r>
        <w:rPr>
          <w:rFonts w:cs="Arial"/>
        </w:rPr>
      </w:r>
      <w:r>
        <w:rPr>
          <w:rFonts w:cs="Arial"/>
        </w:rPr>
        <w:fldChar w:fldCharType="separate"/>
      </w:r>
      <w:r w:rsidR="00FE79AB">
        <w:rPr>
          <w:rFonts w:cs="Arial"/>
        </w:rPr>
        <w:t>13</w:t>
      </w:r>
      <w:r>
        <w:rPr>
          <w:rFonts w:cs="Arial"/>
        </w:rPr>
        <w:fldChar w:fldCharType="end"/>
      </w:r>
      <w:r>
        <w:rPr>
          <w:rFonts w:cs="Arial"/>
        </w:rPr>
        <w:t>]</w:t>
      </w:r>
    </w:p>
    <w:p w14:paraId="1ADD7488" w14:textId="77777777" w:rsidR="00265F85" w:rsidRPr="00265F85" w:rsidRDefault="00265F85" w:rsidP="00265F85"/>
    <w:p w14:paraId="3CCC3656" w14:textId="77777777" w:rsidR="00265F85" w:rsidRDefault="00265F85" w:rsidP="00265F85">
      <w:pPr>
        <w:sectPr w:rsidR="00265F85" w:rsidSect="00265F85">
          <w:type w:val="continuous"/>
          <w:pgSz w:w="11906" w:h="16838"/>
          <w:pgMar w:top="851" w:right="1134" w:bottom="1134" w:left="1418" w:header="0" w:footer="0" w:gutter="0"/>
          <w:cols w:num="2" w:space="708"/>
          <w:titlePg/>
          <w:docGrid w:linePitch="360"/>
        </w:sectPr>
      </w:pPr>
    </w:p>
    <w:p w14:paraId="014D4C2D" w14:textId="77777777" w:rsidR="00265F85" w:rsidRPr="00265F85" w:rsidRDefault="00265F85" w:rsidP="00265F85">
      <w:pPr>
        <w:pStyle w:val="berschrift3"/>
      </w:pPr>
      <w:bookmarkStart w:id="8" w:name="_Toc118725334"/>
      <w:r w:rsidRPr="00265F85">
        <w:t>Der Angriff - Mimikry gibt es nicht nur bei Tieren</w:t>
      </w:r>
      <w:bookmarkEnd w:id="8"/>
    </w:p>
    <w:p w14:paraId="0D70000A" w14:textId="77777777" w:rsidR="00265F85" w:rsidRDefault="00265F85" w:rsidP="00265F85">
      <w:pPr>
        <w:rPr>
          <w:lang w:eastAsia="de-DE"/>
        </w:rPr>
      </w:pPr>
      <w:r w:rsidRPr="00265F85">
        <w:rPr>
          <w:lang w:eastAsia="de-DE"/>
        </w:rPr>
        <w:t>Genau diese Quer</w:t>
      </w:r>
      <w:r>
        <w:rPr>
          <w:lang w:eastAsia="de-DE"/>
        </w:rPr>
        <w:t>-V</w:t>
      </w:r>
      <w:r w:rsidRPr="00265F85">
        <w:rPr>
          <w:lang w:eastAsia="de-DE"/>
        </w:rPr>
        <w:t>ernetzung ist auch der schwache Punkt an dem die Penicilline angreifen können. So imitiert der β-Lactam-Ring den „</w:t>
      </w:r>
      <w:proofErr w:type="spellStart"/>
      <w:r w:rsidRPr="00265F85">
        <w:rPr>
          <w:lang w:eastAsia="de-DE"/>
        </w:rPr>
        <w:t>Andock</w:t>
      </w:r>
      <w:proofErr w:type="spellEnd"/>
      <w:r w:rsidRPr="00265F85">
        <w:rPr>
          <w:lang w:eastAsia="de-DE"/>
        </w:rPr>
        <w:t xml:space="preserve">“-Punkt für die </w:t>
      </w:r>
      <w:proofErr w:type="spellStart"/>
      <w:r w:rsidRPr="00265F85">
        <w:rPr>
          <w:lang w:eastAsia="de-DE"/>
        </w:rPr>
        <w:t>Glykopeptidtransferase</w:t>
      </w:r>
      <w:proofErr w:type="spellEnd"/>
      <w:r w:rsidRPr="00265F85">
        <w:rPr>
          <w:lang w:eastAsia="de-DE"/>
        </w:rPr>
        <w:t xml:space="preserve"> und bindet diese irreversibel („Zell-Mimikry“). In wachsenden Bakterien</w:t>
      </w:r>
      <w:r>
        <w:rPr>
          <w:lang w:eastAsia="de-DE"/>
        </w:rPr>
        <w:t>-Z</w:t>
      </w:r>
      <w:r w:rsidRPr="00265F85">
        <w:rPr>
          <w:lang w:eastAsia="de-DE"/>
        </w:rPr>
        <w:t>ellen kommt es somit zwar zu Polymerisation der einzelnen N-</w:t>
      </w:r>
      <w:proofErr w:type="spellStart"/>
      <w:r w:rsidRPr="00265F85">
        <w:rPr>
          <w:lang w:eastAsia="de-DE"/>
        </w:rPr>
        <w:t>Acteylglucosamin</w:t>
      </w:r>
      <w:proofErr w:type="spellEnd"/>
      <w:r w:rsidRPr="00265F85">
        <w:rPr>
          <w:lang w:eastAsia="de-DE"/>
        </w:rPr>
        <w:t xml:space="preserve"> und N-</w:t>
      </w:r>
      <w:proofErr w:type="spellStart"/>
      <w:r w:rsidRPr="00265F85">
        <w:rPr>
          <w:lang w:eastAsia="de-DE"/>
        </w:rPr>
        <w:t>Acteylmuraminsäure</w:t>
      </w:r>
      <w:proofErr w:type="spellEnd"/>
      <w:r w:rsidR="008D7F04">
        <w:rPr>
          <w:lang w:eastAsia="de-DE"/>
        </w:rPr>
        <w:t>-K</w:t>
      </w:r>
      <w:r w:rsidRPr="00265F85">
        <w:rPr>
          <w:lang w:eastAsia="de-DE"/>
        </w:rPr>
        <w:t>etten, die Quer</w:t>
      </w:r>
      <w:r>
        <w:rPr>
          <w:lang w:eastAsia="de-DE"/>
        </w:rPr>
        <w:t>-V</w:t>
      </w:r>
      <w:r w:rsidRPr="00265F85">
        <w:rPr>
          <w:lang w:eastAsia="de-DE"/>
        </w:rPr>
        <w:t>ernetzung unterbleibt jedoch. Die Zellen können dem Druck im Zell</w:t>
      </w:r>
      <w:r>
        <w:rPr>
          <w:lang w:eastAsia="de-DE"/>
        </w:rPr>
        <w:t>-I</w:t>
      </w:r>
      <w:r w:rsidRPr="00265F85">
        <w:rPr>
          <w:lang w:eastAsia="de-DE"/>
        </w:rPr>
        <w:t>nneren nicht mehr standhalten und werden lysiert.</w:t>
      </w:r>
    </w:p>
    <w:p w14:paraId="1CBE4120" w14:textId="77777777" w:rsidR="00265F85" w:rsidRDefault="00265F85" w:rsidP="00265F85">
      <w:pPr>
        <w:pStyle w:val="Bilder"/>
        <w:rPr>
          <w:lang w:eastAsia="de-DE"/>
        </w:rPr>
      </w:pPr>
      <w:r w:rsidRPr="00F02248">
        <w:rPr>
          <w:lang w:eastAsia="de-DE"/>
        </w:rPr>
        <w:drawing>
          <wp:inline distT="0" distB="0" distL="0" distR="0" wp14:anchorId="5056D19E" wp14:editId="2DB46FBE">
            <wp:extent cx="2995930" cy="2286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5930" cy="2286000"/>
                    </a:xfrm>
                    <a:prstGeom prst="rect">
                      <a:avLst/>
                    </a:prstGeom>
                    <a:noFill/>
                    <a:ln>
                      <a:noFill/>
                    </a:ln>
                  </pic:spPr>
                </pic:pic>
              </a:graphicData>
            </a:graphic>
          </wp:inline>
        </w:drawing>
      </w:r>
    </w:p>
    <w:p w14:paraId="49D51E29" w14:textId="2B964373" w:rsidR="00265F85" w:rsidRPr="00265F85" w:rsidRDefault="00265F85" w:rsidP="00265F85">
      <w:pPr>
        <w:pStyle w:val="Beschriftung"/>
        <w:rPr>
          <w:lang w:eastAsia="de-DE"/>
        </w:rPr>
      </w:pPr>
      <w:r>
        <w:t xml:space="preserve">Abb. </w:t>
      </w:r>
      <w:fldSimple w:instr=" SEQ Abb. \* ARABIC ">
        <w:r w:rsidR="00FE79AB">
          <w:rPr>
            <w:noProof/>
          </w:rPr>
          <w:t>5</w:t>
        </w:r>
      </w:fldSimple>
      <w:r>
        <w:t xml:space="preserve">: </w:t>
      </w:r>
      <w:r>
        <w:rPr>
          <w:rFonts w:cs="Arial"/>
        </w:rPr>
        <w:t>Mimikry im Tierreich am Beispiel des Echten Widderbocks,</w:t>
      </w:r>
      <w:r>
        <w:rPr>
          <w:rFonts w:cs="Arial"/>
        </w:rPr>
        <w:br/>
        <w:t>der eine Wespe imitiert [</w:t>
      </w:r>
      <w:r>
        <w:rPr>
          <w:rFonts w:cs="Arial"/>
        </w:rPr>
        <w:fldChar w:fldCharType="begin"/>
      </w:r>
      <w:r>
        <w:rPr>
          <w:rFonts w:cs="Arial"/>
        </w:rPr>
        <w:instrText xml:space="preserve"> REF _Ref41975889 \r \h </w:instrText>
      </w:r>
      <w:r>
        <w:rPr>
          <w:rFonts w:cs="Arial"/>
        </w:rPr>
      </w:r>
      <w:r>
        <w:rPr>
          <w:rFonts w:cs="Arial"/>
        </w:rPr>
        <w:fldChar w:fldCharType="separate"/>
      </w:r>
      <w:r w:rsidR="00FE79AB">
        <w:rPr>
          <w:rFonts w:cs="Arial"/>
        </w:rPr>
        <w:t>15</w:t>
      </w:r>
      <w:r>
        <w:rPr>
          <w:rFonts w:cs="Arial"/>
        </w:rPr>
        <w:fldChar w:fldCharType="end"/>
      </w:r>
      <w:r>
        <w:rPr>
          <w:rFonts w:cs="Arial"/>
        </w:rPr>
        <w:t>]</w:t>
      </w:r>
    </w:p>
    <w:p w14:paraId="0FF2EF90" w14:textId="77777777" w:rsidR="00265F85" w:rsidRPr="008D7F04" w:rsidRDefault="008D7F04" w:rsidP="008D7F04">
      <w:pPr>
        <w:pStyle w:val="berschrift3"/>
      </w:pPr>
      <w:bookmarkStart w:id="9" w:name="_Toc118725335"/>
      <w:r w:rsidRPr="008D7F04">
        <w:t>Unterschätze deinen Feind nicht</w:t>
      </w:r>
      <w:bookmarkEnd w:id="9"/>
    </w:p>
    <w:p w14:paraId="75DD2F3E" w14:textId="4D8BB5C5" w:rsidR="00265F85" w:rsidRDefault="008D7F04" w:rsidP="00265F85">
      <w:pPr>
        <w:rPr>
          <w:rFonts w:cs="Arial"/>
        </w:rPr>
      </w:pPr>
      <w:r>
        <w:rPr>
          <w:rFonts w:cs="Arial"/>
        </w:rPr>
        <w:t xml:space="preserve">„Die Natur findet einen Weg“; Auch im Kampf „Bakterium gegen Penicillin“ gilt diese Weisheit. So finden Bakterien ständig neue Wege um sich gegen Chemotherapeutika, im Speziellen gegen Antibiotika, zur Wehr zu setzen. So muss man sich zunächst grundsätzlich darüber klar werden, dass ein Antibiotikum nicht gegen jedes Bakterium einsetzbar ist. Viele Penicilline wirken zum Beispiel nur gegen gram-positive Bakterien und zeigen gegen gram Negative überhaupt keine Wirkung. Dies ist auf Unterschiede im Aufbau der Zellwand, d. h. dem Wirkungsort, zurückzuführen. Abhilfe schaffen hier sog. Breitband-Antibiotika, wie „Ampicillin“. Diese sind gegen ein breites Spektrum an Bakterien wirksam. Bakterien gehen auch ohne zu zögern in die biologische Kriegsführung über. Mit Hilfe eines effizienten Enzyms, der Penicillinase, öffnen sie den β-Lactam-Ring des Penicillins und wandeln es so in die ungefährliche </w:t>
      </w:r>
      <w:proofErr w:type="spellStart"/>
      <w:r>
        <w:rPr>
          <w:rFonts w:cs="Arial"/>
        </w:rPr>
        <w:t>Penicillo</w:t>
      </w:r>
      <w:proofErr w:type="spellEnd"/>
      <w:r w:rsidR="00E70EE2">
        <w:rPr>
          <w:rFonts w:cs="Arial"/>
        </w:rPr>
        <w:t>-S</w:t>
      </w:r>
      <w:r>
        <w:rPr>
          <w:rFonts w:cs="Arial"/>
        </w:rPr>
        <w:t>äure um. Ein großes Problem ist auch das, der ständig zunehmenden Allergien. So können sich nach nur wenigen Behandlungen Antikörper bilden, deren Reaktion bis zum anaphylaktischen Schock reicht. Ist ein Bakterium erst mal resistent gegenüber dem Einsatz eines Antibiotikums, kann es diesen evolutorischen Vorteil blitzschnell durch Plasmide oder Konjugation an andere Bakterien weitergeben.</w:t>
      </w:r>
    </w:p>
    <w:p w14:paraId="416A45C0" w14:textId="77777777" w:rsidR="008D7F04" w:rsidRDefault="008D7F04" w:rsidP="008D7F04">
      <w:pPr>
        <w:pStyle w:val="berschrift2"/>
      </w:pPr>
      <w:bookmarkStart w:id="10" w:name="_Toc118725336"/>
      <w:r w:rsidRPr="008D7F04">
        <w:t>Die Zukunft des Penicillins</w:t>
      </w:r>
      <w:bookmarkEnd w:id="10"/>
    </w:p>
    <w:p w14:paraId="2502A3B4" w14:textId="77777777" w:rsidR="008D7F04" w:rsidRDefault="008D7F04" w:rsidP="008D7F04">
      <w:pPr>
        <w:rPr>
          <w:rFonts w:cs="Arial"/>
        </w:rPr>
      </w:pPr>
      <w:r>
        <w:rPr>
          <w:rFonts w:cs="Arial"/>
        </w:rPr>
        <w:t>Wie sieht nun die Zukunft der antibakteriellen Kriegsführung mit Antibiotika aus? Bakterien werden immer schneller und aggressiver gegen ganze Bandbreiten an Chemotherapeutika resistent, man spricht von Multi-Resistenz. So helfen immer häufiger nur noch „Notfall Penicilline“ die eigentlich von den Regierungen unter Verschluss gehalten werden und nur für echt, unvorhergesehene Notfälle und Epidemien freigegeben werden. Ein Beispiel für ein solches Antibiotikum ist das „Vancomycin“.</w:t>
      </w:r>
    </w:p>
    <w:p w14:paraId="714EF8C5" w14:textId="77777777" w:rsidR="008D7F04" w:rsidRDefault="008D7F04" w:rsidP="008D7F04">
      <w:pPr>
        <w:pStyle w:val="berschrift1"/>
      </w:pPr>
      <w:bookmarkStart w:id="11" w:name="_Toc118725337"/>
      <w:r>
        <w:t>Sulfonamide - von der Wunder-Waffe zum Toiletten-Reiniger?</w:t>
      </w:r>
      <w:bookmarkEnd w:id="11"/>
    </w:p>
    <w:p w14:paraId="7DAA893C" w14:textId="77777777" w:rsidR="008D7F04" w:rsidRDefault="008D7F04" w:rsidP="008D7F04">
      <w:pPr>
        <w:pStyle w:val="berschrift2"/>
      </w:pPr>
      <w:bookmarkStart w:id="12" w:name="_Toc118725338"/>
      <w:r w:rsidRPr="008D7F04">
        <w:t>Entdeckung</w:t>
      </w:r>
      <w:bookmarkEnd w:id="12"/>
    </w:p>
    <w:p w14:paraId="125FC3C0" w14:textId="77777777" w:rsidR="008D7F04" w:rsidRDefault="008D7F04" w:rsidP="008D7F04">
      <w:pPr>
        <w:rPr>
          <w:rFonts w:cs="Arial"/>
        </w:rPr>
      </w:pPr>
      <w:r>
        <w:rPr>
          <w:rFonts w:cs="Arial"/>
        </w:rPr>
        <w:t xml:space="preserve">Obwohl erst einige Jahre nach dem Penicillin entdeckt (1932 von Gerhard Domagk), sind Sulfonamide die ältesten Chemotherapeutika, die eine Verwendung im großen Stil in der Medizin fanden. Wie auch das Penicillin wurden sie zufällig als Teil von </w:t>
      </w:r>
      <w:proofErr w:type="spellStart"/>
      <w:r>
        <w:rPr>
          <w:rFonts w:cs="Arial"/>
        </w:rPr>
        <w:t>Azo</w:t>
      </w:r>
      <w:proofErr w:type="spellEnd"/>
      <w:r>
        <w:rPr>
          <w:rFonts w:cs="Arial"/>
        </w:rPr>
        <w:t xml:space="preserve">-Farbstoffen entdeckt und fanden zunächst als orales </w:t>
      </w:r>
      <w:proofErr w:type="spellStart"/>
      <w:r>
        <w:rPr>
          <w:rFonts w:cs="Arial"/>
        </w:rPr>
        <w:t>Diabetikum</w:t>
      </w:r>
      <w:proofErr w:type="spellEnd"/>
      <w:r>
        <w:rPr>
          <w:rFonts w:cs="Arial"/>
        </w:rPr>
        <w:t xml:space="preserve"> Verwendung. Wenig später entdeckte man auch die antibakterielle Wirkung auf viele Kokken und weitere Darm-Bakterien.</w:t>
      </w:r>
    </w:p>
    <w:p w14:paraId="7EE56773" w14:textId="77777777" w:rsidR="008D7F04" w:rsidRDefault="008D7F04" w:rsidP="008D7F04">
      <w:pPr>
        <w:pStyle w:val="berschrift2"/>
      </w:pPr>
      <w:bookmarkStart w:id="13" w:name="_Toc118725339"/>
      <w:r w:rsidRPr="008D7F04">
        <w:t>Struktur der Sulfonamide</w:t>
      </w:r>
      <w:bookmarkEnd w:id="13"/>
    </w:p>
    <w:p w14:paraId="41BEAAA7" w14:textId="77777777" w:rsidR="008D7F04" w:rsidRDefault="008D7F04" w:rsidP="008D7F04">
      <w:pPr>
        <w:rPr>
          <w:rFonts w:cs="Arial"/>
        </w:rPr>
      </w:pPr>
      <w:r>
        <w:rPr>
          <w:rFonts w:cs="Arial"/>
        </w:rPr>
        <w:t xml:space="preserve">Sulfonamide lassen sich der Gruppe der sog. Wachstumsfaktoren-Analoga zuordnen. Diese Gruppe an Chemotherapeutika ist eng strukturverwandt mit Stoffen, die ein Bakterium für sein Wachstum benötigt. Im Gegensatz zu Antibiotika werden sämtliche Sulfonamide synthetisch hergestellt. Es finden sich keine natürlichen Fabrikanten in Pflanzen- und Tierwelt. Das einfachste Sulfonamid stellt das </w:t>
      </w:r>
      <w:proofErr w:type="spellStart"/>
      <w:r>
        <w:rPr>
          <w:rFonts w:cs="Arial"/>
        </w:rPr>
        <w:t>Sulfanilamid</w:t>
      </w:r>
      <w:proofErr w:type="spellEnd"/>
      <w:r>
        <w:rPr>
          <w:rFonts w:cs="Arial"/>
        </w:rPr>
        <w:t xml:space="preserve"> dar.</w:t>
      </w:r>
    </w:p>
    <w:p w14:paraId="4AA59685" w14:textId="77777777" w:rsidR="008D7F04" w:rsidRDefault="008D7F04" w:rsidP="008D7F04">
      <w:pPr>
        <w:pStyle w:val="Bilder"/>
      </w:pPr>
      <w:r>
        <w:rPr>
          <w:lang w:eastAsia="de-DE"/>
        </w:rPr>
        <w:drawing>
          <wp:inline distT="0" distB="0" distL="0" distR="0" wp14:anchorId="7E2FA197" wp14:editId="04570855">
            <wp:extent cx="2266315" cy="894715"/>
            <wp:effectExtent l="0" t="0" r="635"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315" cy="894715"/>
                    </a:xfrm>
                    <a:prstGeom prst="rect">
                      <a:avLst/>
                    </a:prstGeom>
                    <a:noFill/>
                    <a:ln>
                      <a:noFill/>
                    </a:ln>
                  </pic:spPr>
                </pic:pic>
              </a:graphicData>
            </a:graphic>
          </wp:inline>
        </w:drawing>
      </w:r>
    </w:p>
    <w:p w14:paraId="4D8C3B97" w14:textId="757CC289" w:rsidR="008D7F04" w:rsidRDefault="008D7F04" w:rsidP="008D7F04">
      <w:pPr>
        <w:pStyle w:val="Beschriftung"/>
      </w:pPr>
      <w:r>
        <w:t xml:space="preserve">Abb. </w:t>
      </w:r>
      <w:fldSimple w:instr=" SEQ Abb. \* ARABIC ">
        <w:r w:rsidR="00FE79AB">
          <w:rPr>
            <w:noProof/>
          </w:rPr>
          <w:t>6</w:t>
        </w:r>
      </w:fldSimple>
      <w:r>
        <w:t xml:space="preserve">: </w:t>
      </w:r>
      <w:proofErr w:type="spellStart"/>
      <w:r>
        <w:t>Sulfanilamid</w:t>
      </w:r>
      <w:proofErr w:type="spellEnd"/>
    </w:p>
    <w:p w14:paraId="17D6F071" w14:textId="77777777" w:rsidR="008D7F04" w:rsidRDefault="008D7F04" w:rsidP="008D7F04">
      <w:pPr>
        <w:pStyle w:val="berschrift2"/>
      </w:pPr>
      <w:bookmarkStart w:id="14" w:name="_Toc118725340"/>
      <w:r w:rsidRPr="008D7F04">
        <w:t>Bakterieller Stoffwechsel und Wirkungsweise der Sulfonamide</w:t>
      </w:r>
      <w:bookmarkEnd w:id="14"/>
    </w:p>
    <w:p w14:paraId="2BD2D7B3" w14:textId="77777777" w:rsidR="008D7F04" w:rsidRDefault="008D7F04" w:rsidP="008D7F04">
      <w:pPr>
        <w:rPr>
          <w:rFonts w:cs="Arial"/>
        </w:rPr>
      </w:pPr>
      <w:r>
        <w:rPr>
          <w:rFonts w:cs="Arial"/>
        </w:rPr>
        <w:t xml:space="preserve">Um die Wirkungsweise von Sulfonamiden verstehen zu können, ist der bakterielle Folsäure-Stoffwechsel wichtig. Ausgangsstoffe sind ein </w:t>
      </w:r>
      <w:proofErr w:type="spellStart"/>
      <w:r>
        <w:rPr>
          <w:rFonts w:cs="Arial"/>
        </w:rPr>
        <w:t>Dihydropteridin</w:t>
      </w:r>
      <w:proofErr w:type="spellEnd"/>
      <w:r>
        <w:rPr>
          <w:rFonts w:cs="Arial"/>
        </w:rPr>
        <w:t>-Derivat und die p-</w:t>
      </w:r>
      <w:proofErr w:type="spellStart"/>
      <w:r>
        <w:rPr>
          <w:rFonts w:cs="Arial"/>
        </w:rPr>
        <w:t>Aminobenzoesäure</w:t>
      </w:r>
      <w:proofErr w:type="spellEnd"/>
      <w:r>
        <w:rPr>
          <w:rFonts w:cs="Arial"/>
        </w:rPr>
        <w:t xml:space="preserve">. Mit Hilfe des Enzyms </w:t>
      </w:r>
      <w:proofErr w:type="spellStart"/>
      <w:r>
        <w:rPr>
          <w:rFonts w:cs="Arial"/>
        </w:rPr>
        <w:t>Dihydropterionat-Syntethase</w:t>
      </w:r>
      <w:proofErr w:type="spellEnd"/>
      <w:r>
        <w:rPr>
          <w:rFonts w:cs="Arial"/>
        </w:rPr>
        <w:t xml:space="preserve"> werden die Ausgangsstoffe zusammen mit Glutamat in die 7,8-Dihydrofolsäure umgewandelt. Hierbei handelt es sich um eine enzymatische Reaktion, die über die substituierte Zwischen-Stufe der </w:t>
      </w:r>
      <w:proofErr w:type="spellStart"/>
      <w:r>
        <w:rPr>
          <w:rFonts w:cs="Arial"/>
        </w:rPr>
        <w:t>Dihydropreroinsäure</w:t>
      </w:r>
      <w:proofErr w:type="spellEnd"/>
      <w:r>
        <w:rPr>
          <w:rFonts w:cs="Arial"/>
        </w:rPr>
        <w:t xml:space="preserve"> verläuft. </w:t>
      </w:r>
      <w:proofErr w:type="spellStart"/>
      <w:r>
        <w:rPr>
          <w:rFonts w:cs="Arial"/>
        </w:rPr>
        <w:t>Dihydrofolsäure</w:t>
      </w:r>
      <w:proofErr w:type="spellEnd"/>
      <w:r>
        <w:rPr>
          <w:rFonts w:cs="Arial"/>
        </w:rPr>
        <w:t xml:space="preserve"> wird nun durch das Enzym </w:t>
      </w:r>
      <w:proofErr w:type="spellStart"/>
      <w:r>
        <w:rPr>
          <w:rFonts w:cs="Arial"/>
        </w:rPr>
        <w:t>Dihydrofolsäure-Reduktase</w:t>
      </w:r>
      <w:proofErr w:type="spellEnd"/>
      <w:r>
        <w:rPr>
          <w:rFonts w:cs="Arial"/>
        </w:rPr>
        <w:t xml:space="preserve"> zur 5,6,7,8-Tertahydrofolsäure hydriert. Tetrahydrofolsäure ist Cofaktor für die Purin-Synthese und auch für die DNA-Synthese.</w:t>
      </w:r>
    </w:p>
    <w:p w14:paraId="52A9ADCA" w14:textId="77777777" w:rsidR="008D7F04" w:rsidRDefault="00945210" w:rsidP="00945210">
      <w:pPr>
        <w:pStyle w:val="Bilder"/>
      </w:pPr>
      <w:r>
        <w:rPr>
          <w:lang w:eastAsia="de-DE"/>
        </w:rPr>
        <w:drawing>
          <wp:inline distT="0" distB="0" distL="0" distR="0" wp14:anchorId="19E75CB4" wp14:editId="5BDC253A">
            <wp:extent cx="4212000" cy="9180000"/>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2000" cy="9180000"/>
                    </a:xfrm>
                    <a:prstGeom prst="rect">
                      <a:avLst/>
                    </a:prstGeom>
                    <a:noFill/>
                    <a:ln>
                      <a:noFill/>
                    </a:ln>
                  </pic:spPr>
                </pic:pic>
              </a:graphicData>
            </a:graphic>
          </wp:inline>
        </w:drawing>
      </w:r>
    </w:p>
    <w:p w14:paraId="527D0E53" w14:textId="5642837B" w:rsidR="00945210" w:rsidRDefault="00945210" w:rsidP="00945210">
      <w:pPr>
        <w:pStyle w:val="Beschriftung"/>
        <w:rPr>
          <w:rFonts w:cs="Arial"/>
        </w:rPr>
      </w:pPr>
      <w:r>
        <w:t xml:space="preserve">Abb. </w:t>
      </w:r>
      <w:fldSimple w:instr=" SEQ Abb. \* ARABIC ">
        <w:r w:rsidR="00FE79AB">
          <w:rPr>
            <w:noProof/>
          </w:rPr>
          <w:t>7</w:t>
        </w:r>
      </w:fldSimple>
      <w:r>
        <w:t xml:space="preserve">: </w:t>
      </w:r>
      <w:r>
        <w:rPr>
          <w:rFonts w:cs="Arial"/>
        </w:rPr>
        <w:t>Bakterieller Folsäure-Stoffwechsel mit Angriffspunkt der Sulfonamiden</w:t>
      </w:r>
    </w:p>
    <w:p w14:paraId="229B6E3B" w14:textId="77777777" w:rsidR="00945210" w:rsidRDefault="00945210" w:rsidP="00945210">
      <w:pPr>
        <w:rPr>
          <w:rFonts w:cs="Arial"/>
        </w:rPr>
      </w:pPr>
      <w:r>
        <w:rPr>
          <w:rFonts w:cs="Arial"/>
        </w:rPr>
        <w:t xml:space="preserve">Wie bereits erwähnt, besitzen die Sulfonamide eine ganz ähnliche Struktur, wie diverse Wachstumsfaktoren der Bakterien. So kann man das </w:t>
      </w:r>
      <w:proofErr w:type="spellStart"/>
      <w:r>
        <w:rPr>
          <w:rFonts w:cs="Arial"/>
        </w:rPr>
        <w:t>Sulfanilamid</w:t>
      </w:r>
      <w:proofErr w:type="spellEnd"/>
      <w:r>
        <w:rPr>
          <w:rFonts w:cs="Arial"/>
        </w:rPr>
        <w:t xml:space="preserve"> mit einer Vorstufe der Folsäure (ein wasserlösliches Vitamin) analog setzen. Ein Vergleich der Struktur belegt die Ähnlichkeit:</w:t>
      </w:r>
    </w:p>
    <w:p w14:paraId="3FE08C60" w14:textId="77777777" w:rsidR="00945210" w:rsidRDefault="00945210" w:rsidP="00945210">
      <w:pPr>
        <w:pStyle w:val="Bilder"/>
      </w:pPr>
      <w:r>
        <w:rPr>
          <w:lang w:eastAsia="de-DE"/>
        </w:rPr>
        <w:drawing>
          <wp:inline distT="0" distB="0" distL="0" distR="0" wp14:anchorId="278D18FC" wp14:editId="6B043923">
            <wp:extent cx="4766310" cy="2150110"/>
            <wp:effectExtent l="0" t="0" r="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6310" cy="2150110"/>
                    </a:xfrm>
                    <a:prstGeom prst="rect">
                      <a:avLst/>
                    </a:prstGeom>
                    <a:noFill/>
                    <a:ln>
                      <a:noFill/>
                    </a:ln>
                  </pic:spPr>
                </pic:pic>
              </a:graphicData>
            </a:graphic>
          </wp:inline>
        </w:drawing>
      </w:r>
    </w:p>
    <w:p w14:paraId="24760888" w14:textId="2260BB86" w:rsidR="00945210" w:rsidRDefault="00945210" w:rsidP="00945210">
      <w:pPr>
        <w:pStyle w:val="Beschriftung"/>
      </w:pPr>
      <w:r>
        <w:t xml:space="preserve">Abb. </w:t>
      </w:r>
      <w:fldSimple w:instr=" SEQ Abb. \* ARABIC ">
        <w:r w:rsidR="00FE79AB">
          <w:rPr>
            <w:noProof/>
          </w:rPr>
          <w:t>8</w:t>
        </w:r>
      </w:fldSimple>
      <w:r>
        <w:t>: Folsäure</w:t>
      </w:r>
    </w:p>
    <w:p w14:paraId="5F321216" w14:textId="06306089" w:rsidR="00945210" w:rsidRDefault="00945210" w:rsidP="00945210">
      <w:pPr>
        <w:rPr>
          <w:rFonts w:cs="Arial"/>
        </w:rPr>
      </w:pPr>
      <w:r>
        <w:rPr>
          <w:rFonts w:cs="Arial"/>
        </w:rPr>
        <w:t xml:space="preserve">Genau diese Ähnlichkeit stellt auch den Angriffspunkt der Sulfonamide dar. </w:t>
      </w:r>
      <w:proofErr w:type="spellStart"/>
      <w:r>
        <w:rPr>
          <w:rFonts w:cs="Arial"/>
        </w:rPr>
        <w:t>Sulfanilamid</w:t>
      </w:r>
      <w:proofErr w:type="spellEnd"/>
      <w:r>
        <w:rPr>
          <w:rFonts w:cs="Arial"/>
        </w:rPr>
        <w:t xml:space="preserve"> bindet das Enzym, das eigentlich für den Einbau der p-Aminobenzoesäure in der Folsäure zuständig ist. Die Folsäure-Synthese wird erheblich beeinträchtig und führt dazu, dass sich das Bakterium nicht mehr vermehren kann. Da dieser Eingriff in die Folsäure-Synthese auf dem Prinzip der kompetitiven Hemmung beruht, muss im Laufe der Behandlung der Sulfonamid</w:t>
      </w:r>
      <w:r w:rsidR="00B53D1A">
        <w:rPr>
          <w:rFonts w:cs="Arial"/>
        </w:rPr>
        <w:t>-T</w:t>
      </w:r>
      <w:r>
        <w:rPr>
          <w:rFonts w:cs="Arial"/>
        </w:rPr>
        <w:t>iter stetig hochgehalten werden. Auch beim Einsatz von Sulfonamiden besteht für tierische Zellen keine Gefahr, da Lebewesen Folsäure aus externen Quellen erschließen und nicht selbst synthetisieren.</w:t>
      </w:r>
    </w:p>
    <w:p w14:paraId="1EECB72D" w14:textId="77777777" w:rsidR="00945210" w:rsidRDefault="00945210" w:rsidP="00945210">
      <w:pPr>
        <w:pStyle w:val="Bilder"/>
      </w:pPr>
      <w:r>
        <w:rPr>
          <w:lang w:eastAsia="de-DE"/>
        </w:rPr>
        <w:drawing>
          <wp:inline distT="0" distB="0" distL="0" distR="0" wp14:anchorId="1C10D965" wp14:editId="4D70BDE6">
            <wp:extent cx="1877695" cy="1283970"/>
            <wp:effectExtent l="0" t="0" r="825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7695" cy="1283970"/>
                    </a:xfrm>
                    <a:prstGeom prst="rect">
                      <a:avLst/>
                    </a:prstGeom>
                    <a:noFill/>
                    <a:ln>
                      <a:noFill/>
                    </a:ln>
                  </pic:spPr>
                </pic:pic>
              </a:graphicData>
            </a:graphic>
          </wp:inline>
        </w:drawing>
      </w:r>
    </w:p>
    <w:p w14:paraId="7A3C0360" w14:textId="4196CF32" w:rsidR="00945210" w:rsidRDefault="00945210" w:rsidP="00945210">
      <w:pPr>
        <w:pStyle w:val="Beschriftung"/>
      </w:pPr>
      <w:r>
        <w:t xml:space="preserve">Abb. </w:t>
      </w:r>
      <w:fldSimple w:instr=" SEQ Abb. \* ARABIC ">
        <w:r w:rsidR="00FE79AB">
          <w:rPr>
            <w:noProof/>
          </w:rPr>
          <w:t>9</w:t>
        </w:r>
      </w:fldSimple>
      <w:r>
        <w:t>: p-Aminobenzoesäure</w:t>
      </w:r>
    </w:p>
    <w:p w14:paraId="6B5A6565" w14:textId="77777777" w:rsidR="00945210" w:rsidRDefault="00945210" w:rsidP="00945210">
      <w:pPr>
        <w:pStyle w:val="berschrift2"/>
      </w:pPr>
      <w:bookmarkStart w:id="15" w:name="_Toc118725341"/>
      <w:r w:rsidRPr="00945210">
        <w:t>Die Zukunft von Sulfonamiden</w:t>
      </w:r>
      <w:bookmarkEnd w:id="15"/>
    </w:p>
    <w:p w14:paraId="05F0C6B6" w14:textId="77777777" w:rsidR="00945210" w:rsidRDefault="00945210" w:rsidP="00945210">
      <w:pPr>
        <w:rPr>
          <w:rFonts w:cs="Arial"/>
        </w:rPr>
      </w:pPr>
      <w:r>
        <w:rPr>
          <w:rFonts w:cs="Arial"/>
        </w:rPr>
        <w:t xml:space="preserve">Wie bei den Penicillinen auch, schläft die Bakterien-Welt </w:t>
      </w:r>
      <w:r w:rsidR="00B53D1A">
        <w:rPr>
          <w:rFonts w:cs="Arial"/>
        </w:rPr>
        <w:t>in</w:t>
      </w:r>
      <w:r>
        <w:rPr>
          <w:rFonts w:cs="Arial"/>
        </w:rPr>
        <w:t xml:space="preserve"> Bezug auf Abwehr-Mechanismen nicht. Im Laufe von nur wenigen Jahren kam es durch den medikamentösen Massen-Einsatz extrem häufig zu Resistenzen. Bakterien entdecken sehr schnell Mittel und Wege sich Folsäure aus externen Quellen zu erschließen. Da Sulfonamide den bakteriellen Stoff-Wechsel an nur einer Stelle hemmen, können sehr schnell Resistenzen auftreten. Somit muss es eine Möglichkeit geben, den Stoff</w:t>
      </w:r>
      <w:r w:rsidR="00B53D1A">
        <w:rPr>
          <w:rFonts w:cs="Arial"/>
        </w:rPr>
        <w:t>-W</w:t>
      </w:r>
      <w:r>
        <w:rPr>
          <w:rFonts w:cs="Arial"/>
        </w:rPr>
        <w:t>echsel an mehr als einer Stelle zu hemmen. Die Lösung dieses Problems liegt in der Entwicklung von Kombi</w:t>
      </w:r>
      <w:r w:rsidR="00B53D1A">
        <w:rPr>
          <w:rFonts w:cs="Arial"/>
        </w:rPr>
        <w:t>-P</w:t>
      </w:r>
      <w:r>
        <w:rPr>
          <w:rFonts w:cs="Arial"/>
        </w:rPr>
        <w:t>räparaten. Sie machen Resistenzen unwahrscheinlicher. Ein Beispiel für die Heilung der anfangs genannten Blasen</w:t>
      </w:r>
      <w:r w:rsidR="00B53D1A">
        <w:rPr>
          <w:rFonts w:cs="Arial"/>
        </w:rPr>
        <w:t>-E</w:t>
      </w:r>
      <w:r>
        <w:rPr>
          <w:rFonts w:cs="Arial"/>
        </w:rPr>
        <w:t xml:space="preserve">ntzündung ist Cotrimoxazol. Es besteht aus dem Sulfonamid </w:t>
      </w:r>
      <w:proofErr w:type="spellStart"/>
      <w:r>
        <w:rPr>
          <w:rFonts w:cs="Arial"/>
        </w:rPr>
        <w:t>Sulfamethoxazol</w:t>
      </w:r>
      <w:proofErr w:type="spellEnd"/>
      <w:r>
        <w:rPr>
          <w:rFonts w:cs="Arial"/>
        </w:rPr>
        <w:t xml:space="preserve"> und dem </w:t>
      </w:r>
      <w:proofErr w:type="spellStart"/>
      <w:r>
        <w:rPr>
          <w:rFonts w:cs="Arial"/>
        </w:rPr>
        <w:t>Diaminopyrimidin</w:t>
      </w:r>
      <w:proofErr w:type="spellEnd"/>
      <w:r>
        <w:rPr>
          <w:rFonts w:cs="Arial"/>
        </w:rPr>
        <w:t xml:space="preserve"> </w:t>
      </w:r>
      <w:proofErr w:type="spellStart"/>
      <w:r>
        <w:rPr>
          <w:rFonts w:cs="Arial"/>
        </w:rPr>
        <w:t>Trimethoprim</w:t>
      </w:r>
      <w:proofErr w:type="spellEnd"/>
      <w:r>
        <w:rPr>
          <w:rFonts w:cs="Arial"/>
        </w:rPr>
        <w:t xml:space="preserve"> im Verhältnis 5:1. </w:t>
      </w:r>
      <w:proofErr w:type="spellStart"/>
      <w:r>
        <w:rPr>
          <w:rFonts w:cs="Arial"/>
        </w:rPr>
        <w:t>Trimethoprim</w:t>
      </w:r>
      <w:proofErr w:type="spellEnd"/>
      <w:r>
        <w:rPr>
          <w:rFonts w:cs="Arial"/>
        </w:rPr>
        <w:t xml:space="preserve"> lagert sich an das Enzym </w:t>
      </w:r>
      <w:proofErr w:type="spellStart"/>
      <w:r>
        <w:rPr>
          <w:rFonts w:cs="Arial"/>
        </w:rPr>
        <w:t>Dihydrofolsäure-Reduktase</w:t>
      </w:r>
      <w:proofErr w:type="spellEnd"/>
      <w:r>
        <w:rPr>
          <w:rFonts w:cs="Arial"/>
        </w:rPr>
        <w:t xml:space="preserve"> an und verhindert so die Hydrierung zu Tetrahydrofolsäure. </w:t>
      </w:r>
      <w:r w:rsidR="00B53D1A">
        <w:rPr>
          <w:rFonts w:cs="Arial"/>
        </w:rPr>
        <w:t>Sulfonamide</w:t>
      </w:r>
      <w:r>
        <w:rPr>
          <w:rFonts w:cs="Arial"/>
        </w:rPr>
        <w:t xml:space="preserve"> haben ein sehr breites Wirkungsspektrum. Sie werden u.</w:t>
      </w:r>
      <w:r w:rsidR="00B53D1A">
        <w:rPr>
          <w:rFonts w:cs="Arial"/>
        </w:rPr>
        <w:t> </w:t>
      </w:r>
      <w:r>
        <w:rPr>
          <w:rFonts w:cs="Arial"/>
        </w:rPr>
        <w:t>a. bei Harnwegsinfektionen, Atemwegsinfektionen, Nieren</w:t>
      </w:r>
      <w:r w:rsidR="00B53D1A">
        <w:rPr>
          <w:rFonts w:cs="Arial"/>
        </w:rPr>
        <w:t>-I</w:t>
      </w:r>
      <w:r>
        <w:rPr>
          <w:rFonts w:cs="Arial"/>
        </w:rPr>
        <w:t>nfektionen, Magen-Darm-Infektionen und auch bei der Malaria-Behandlung eingesetzt. Außerdem sind sie das einzige Medikament bei der Behandlung von Pneumonie ausgelöst durch „</w:t>
      </w:r>
      <w:proofErr w:type="spellStart"/>
      <w:r>
        <w:rPr>
          <w:rFonts w:cs="Arial"/>
        </w:rPr>
        <w:t>Pneumocystis</w:t>
      </w:r>
      <w:proofErr w:type="spellEnd"/>
      <w:r>
        <w:rPr>
          <w:rFonts w:cs="Arial"/>
        </w:rPr>
        <w:t xml:space="preserve"> </w:t>
      </w:r>
      <w:proofErr w:type="spellStart"/>
      <w:r>
        <w:rPr>
          <w:rFonts w:cs="Arial"/>
        </w:rPr>
        <w:t>jirovecci</w:t>
      </w:r>
      <w:proofErr w:type="spellEnd"/>
      <w:r>
        <w:rPr>
          <w:rFonts w:cs="Arial"/>
        </w:rPr>
        <w:t>“. Somit lässt sich sagen, dass Sulfonamide auch in der modernen Medizin immer noch eine wichtige Rolle spielen. Sulfonamide allein haben so ihren Platz in der Medizin mittlerweile weitgehend verloren und werden oft nur noch als Desinfektionsmittel und in der Tier</w:t>
      </w:r>
      <w:r w:rsidR="00B53D1A">
        <w:rPr>
          <w:rFonts w:cs="Arial"/>
        </w:rPr>
        <w:t>-M</w:t>
      </w:r>
      <w:r>
        <w:rPr>
          <w:rFonts w:cs="Arial"/>
        </w:rPr>
        <w:t>edizin eingesetzt.</w:t>
      </w:r>
    </w:p>
    <w:p w14:paraId="0103E0B4" w14:textId="77777777" w:rsidR="00A32A9A" w:rsidRDefault="00A32A9A" w:rsidP="00A32A9A">
      <w:pPr>
        <w:pStyle w:val="berschrift1"/>
      </w:pPr>
      <w:bookmarkStart w:id="16" w:name="_Toc118725342"/>
      <w:r w:rsidRPr="00A32A9A">
        <w:t>Die Antibiotikum</w:t>
      </w:r>
      <w:r>
        <w:t>-K</w:t>
      </w:r>
      <w:r w:rsidRPr="00A32A9A">
        <w:t>lasse der Tetracycline</w:t>
      </w:r>
      <w:bookmarkEnd w:id="16"/>
    </w:p>
    <w:p w14:paraId="0CD00FCB" w14:textId="77777777" w:rsidR="00A32A9A" w:rsidRPr="00A32A9A" w:rsidRDefault="00A32A9A" w:rsidP="00A32A9A">
      <w:r>
        <w:rPr>
          <w:rFonts w:cs="Arial"/>
        </w:rPr>
        <w:t>Vor etwa 30 Jahren hat man für fast alle Bakterien ein Antibiotikum entwickelt. Warum muss die Forschung immer neue Antibiotika finden? Das kann man an Hand der Antibiotikum-Klasse der Tetracycline erklären: Diese Antibiotikum-Klasse ist eine schon relativ alte Antibiotikum-Klasse, die schon vor 30 Jahren entwickelt wurde. Sie zeichnet sich durch ähnliche Struktur-Formel aus.</w:t>
      </w:r>
    </w:p>
    <w:p w14:paraId="24FA8D48" w14:textId="77777777" w:rsidR="00A32A9A" w:rsidRDefault="00A32A9A" w:rsidP="00A32A9A">
      <w:pPr>
        <w:pStyle w:val="Bilder"/>
      </w:pPr>
      <w:r>
        <w:rPr>
          <w:lang w:eastAsia="de-DE"/>
        </w:rPr>
        <w:drawing>
          <wp:inline distT="0" distB="0" distL="0" distR="0" wp14:anchorId="793201F5" wp14:editId="0E82194E">
            <wp:extent cx="3434080" cy="1711960"/>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4080" cy="1711960"/>
                    </a:xfrm>
                    <a:prstGeom prst="rect">
                      <a:avLst/>
                    </a:prstGeom>
                    <a:noFill/>
                    <a:ln>
                      <a:noFill/>
                    </a:ln>
                  </pic:spPr>
                </pic:pic>
              </a:graphicData>
            </a:graphic>
          </wp:inline>
        </w:drawing>
      </w:r>
    </w:p>
    <w:p w14:paraId="3B0ABA6B" w14:textId="6119C918" w:rsidR="00A32A9A" w:rsidRDefault="00A32A9A" w:rsidP="00A32A9A">
      <w:pPr>
        <w:pStyle w:val="Beschriftung"/>
      </w:pPr>
      <w:r>
        <w:t xml:space="preserve">Abb. </w:t>
      </w:r>
      <w:fldSimple w:instr=" SEQ Abb. \* ARABIC ">
        <w:r w:rsidR="00FE79AB">
          <w:rPr>
            <w:noProof/>
          </w:rPr>
          <w:t>10</w:t>
        </w:r>
      </w:fldSimple>
      <w:r>
        <w:t xml:space="preserve">: Allgemeine Struktur-Formel der </w:t>
      </w:r>
      <w:proofErr w:type="spellStart"/>
      <w:r>
        <w:t>Tetracycline</w:t>
      </w:r>
      <w:proofErr w:type="spellEnd"/>
      <w:r>
        <w:t xml:space="preserve"> [</w:t>
      </w:r>
      <w:r>
        <w:fldChar w:fldCharType="begin"/>
      </w:r>
      <w:r>
        <w:instrText xml:space="preserve"> REF _Ref41978576 \r \h </w:instrText>
      </w:r>
      <w:r>
        <w:fldChar w:fldCharType="separate"/>
      </w:r>
      <w:r w:rsidR="00FE79AB">
        <w:t>17</w:t>
      </w:r>
      <w:r>
        <w:fldChar w:fldCharType="end"/>
      </w:r>
      <w:r>
        <w:t>]</w:t>
      </w:r>
    </w:p>
    <w:p w14:paraId="259E5FFF" w14:textId="77777777" w:rsidR="00A32A9A" w:rsidRDefault="00BA0010" w:rsidP="00A32A9A">
      <w:pPr>
        <w:rPr>
          <w:rFonts w:cs="Arial"/>
        </w:rPr>
      </w:pPr>
      <w:r>
        <w:rPr>
          <w:rFonts w:cs="Arial"/>
        </w:rPr>
        <w:t>Antibiotika müssen an den Strukturen der Bakterien angreifen, die sich von denen der menschlichen Zelle unterscheiden. Tetracycline hemmen die Protein-Synthese, da die Ribosomen der Bakterien-Zelle viel kleiner sind. Sie setzen sich statt aus einer 40 + 60 S aus einer 30 + 50 S Einheit zusammen.</w:t>
      </w:r>
    </w:p>
    <w:p w14:paraId="62269EF0" w14:textId="20ED13AA" w:rsidR="00BA0010" w:rsidRPr="00A32A9A" w:rsidRDefault="00BA0010" w:rsidP="00A32A9A">
      <w:r>
        <w:rPr>
          <w:rFonts w:cs="Arial"/>
        </w:rPr>
        <w:t xml:space="preserve">Die Bau-Anleitung für Protein liegt auf dem Zell-Kern. Für den Transport der Information wird die mRNA, ein Negativ-Bild der DNA, angefertigt. Diesen Vorgang nennt man Transkription. Die Ribosomen haben nun die Aufgabe diese Bau-Anleitung zu übersetzen (=Translation). Bei dem Vorgang der Translation gibt es 3 Bindungsstellen für die tRNA (A-Stelle: </w:t>
      </w:r>
      <w:proofErr w:type="spellStart"/>
      <w:r>
        <w:rPr>
          <w:rFonts w:cs="Arial"/>
        </w:rPr>
        <w:t>Aminoacyl</w:t>
      </w:r>
      <w:proofErr w:type="spellEnd"/>
      <w:r>
        <w:rPr>
          <w:rFonts w:cs="Arial"/>
        </w:rPr>
        <w:t xml:space="preserve">-tRNA-Bindungsstelle, P-Stelle: Peptidbindungs-Synthese-Stelle, E-Stelle: Exit). Die t-RNA </w:t>
      </w:r>
      <w:r w:rsidR="005F162C">
        <w:rPr>
          <w:rFonts w:cs="Arial"/>
        </w:rPr>
        <w:t>(</w:t>
      </w:r>
      <w:r>
        <w:rPr>
          <w:rFonts w:cs="Arial"/>
        </w:rPr>
        <w:t>transfer</w:t>
      </w:r>
      <w:r w:rsidR="005F162C">
        <w:rPr>
          <w:rFonts w:cs="Arial"/>
        </w:rPr>
        <w:t>-</w:t>
      </w:r>
      <w:r>
        <w:rPr>
          <w:rFonts w:cs="Arial"/>
        </w:rPr>
        <w:t>RNA</w:t>
      </w:r>
      <w:r w:rsidR="005F162C">
        <w:rPr>
          <w:rFonts w:cs="Arial"/>
        </w:rPr>
        <w:t>)</w:t>
      </w:r>
      <w:r>
        <w:rPr>
          <w:rFonts w:cs="Arial"/>
        </w:rPr>
        <w:t xml:space="preserve"> hat die Aufgabe sich an entsprechende Aminosäure zu heften und diese für die Protein-Synthese an die richtige Stelle (Codon) der mRNA zu bringen. Nach dem Zusammensetzen der Ribosomen-Untereinheiten bindet die aktivierte tRNA entsprechend dem Anticodon an die A-Stelle und errichtet somit eine Peptid-Bindung zur vorhergehenden Aminosäure. Es erfolgt eine Weiter-Bewegung auf der mRNA und abschließend die Entleerung der E-Stelle.</w:t>
      </w:r>
    </w:p>
    <w:p w14:paraId="7EAC4808" w14:textId="77777777" w:rsidR="00A32A9A" w:rsidRDefault="00BA0010" w:rsidP="00BA0010">
      <w:pPr>
        <w:pStyle w:val="Bilder"/>
      </w:pPr>
      <w:r>
        <w:rPr>
          <w:lang w:eastAsia="de-DE"/>
        </w:rPr>
        <w:drawing>
          <wp:inline distT="0" distB="0" distL="0" distR="0" wp14:anchorId="30117E35" wp14:editId="2A238BED">
            <wp:extent cx="4241165" cy="4241165"/>
            <wp:effectExtent l="0" t="0" r="6985" b="69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noCrop="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1165" cy="4241165"/>
                    </a:xfrm>
                    <a:prstGeom prst="rect">
                      <a:avLst/>
                    </a:prstGeom>
                    <a:noFill/>
                    <a:ln>
                      <a:noFill/>
                    </a:ln>
                  </pic:spPr>
                </pic:pic>
              </a:graphicData>
            </a:graphic>
          </wp:inline>
        </w:drawing>
      </w:r>
    </w:p>
    <w:p w14:paraId="32545BDC" w14:textId="053144C3" w:rsidR="00BA0010" w:rsidRDefault="00BA0010" w:rsidP="00BA0010">
      <w:pPr>
        <w:pStyle w:val="Beschriftung"/>
        <w:rPr>
          <w:rFonts w:cs="Arial"/>
        </w:rPr>
      </w:pPr>
      <w:r>
        <w:t xml:space="preserve">Abb. </w:t>
      </w:r>
      <w:fldSimple w:instr=" SEQ Abb. \* ARABIC ">
        <w:r w:rsidR="00FE79AB">
          <w:rPr>
            <w:noProof/>
          </w:rPr>
          <w:t>11</w:t>
        </w:r>
      </w:fldSimple>
      <w:r>
        <w:t xml:space="preserve">: </w:t>
      </w:r>
      <w:r>
        <w:rPr>
          <w:rFonts w:cs="Arial"/>
        </w:rPr>
        <w:t>Andock-Stellen für Antibiotika an den Ribosom-Untereinheiten [</w:t>
      </w:r>
      <w:r>
        <w:rPr>
          <w:rFonts w:cs="Arial"/>
        </w:rPr>
        <w:fldChar w:fldCharType="begin"/>
      </w:r>
      <w:r>
        <w:rPr>
          <w:rFonts w:cs="Arial"/>
        </w:rPr>
        <w:instrText xml:space="preserve"> REF _Ref41978780 \r \h </w:instrText>
      </w:r>
      <w:r>
        <w:rPr>
          <w:rFonts w:cs="Arial"/>
        </w:rPr>
      </w:r>
      <w:r>
        <w:rPr>
          <w:rFonts w:cs="Arial"/>
        </w:rPr>
        <w:fldChar w:fldCharType="separate"/>
      </w:r>
      <w:r w:rsidR="00FE79AB">
        <w:rPr>
          <w:rFonts w:cs="Arial"/>
        </w:rPr>
        <w:t>20</w:t>
      </w:r>
      <w:r>
        <w:rPr>
          <w:rFonts w:cs="Arial"/>
        </w:rPr>
        <w:fldChar w:fldCharType="end"/>
      </w:r>
      <w:r>
        <w:rPr>
          <w:rFonts w:cs="Arial"/>
        </w:rPr>
        <w:t>]</w:t>
      </w:r>
    </w:p>
    <w:p w14:paraId="513251B2" w14:textId="5A36C583" w:rsidR="003611A4" w:rsidRPr="008E11EA" w:rsidRDefault="00BA0010" w:rsidP="00BA0010">
      <w:r w:rsidRPr="00BA0010">
        <w:t xml:space="preserve">Tetracycline stoppen den Prozess, indem sie die A-Stelle so modifizieren, dass die t-RNA </w:t>
      </w:r>
      <w:r w:rsidRPr="008E11EA">
        <w:t xml:space="preserve">auf der Seite der 50 S-Untereinheit nicht die korrekte Orientierung </w:t>
      </w:r>
      <w:r w:rsidR="00307F91" w:rsidRPr="008E11EA">
        <w:t>besitzt,</w:t>
      </w:r>
      <w:r w:rsidRPr="008E11EA">
        <w:t xml:space="preserve"> um eine Peptid-Bindung zu ermöglichen.</w:t>
      </w:r>
    </w:p>
    <w:p w14:paraId="25F89FF1" w14:textId="43870D93" w:rsidR="000B1C78" w:rsidRPr="008E11EA" w:rsidRDefault="00DC5CD9" w:rsidP="000B1C78">
      <w:pPr>
        <w:pStyle w:val="berschrift1"/>
      </w:pPr>
      <w:bookmarkStart w:id="17" w:name="_Toc118725343"/>
      <w:r w:rsidRPr="008E11EA">
        <w:t>Vancomycin</w:t>
      </w:r>
      <w:bookmarkEnd w:id="17"/>
    </w:p>
    <w:p w14:paraId="2F20A82E" w14:textId="38543F1A" w:rsidR="000B1C78" w:rsidRPr="008E11EA" w:rsidRDefault="003A67BD" w:rsidP="003A67BD">
      <w:pPr>
        <w:pStyle w:val="berschrift2"/>
        <w:rPr>
          <w:color w:val="auto"/>
        </w:rPr>
      </w:pPr>
      <w:bookmarkStart w:id="18" w:name="_Toc118725344"/>
      <w:r w:rsidRPr="008E11EA">
        <w:rPr>
          <w:color w:val="auto"/>
        </w:rPr>
        <w:t xml:space="preserve">Eigenschaften des </w:t>
      </w:r>
      <w:proofErr w:type="spellStart"/>
      <w:r w:rsidRPr="008E11EA">
        <w:rPr>
          <w:color w:val="auto"/>
        </w:rPr>
        <w:t>Vancomycins</w:t>
      </w:r>
      <w:bookmarkEnd w:id="18"/>
      <w:proofErr w:type="spellEnd"/>
    </w:p>
    <w:p w14:paraId="1B6C9DDC" w14:textId="68720DEE" w:rsidR="00CF3CD2" w:rsidRDefault="00CF3CD2" w:rsidP="00BC41E2">
      <w:proofErr w:type="spellStart"/>
      <w:r w:rsidRPr="008E11EA">
        <w:t>Vancomycin</w:t>
      </w:r>
      <w:proofErr w:type="spellEnd"/>
      <w:r w:rsidRPr="008E11EA">
        <w:t xml:space="preserve"> ist ein </w:t>
      </w:r>
      <w:proofErr w:type="spellStart"/>
      <w:r w:rsidRPr="008E11EA">
        <w:t>Glykopeptid</w:t>
      </w:r>
      <w:proofErr w:type="spellEnd"/>
      <w:r w:rsidRPr="008E11EA">
        <w:t xml:space="preserve">-Antibiotikum, welches biotechnisch durch das Bodenbakterium </w:t>
      </w:r>
      <w:proofErr w:type="spellStart"/>
      <w:r w:rsidRPr="008E11EA">
        <w:rPr>
          <w:i/>
          <w:iCs/>
        </w:rPr>
        <w:t>Amycolatopsis</w:t>
      </w:r>
      <w:proofErr w:type="spellEnd"/>
      <w:r w:rsidRPr="008E11EA">
        <w:rPr>
          <w:i/>
          <w:iCs/>
        </w:rPr>
        <w:t xml:space="preserve"> </w:t>
      </w:r>
      <w:proofErr w:type="spellStart"/>
      <w:r w:rsidR="005C44D8" w:rsidRPr="008E11EA">
        <w:rPr>
          <w:i/>
          <w:iCs/>
        </w:rPr>
        <w:t>o</w:t>
      </w:r>
      <w:r w:rsidRPr="008E11EA">
        <w:rPr>
          <w:i/>
          <w:iCs/>
        </w:rPr>
        <w:t>rientalis</w:t>
      </w:r>
      <w:proofErr w:type="spellEnd"/>
      <w:r w:rsidRPr="008E11EA">
        <w:t xml:space="preserve"> hergestellt wird. </w:t>
      </w:r>
      <w:r w:rsidR="001B7F7F" w:rsidRPr="008E11EA">
        <w:t>Es ist ein A</w:t>
      </w:r>
      <w:r w:rsidR="00BC41E2" w:rsidRPr="008E11EA">
        <w:t xml:space="preserve">ntibiotikum dritter Linie, also ein sog. Reserveantibiotikum. </w:t>
      </w:r>
      <w:r w:rsidR="005C44D8" w:rsidRPr="008E11EA">
        <w:t>Vancomycin</w:t>
      </w:r>
      <w:r w:rsidR="00BC41E2" w:rsidRPr="008E11EA">
        <w:t xml:space="preserve"> </w:t>
      </w:r>
      <w:r w:rsidR="00BC41E2">
        <w:t>wird zur Therapie von Infektionen mit gram-positiven Bakterien, wie z.B. bei einer Staphylokokken</w:t>
      </w:r>
      <w:r w:rsidR="005C44D8">
        <w:t>-I</w:t>
      </w:r>
      <w:r w:rsidR="00BC41E2">
        <w:t>nfektion, Meningitis- oder Endokarditis</w:t>
      </w:r>
      <w:r w:rsidR="005C44D8">
        <w:t xml:space="preserve"> </w:t>
      </w:r>
      <w:r w:rsidR="00BC41E2">
        <w:t xml:space="preserve">Erkrankung, eingesetzt. Vancomycin kann die Darmwand nicht </w:t>
      </w:r>
      <w:r w:rsidR="005C44D8">
        <w:t>passieren</w:t>
      </w:r>
      <w:r w:rsidR="00BC41E2">
        <w:t>, weswegen</w:t>
      </w:r>
      <w:r w:rsidR="005C44D8">
        <w:t xml:space="preserve"> es</w:t>
      </w:r>
      <w:r w:rsidR="00BC41E2">
        <w:t xml:space="preserve"> bei Erkrankungen außerhalb des Darmbereichs intravenös verabreicht wird. Bei zu hoher Dosierung in Kombination mit </w:t>
      </w:r>
      <w:r w:rsidR="00BC721E">
        <w:t>intravenöser</w:t>
      </w:r>
      <w:r w:rsidR="00BC41E2">
        <w:t xml:space="preserve"> Verabreichung kann als Nebenwirkung das </w:t>
      </w:r>
      <w:proofErr w:type="spellStart"/>
      <w:r w:rsidR="00BC41E2">
        <w:t>Red</w:t>
      </w:r>
      <w:proofErr w:type="spellEnd"/>
      <w:r w:rsidR="00BC41E2">
        <w:t>-Man-Syndrom entstehen</w:t>
      </w:r>
      <w:r w:rsidR="005C44D8">
        <w:t>, welches sich durch Rötung der Haut</w:t>
      </w:r>
      <w:r w:rsidR="00BC41E2">
        <w:t>, Juckreiz und niedrige</w:t>
      </w:r>
      <w:r w:rsidR="005C44D8">
        <w:t>n</w:t>
      </w:r>
      <w:r w:rsidR="00BC41E2">
        <w:t xml:space="preserve"> Blutdruck </w:t>
      </w:r>
      <w:r w:rsidR="005C44D8">
        <w:t>manifestiert</w:t>
      </w:r>
      <w:r w:rsidR="00BC41E2">
        <w:t>.</w:t>
      </w:r>
    </w:p>
    <w:p w14:paraId="3EA106F0" w14:textId="4A039924" w:rsidR="001F6796" w:rsidRDefault="005C44D8" w:rsidP="001F6796">
      <w:r>
        <w:t>Betrachtet man die Struktur von Vancomycin, so zeigt sich, dass es sich um ein großes Molekül mit vielen funktionellen Gruppen handelt, die der Stabilisierung des Moleküls dienen.</w:t>
      </w:r>
      <w:r w:rsidR="004549F3">
        <w:t xml:space="preserve"> </w:t>
      </w:r>
      <w:r w:rsidR="00742526">
        <w:t>Die sechs Peptidgruppen</w:t>
      </w:r>
      <w:r w:rsidR="00D25117">
        <w:t xml:space="preserve">, die Carboxygruppe und die sekundäre Aminogruppe </w:t>
      </w:r>
      <w:r w:rsidR="00742526">
        <w:t xml:space="preserve">lassen darauf schließen, dass Vancomycin ein Oligopeptid ist. </w:t>
      </w:r>
      <w:r w:rsidR="004E5D2D">
        <w:t xml:space="preserve">Außerdem lässt sich die Struktur eines Disaccharids im Molekül erkennen. Davon lässt sich der Begriff des </w:t>
      </w:r>
      <w:proofErr w:type="spellStart"/>
      <w:r w:rsidR="004E5D2D">
        <w:t>Glykopeptid</w:t>
      </w:r>
      <w:proofErr w:type="spellEnd"/>
      <w:r w:rsidR="004E5D2D">
        <w:t xml:space="preserve">-Antibiotikums herleiten. Neben diesen Gruppen finden sich zudem drei Aromaten, die über Ether verbunden sind, ein </w:t>
      </w:r>
      <w:proofErr w:type="spellStart"/>
      <w:r w:rsidR="004E5D2D">
        <w:t>Dihy</w:t>
      </w:r>
      <w:r w:rsidR="00FE79AB">
        <w:t>drobenzol</w:t>
      </w:r>
      <w:proofErr w:type="spellEnd"/>
      <w:r w:rsidR="00FE79AB">
        <w:t>- und ein Phenylrest.</w:t>
      </w:r>
      <w:bookmarkStart w:id="19" w:name="_GoBack"/>
      <w:bookmarkEnd w:id="19"/>
    </w:p>
    <w:p w14:paraId="7B7E9F8F" w14:textId="77777777" w:rsidR="001F6796" w:rsidRDefault="001F6796" w:rsidP="001F6796">
      <w:pPr>
        <w:keepNext/>
        <w:jc w:val="center"/>
      </w:pPr>
      <w:r>
        <w:rPr>
          <w:noProof/>
          <w:lang w:eastAsia="de-DE"/>
        </w:rPr>
        <w:drawing>
          <wp:inline distT="0" distB="0" distL="0" distR="0" wp14:anchorId="414EE859" wp14:editId="59228936">
            <wp:extent cx="3846830" cy="3572510"/>
            <wp:effectExtent l="0" t="0" r="127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6830" cy="3572510"/>
                    </a:xfrm>
                    <a:prstGeom prst="rect">
                      <a:avLst/>
                    </a:prstGeom>
                    <a:noFill/>
                  </pic:spPr>
                </pic:pic>
              </a:graphicData>
            </a:graphic>
          </wp:inline>
        </w:drawing>
      </w:r>
    </w:p>
    <w:p w14:paraId="440191D3" w14:textId="5E2F77C3" w:rsidR="001F6796" w:rsidRPr="001F6796" w:rsidRDefault="001F6796" w:rsidP="001F6796">
      <w:pPr>
        <w:pStyle w:val="Beschriftung"/>
      </w:pPr>
      <w:r>
        <w:t xml:space="preserve">Abb. </w:t>
      </w:r>
      <w:fldSimple w:instr=" SEQ Abb. \* ARABIC ">
        <w:r w:rsidR="00FE79AB">
          <w:rPr>
            <w:noProof/>
          </w:rPr>
          <w:t>12</w:t>
        </w:r>
      </w:fldSimple>
      <w:r>
        <w:t>: Vancomycin</w:t>
      </w:r>
    </w:p>
    <w:p w14:paraId="5B346016" w14:textId="68F69CEE" w:rsidR="003611A4" w:rsidRDefault="001F6796" w:rsidP="001F6796">
      <w:pPr>
        <w:pStyle w:val="berschrift2"/>
      </w:pPr>
      <w:bookmarkStart w:id="20" w:name="_Toc118725345"/>
      <w:r>
        <w:t>Wirkungsweise</w:t>
      </w:r>
      <w:bookmarkEnd w:id="20"/>
    </w:p>
    <w:p w14:paraId="57EF5371" w14:textId="53CFDDBF" w:rsidR="001F6796" w:rsidRDefault="008B72A4" w:rsidP="001F6796">
      <w:r>
        <w:t xml:space="preserve">Vancomycin wird </w:t>
      </w:r>
      <w:r w:rsidR="004E5D2D">
        <w:t xml:space="preserve">bei Infektionen mit gram-positive Bakterien eingesetzt. </w:t>
      </w:r>
      <w:r>
        <w:t xml:space="preserve">Diese </w:t>
      </w:r>
      <w:r w:rsidR="004E5D2D">
        <w:t>besitzen</w:t>
      </w:r>
      <w:r>
        <w:t xml:space="preserve"> eine </w:t>
      </w:r>
      <w:proofErr w:type="spellStart"/>
      <w:r>
        <w:t>Peptidoglykanschicht</w:t>
      </w:r>
      <w:proofErr w:type="spellEnd"/>
      <w:r>
        <w:t xml:space="preserve"> als Zellwand, </w:t>
      </w:r>
      <w:r w:rsidR="004E5D2D">
        <w:t>welche</w:t>
      </w:r>
      <w:r>
        <w:t xml:space="preserve"> der Zelle Festigkeit verleiht. </w:t>
      </w:r>
      <w:r w:rsidR="004E5D2D">
        <w:t xml:space="preserve">Ebendiese wird durch die Quervernetzung einzelner Peptidsequenzen (siehe Abb. 13) stabilisiert. </w:t>
      </w:r>
      <w:r w:rsidR="002E6F0D">
        <w:t xml:space="preserve">Vancomycin </w:t>
      </w:r>
      <w:r w:rsidR="004E5D2D">
        <w:t>verhindert</w:t>
      </w:r>
      <w:r w:rsidR="002E6F0D">
        <w:t xml:space="preserve"> die Quervernetzung d</w:t>
      </w:r>
      <w:r w:rsidR="004E5D2D">
        <w:t>ieser</w:t>
      </w:r>
      <w:r w:rsidR="002E6F0D">
        <w:t xml:space="preserve"> Peptidreste. Dies geschieht durch Bildung stabiler Wasserstoffbrückenbindungen</w:t>
      </w:r>
      <w:r w:rsidR="004E5D2D">
        <w:t xml:space="preserve"> zwischen den Peptidgruppen der beiden </w:t>
      </w:r>
      <w:r w:rsidR="002E6F0D">
        <w:t>Moleküle</w:t>
      </w:r>
      <w:r w:rsidR="004E5D2D">
        <w:t>.</w:t>
      </w:r>
      <w:r w:rsidR="008162E9">
        <w:t xml:space="preserve"> </w:t>
      </w:r>
      <w:r w:rsidR="004E5D2D">
        <w:t>Betrachtet man die Partialladungen an einzelnen Atomen des Vancomycin</w:t>
      </w:r>
      <w:r w:rsidR="008162E9">
        <w:t>-M</w:t>
      </w:r>
      <w:r w:rsidR="004E5D2D">
        <w:t>oleküls, so liegen</w:t>
      </w:r>
      <w:r w:rsidR="008E11EA">
        <w:t xml:space="preserve"> </w:t>
      </w:r>
      <w:r w:rsidR="004E5D2D">
        <w:t>partiell positiv geladene Wasserstoffatome vor und zudem partiell negativ geladenen Sauerstoffatome, die stabile Wasserstoffbrückenbindung</w:t>
      </w:r>
      <w:r w:rsidR="008E11EA">
        <w:t>en</w:t>
      </w:r>
      <w:r w:rsidR="004E5D2D">
        <w:t xml:space="preserve"> zwischen de</w:t>
      </w:r>
      <w:r w:rsidR="008162E9">
        <w:t>m</w:t>
      </w:r>
      <w:r w:rsidR="004E5D2D">
        <w:t xml:space="preserve"> Vancomycin</w:t>
      </w:r>
      <w:r w:rsidR="008162E9">
        <w:t xml:space="preserve">-Molekül und </w:t>
      </w:r>
      <w:r w:rsidR="008E11EA">
        <w:t xml:space="preserve">den </w:t>
      </w:r>
      <w:r w:rsidR="008162E9">
        <w:t>Seitenketten der Peptidoglyka</w:t>
      </w:r>
      <w:r w:rsidR="008E11EA">
        <w:t>ne der Zellwand</w:t>
      </w:r>
      <w:r w:rsidR="008162E9">
        <w:t xml:space="preserve"> vermitteln. </w:t>
      </w:r>
      <w:r w:rsidR="000E4297">
        <w:t>Ein Vancomycin</w:t>
      </w:r>
      <w:r w:rsidR="008162E9">
        <w:t>-Molekül</w:t>
      </w:r>
      <w:r w:rsidR="000E4297">
        <w:t xml:space="preserve"> kann somit bis zu vier Wasserstoffbrückenbindungen ausb</w:t>
      </w:r>
      <w:r w:rsidR="008162E9">
        <w:t>ild</w:t>
      </w:r>
      <w:r w:rsidR="000E4297">
        <w:t xml:space="preserve">en. Die Peptidreste </w:t>
      </w:r>
      <w:r w:rsidR="008162E9">
        <w:t>der Zellwand sind dadurch nicht mehr in der Lage</w:t>
      </w:r>
      <w:r w:rsidR="000E4297">
        <w:t xml:space="preserve"> Bindung mit anderen Peptiden </w:t>
      </w:r>
      <w:r w:rsidR="008162E9">
        <w:t xml:space="preserve">der </w:t>
      </w:r>
      <w:proofErr w:type="spellStart"/>
      <w:r w:rsidR="008162E9">
        <w:t>Peptidoglykanschicht</w:t>
      </w:r>
      <w:proofErr w:type="spellEnd"/>
      <w:r w:rsidR="008162E9">
        <w:t xml:space="preserve"> </w:t>
      </w:r>
      <w:r w:rsidR="000E4297">
        <w:t>ein</w:t>
      </w:r>
      <w:r w:rsidR="008162E9">
        <w:t>zu</w:t>
      </w:r>
      <w:r w:rsidR="000E4297">
        <w:t>gehen</w:t>
      </w:r>
      <w:r w:rsidR="008162E9">
        <w:t>, wodurch</w:t>
      </w:r>
      <w:r w:rsidR="000E4297">
        <w:t xml:space="preserve"> die Zellwand </w:t>
      </w:r>
      <w:r w:rsidR="008162E9">
        <w:t xml:space="preserve">destabilisiert wird und letztlich </w:t>
      </w:r>
      <w:r w:rsidR="000E4297">
        <w:t>zerfällt.</w:t>
      </w:r>
    </w:p>
    <w:p w14:paraId="05BF58D0" w14:textId="77777777" w:rsidR="00F517FF" w:rsidRDefault="00F517FF" w:rsidP="00F517FF">
      <w:pPr>
        <w:keepNext/>
        <w:jc w:val="center"/>
      </w:pPr>
      <w:r>
        <w:rPr>
          <w:noProof/>
          <w:lang w:eastAsia="de-DE"/>
        </w:rPr>
        <w:drawing>
          <wp:inline distT="0" distB="0" distL="0" distR="0" wp14:anchorId="6E11EE45" wp14:editId="01BD158A">
            <wp:extent cx="3112477" cy="192691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22781" cy="1933292"/>
                    </a:xfrm>
                    <a:prstGeom prst="rect">
                      <a:avLst/>
                    </a:prstGeom>
                  </pic:spPr>
                </pic:pic>
              </a:graphicData>
            </a:graphic>
          </wp:inline>
        </w:drawing>
      </w:r>
    </w:p>
    <w:p w14:paraId="2122AFAC" w14:textId="71720446" w:rsidR="000E4297" w:rsidRPr="00E70EE2" w:rsidRDefault="00F517FF" w:rsidP="00F517FF">
      <w:pPr>
        <w:pStyle w:val="Beschriftung"/>
        <w:rPr>
          <w:lang w:val="en-US"/>
        </w:rPr>
      </w:pPr>
      <w:r w:rsidRPr="00E70EE2">
        <w:rPr>
          <w:lang w:val="en-US"/>
        </w:rPr>
        <w:t xml:space="preserve">Abb. </w:t>
      </w:r>
      <w:r w:rsidR="00E70EE2">
        <w:fldChar w:fldCharType="begin"/>
      </w:r>
      <w:r w:rsidR="00E70EE2" w:rsidRPr="00E70EE2">
        <w:rPr>
          <w:lang w:val="en-US"/>
        </w:rPr>
        <w:instrText xml:space="preserve"> SEQ Abb. \* ARABIC </w:instrText>
      </w:r>
      <w:r w:rsidR="00E70EE2">
        <w:fldChar w:fldCharType="separate"/>
      </w:r>
      <w:r w:rsidR="00FE79AB">
        <w:rPr>
          <w:noProof/>
          <w:lang w:val="en-US"/>
        </w:rPr>
        <w:t>13</w:t>
      </w:r>
      <w:r w:rsidR="00E70EE2">
        <w:rPr>
          <w:noProof/>
        </w:rPr>
        <w:fldChar w:fldCharType="end"/>
      </w:r>
      <w:r w:rsidRPr="00E70EE2">
        <w:rPr>
          <w:lang w:val="en-US"/>
        </w:rPr>
        <w:t xml:space="preserve">: </w:t>
      </w:r>
      <w:proofErr w:type="spellStart"/>
      <w:r w:rsidRPr="00E70EE2">
        <w:rPr>
          <w:lang w:val="en-US"/>
        </w:rPr>
        <w:t>Peptidrest</w:t>
      </w:r>
      <w:proofErr w:type="spellEnd"/>
      <w:r w:rsidRPr="00E70EE2">
        <w:rPr>
          <w:lang w:val="en-US"/>
        </w:rPr>
        <w:t xml:space="preserve"> Ala-</w:t>
      </w:r>
      <w:proofErr w:type="spellStart"/>
      <w:r w:rsidRPr="00E70EE2">
        <w:rPr>
          <w:lang w:val="en-US"/>
        </w:rPr>
        <w:t>Glu</w:t>
      </w:r>
      <w:proofErr w:type="spellEnd"/>
      <w:r w:rsidRPr="00E70EE2">
        <w:rPr>
          <w:lang w:val="en-US"/>
        </w:rPr>
        <w:t>-Lys-D-Ala-D-Ala</w:t>
      </w:r>
    </w:p>
    <w:p w14:paraId="7B9B8E25" w14:textId="77777777" w:rsidR="00E70EE2" w:rsidRPr="00FE79AB" w:rsidRDefault="00E70EE2">
      <w:pPr>
        <w:spacing w:before="0"/>
        <w:jc w:val="left"/>
        <w:rPr>
          <w:rFonts w:asciiTheme="majorHAnsi" w:eastAsiaTheme="majorEastAsia" w:hAnsiTheme="majorHAnsi" w:cstheme="majorBidi"/>
          <w:b/>
          <w:sz w:val="32"/>
          <w:szCs w:val="32"/>
          <w:lang w:val="en-US"/>
        </w:rPr>
      </w:pPr>
      <w:r w:rsidRPr="00FE79AB">
        <w:rPr>
          <w:lang w:val="en-US"/>
        </w:rPr>
        <w:br w:type="page"/>
      </w:r>
    </w:p>
    <w:p w14:paraId="75FAC4A2" w14:textId="0EAC1B2F" w:rsidR="00BA0010" w:rsidRPr="00BA0010" w:rsidRDefault="00BA0010" w:rsidP="00BA0010">
      <w:pPr>
        <w:pStyle w:val="berschrift1"/>
      </w:pPr>
      <w:bookmarkStart w:id="21" w:name="_Toc118725346"/>
      <w:r w:rsidRPr="00BA0010">
        <w:t>Resistenz</w:t>
      </w:r>
      <w:bookmarkEnd w:id="21"/>
    </w:p>
    <w:p w14:paraId="30566F11" w14:textId="77777777" w:rsidR="00BA0010" w:rsidRPr="00BA0010" w:rsidRDefault="00BA0010" w:rsidP="00BA0010">
      <w:r w:rsidRPr="00BA0010">
        <w:t xml:space="preserve">Eine Bakterien-Resistenz liegt vor, wenn Bakterien in Anwesenheit therapeutisch relevanter Konzentrationen eines Antibiotikums ihre Vermehrung nicht einstellen. Es gibt die natürlichen Resistenzen. Hierbei kann der Wirkungsmechanismus des Antibiotikums auf Grund von natürlichen genetisch fixierten Eigenschaften des Bakteriums nicht wirken. Weiterhin gibt es erworbene Resistenzen, bei denen sich DNA-Elemente, die sich außerhalb des Nukleotids befinden und Informationen über Antibiotika-Resistenzen tragen, auf eine andere Bakterien-Art übertragen. </w:t>
      </w:r>
    </w:p>
    <w:p w14:paraId="7EEFAE85" w14:textId="77777777" w:rsidR="00BA0010" w:rsidRPr="00BA0010" w:rsidRDefault="00BA0010" w:rsidP="00BA0010">
      <w:r w:rsidRPr="00BA0010">
        <w:t xml:space="preserve">Auf Grund dieser Resistenzen bilden sich Resistenz-Mechanismen aus, die auf unterschiedliche </w:t>
      </w:r>
      <w:r w:rsidR="00307F91" w:rsidRPr="00BA0010">
        <w:t>Weise</w:t>
      </w:r>
      <w:r w:rsidRPr="00BA0010">
        <w:t xml:space="preserve"> das Antibiotikum daran hindern zu wirken, z.B. Permeabilitätsbarriere, aktiver Efflux („Pumpen“), Antibiotika abbauende Enzyme oder das Ausbilden von antibiotika-unempfindlicher Strukturen. Um bei Tetracyclinen Resistenz-Bildungen zu vermeiden werden an die nördlichen und westlichen Seiten der Antibiotika unterschiedliche funktionelle Gruppen angehängt.</w:t>
      </w:r>
    </w:p>
    <w:p w14:paraId="4C07323B" w14:textId="77777777" w:rsidR="00BA0010" w:rsidRPr="00BA0010" w:rsidRDefault="00BA0010" w:rsidP="00BA0010">
      <w:pPr>
        <w:pStyle w:val="berschrift1"/>
      </w:pPr>
      <w:bookmarkStart w:id="22" w:name="_Toc118725347"/>
      <w:r w:rsidRPr="00BA0010">
        <w:t>Multi</w:t>
      </w:r>
      <w:r>
        <w:t>-R</w:t>
      </w:r>
      <w:r w:rsidRPr="00BA0010">
        <w:t>esistente Bakterien</w:t>
      </w:r>
      <w:r>
        <w:t>-S</w:t>
      </w:r>
      <w:r w:rsidRPr="00BA0010">
        <w:t>tämme</w:t>
      </w:r>
      <w:bookmarkEnd w:id="22"/>
    </w:p>
    <w:p w14:paraId="4B1EDC79" w14:textId="77777777" w:rsidR="00BA0010" w:rsidRPr="00BA0010" w:rsidRDefault="00BA0010" w:rsidP="00BA0010">
      <w:r>
        <w:rPr>
          <w:rFonts w:cs="Arial"/>
        </w:rPr>
        <w:t>Dadurch dass Bakterien von anderen Bakterien neue Resistenzen erwerben können, kommt es immer häufiger zu so genannten multi-resistenten Bakterien-Stämmen. Diese tauchen oft in den Krankenhäusern auf, wo sich sehr viele Erreger auf engem Raum aufhalten. Viele schon geschwächte Patienten bekommen so zusätzliche Probleme. Es gibt zwar Reserve-Antibiotika, die noch wenige Resistenzen zeigen, aber wie lange noch. Die Entwicklung ganz neuer Antibiotikum-Klassen ist der Pharma-Industrie zu teuer, da man nicht weiß wie lange ein Antibiotikum im Umlauf ist ohne Resistenzen zu zeigen. Überspitzt kann man sagen, dass man sich bald wieder in der Situation vor 1944 befindet, wo die herkömmlichen Medikamente nichts mehr nützen und man gezwungen ist neue Möglichkeiten zu erforschen.</w:t>
      </w:r>
    </w:p>
    <w:p w14:paraId="79FCDC07" w14:textId="0DFDDD65" w:rsidR="00B53D1A" w:rsidRDefault="00B53D1A" w:rsidP="00B53D1A">
      <w:pPr>
        <w:pStyle w:val="Zusammenfassung"/>
      </w:pPr>
      <w:r w:rsidRPr="00B53D1A">
        <w:rPr>
          <w:rStyle w:val="Fett"/>
        </w:rPr>
        <w:t>Zusammenfassung</w:t>
      </w:r>
      <w:r w:rsidR="00BA0010">
        <w:rPr>
          <w:rStyle w:val="Fett"/>
        </w:rPr>
        <w:t xml:space="preserve"> 1</w:t>
      </w:r>
      <w:r w:rsidRPr="00B53D1A">
        <w:t>: Sowohl Sulfonamide als auch Penicilline zeigen eindrucksvoll</w:t>
      </w:r>
      <w:r w:rsidR="00E70EE2">
        <w:t>,</w:t>
      </w:r>
      <w:r w:rsidRPr="00B53D1A">
        <w:t xml:space="preserve"> mit welchen chemischen oder besser strukturellen Tricks und Eigenschaften man chemotherapeutisch wirksam sein kann. Dennoch muss man sich bewusstwerden, dass realistisch betrachtet, die Ära der Sulfonamide schon längst vorbei ist und wenn wir weiterhin so fahrlässig mit dem Gebrauch von Antibiotika umgehen ist es wohl nur noch eine Frage der Zeit, bis wir mit Penicillin unsere Toiletten reinigen. Dennoch stehen wir auch in Zukunft mikrobiellen Bedrohungen nicht komplett gegenüber. Die Wissenschaft schläft nicht. So finden Sulfonamide heute praktisch nur noch in Form von Kombi</w:t>
      </w:r>
      <w:r>
        <w:t>-P</w:t>
      </w:r>
      <w:r w:rsidRPr="00B53D1A">
        <w:t>räparaten Anwendung. Des Weiteren wird ununterbrochen nach neuen Chemotherapeutika gesucht, neue Antibiotika</w:t>
      </w:r>
      <w:r>
        <w:t>-F</w:t>
      </w:r>
      <w:r w:rsidRPr="00B53D1A">
        <w:t>ormen werden im Labor halbsynthetisch mit Hilfe von natürlichen Vorstufen hergestellt. Auch der Aspekt der sog. Synergie</w:t>
      </w:r>
      <w:r>
        <w:t>-E</w:t>
      </w:r>
      <w:r w:rsidRPr="00B53D1A">
        <w:t xml:space="preserve">ffekte spielt eine große Rolle, so werden immer mehr Kombi-Präparate entwickelt, die zusammen mit einem „gewöhnlichen“ β-Lactam-Antibiotikum eine „Leibwächter-Substanz“ in den Körper einschleusen, welche die Penicillinase unschädlich macht. Der zukunftsträchtige Ansatz ist wohl die Abkehr vom traditionellen β-Lactam-Antibiotikum. So stellt das bereits erwähnte </w:t>
      </w:r>
      <w:proofErr w:type="spellStart"/>
      <w:r w:rsidRPr="00B53D1A">
        <w:t>Vancomycin</w:t>
      </w:r>
      <w:proofErr w:type="spellEnd"/>
      <w:r w:rsidRPr="00B53D1A">
        <w:t xml:space="preserve"> einen Vertreter von </w:t>
      </w:r>
      <w:proofErr w:type="spellStart"/>
      <w:r w:rsidRPr="00B53D1A">
        <w:t>Glycopeptid</w:t>
      </w:r>
      <w:proofErr w:type="spellEnd"/>
      <w:r w:rsidR="00E70EE2">
        <w:t>-A</w:t>
      </w:r>
      <w:r w:rsidRPr="00B53D1A">
        <w:t>ntibiotika dar, welche ohne Lactam</w:t>
      </w:r>
      <w:r>
        <w:t>-R</w:t>
      </w:r>
      <w:r w:rsidRPr="00B53D1A">
        <w:t>ing auskommen und somit Penicillinase unempfindlich sind.</w:t>
      </w:r>
    </w:p>
    <w:p w14:paraId="5D9A2661" w14:textId="77777777" w:rsidR="00E70EE2" w:rsidRDefault="00E70EE2">
      <w:pPr>
        <w:spacing w:before="0"/>
        <w:jc w:val="left"/>
        <w:rPr>
          <w:rStyle w:val="Fett"/>
        </w:rPr>
      </w:pPr>
      <w:r>
        <w:rPr>
          <w:rStyle w:val="Fett"/>
        </w:rPr>
        <w:br w:type="page"/>
      </w:r>
    </w:p>
    <w:p w14:paraId="74920315" w14:textId="107E6FF8" w:rsidR="00BA0010" w:rsidRDefault="00BA0010" w:rsidP="00B53D1A">
      <w:pPr>
        <w:pStyle w:val="Zusammenfassung"/>
      </w:pPr>
      <w:r>
        <w:rPr>
          <w:rStyle w:val="Fett"/>
        </w:rPr>
        <w:t>Zusammenfassung 2</w:t>
      </w:r>
      <w:r w:rsidRPr="00BA0010">
        <w:t>:</w:t>
      </w:r>
      <w:r>
        <w:t xml:space="preserve"> </w:t>
      </w:r>
    </w:p>
    <w:p w14:paraId="208D374A" w14:textId="77777777" w:rsidR="00BA0010" w:rsidRPr="00BA0010" w:rsidRDefault="00BA0010" w:rsidP="00BA0010">
      <w:pPr>
        <w:pStyle w:val="Zusammenfassung"/>
        <w:numPr>
          <w:ilvl w:val="2"/>
          <w:numId w:val="15"/>
        </w:numPr>
      </w:pPr>
      <w:r>
        <w:rPr>
          <w:rFonts w:cs="Arial"/>
        </w:rPr>
        <w:t>Antibiotika sind Substanzen, die Bakterien töten oder deren Wachstum hemmen</w:t>
      </w:r>
    </w:p>
    <w:p w14:paraId="648ED2B2" w14:textId="77777777" w:rsidR="00BA0010" w:rsidRPr="00BA0010" w:rsidRDefault="00BA0010" w:rsidP="00BA0010">
      <w:pPr>
        <w:pStyle w:val="Zusammenfassung"/>
        <w:numPr>
          <w:ilvl w:val="2"/>
          <w:numId w:val="15"/>
        </w:numPr>
      </w:pPr>
      <w:r>
        <w:rPr>
          <w:rFonts w:cs="Arial"/>
        </w:rPr>
        <w:t>Bakterien haben natürliche oder erworbene Resistenzen gegen verschiedene Antibiotika-Klassen</w:t>
      </w:r>
    </w:p>
    <w:p w14:paraId="5635D513" w14:textId="01845F22" w:rsidR="00BA0010" w:rsidRPr="003611A4" w:rsidRDefault="00BA0010" w:rsidP="00BA0010">
      <w:pPr>
        <w:pStyle w:val="Zusammenfassung"/>
        <w:numPr>
          <w:ilvl w:val="2"/>
          <w:numId w:val="15"/>
        </w:numPr>
      </w:pPr>
      <w:r>
        <w:rPr>
          <w:rFonts w:cs="Arial"/>
        </w:rPr>
        <w:t>um Resistenz-Mechanismen der Bakterien zu umgehen, muss man neue Antibiotika-Klassen erforschen oder alte Antibiotika-Klassen modifizieren</w:t>
      </w:r>
    </w:p>
    <w:p w14:paraId="4E4242EA" w14:textId="05D747A4" w:rsidR="003611A4" w:rsidRPr="008E11EA" w:rsidRDefault="00D37159" w:rsidP="00D37159">
      <w:pPr>
        <w:pStyle w:val="Zusammenfassung"/>
        <w:numPr>
          <w:ilvl w:val="2"/>
          <w:numId w:val="15"/>
        </w:numPr>
      </w:pPr>
      <w:r w:rsidRPr="008E11EA">
        <w:t>Vancomycin ist ein Antibiotikum dritter Linie, das je nach Erkrankung oral oder intravenös eingenommen werden kann. Trotz seiner Größe des Moleküls, kann es sich durch ein Zuckerrückrad, Aromaten und vielen Peptidbindungen stabilisieren. Vancomycin hemmt die Quervernetzung der Zellwand von gram-positiven Bakterien, indem es den Peptidrest eines Peptidoglykans aufgrund geeigneter Wechselwirkungen umhüllt. So kann d</w:t>
      </w:r>
      <w:r w:rsidR="00213FD4" w:rsidRPr="008E11EA">
        <w:t>er</w:t>
      </w:r>
      <w:r w:rsidRPr="008E11EA">
        <w:t xml:space="preserve"> Peptidrest keine weiteren Bindungen eingehen und die Zelle zerfällt.</w:t>
      </w:r>
    </w:p>
    <w:p w14:paraId="09D3CD3C" w14:textId="2683047E" w:rsidR="003611A4" w:rsidRPr="008E11EA" w:rsidRDefault="003611A4" w:rsidP="003611A4">
      <w:pPr>
        <w:pStyle w:val="EinstiegAbschluss"/>
      </w:pPr>
      <w:r w:rsidRPr="008E11EA">
        <w:rPr>
          <w:b/>
        </w:rPr>
        <w:t>Abschluss 4:</w:t>
      </w:r>
      <w:r w:rsidRPr="008E11EA">
        <w:t xml:space="preserve"> </w:t>
      </w:r>
      <w:r w:rsidR="00D37159" w:rsidRPr="008E11EA">
        <w:t>Krankheitserreger bleiben nicht untätig. Es kann passieren, dass Resistenzen gegen Vancomycin entwickelt werden. Hier sollte dann schleunigst gehandelt und ein neues Antibiotikum verschrieben werden.</w:t>
      </w:r>
    </w:p>
    <w:p w14:paraId="6A3C0EA5" w14:textId="77777777" w:rsidR="00931B30" w:rsidRPr="000E61E0" w:rsidRDefault="00931B30" w:rsidP="00931B30">
      <w:pPr>
        <w:rPr>
          <w:b/>
          <w:bCs/>
        </w:rPr>
      </w:pPr>
      <w:r w:rsidRPr="000E61E0">
        <w:rPr>
          <w:b/>
          <w:bCs/>
        </w:rPr>
        <w:t>Quellen:</w:t>
      </w:r>
    </w:p>
    <w:p w14:paraId="1D0ABA7E" w14:textId="77777777" w:rsidR="00931B30" w:rsidRDefault="00776C60" w:rsidP="00AA5678">
      <w:pPr>
        <w:pStyle w:val="AufzhlungStandard"/>
        <w:numPr>
          <w:ilvl w:val="0"/>
          <w:numId w:val="17"/>
        </w:numPr>
      </w:pPr>
      <w:r>
        <w:t xml:space="preserve">Adam, D., </w:t>
      </w:r>
      <w:proofErr w:type="spellStart"/>
      <w:r>
        <w:t>Doerr</w:t>
      </w:r>
      <w:proofErr w:type="spellEnd"/>
      <w:r>
        <w:t xml:space="preserve">, H., Die </w:t>
      </w:r>
      <w:r w:rsidR="008D7F04">
        <w:t>Infektiologie</w:t>
      </w:r>
      <w:r>
        <w:t>, Springer Verlag, Berlin, 2004, S.205</w:t>
      </w:r>
    </w:p>
    <w:p w14:paraId="3FA1327D" w14:textId="77777777" w:rsidR="00776C60" w:rsidRDefault="00776C60" w:rsidP="00AA5678">
      <w:pPr>
        <w:pStyle w:val="AufzhlungStandard"/>
        <w:numPr>
          <w:ilvl w:val="0"/>
          <w:numId w:val="17"/>
        </w:numPr>
      </w:pPr>
      <w:proofErr w:type="spellStart"/>
      <w:r>
        <w:t>Aktories</w:t>
      </w:r>
      <w:proofErr w:type="spellEnd"/>
      <w:r>
        <w:t xml:space="preserve">, K., Förstermann, </w:t>
      </w:r>
      <w:proofErr w:type="spellStart"/>
      <w:proofErr w:type="gramStart"/>
      <w:r>
        <w:t>U.,Hofmann</w:t>
      </w:r>
      <w:proofErr w:type="spellEnd"/>
      <w:proofErr w:type="gramEnd"/>
      <w:r>
        <w:t xml:space="preserve">, </w:t>
      </w:r>
      <w:proofErr w:type="spellStart"/>
      <w:r>
        <w:t>F.,Starke</w:t>
      </w:r>
      <w:proofErr w:type="spellEnd"/>
      <w:r>
        <w:t>, K., Repetitorium Allgemeine und spezielle Pharmakologie und Toxikologie, Urban &amp; Fischer Verlag/Elsevier GmbH, 2009, S.344f</w:t>
      </w:r>
    </w:p>
    <w:p w14:paraId="261AC086" w14:textId="77777777" w:rsidR="00776C60" w:rsidRDefault="00776C60" w:rsidP="00AA5678">
      <w:pPr>
        <w:pStyle w:val="AufzhlungStandard"/>
        <w:numPr>
          <w:ilvl w:val="0"/>
          <w:numId w:val="17"/>
        </w:numPr>
      </w:pPr>
      <w:proofErr w:type="spellStart"/>
      <w:r>
        <w:t>Cyrys</w:t>
      </w:r>
      <w:proofErr w:type="spellEnd"/>
      <w:r>
        <w:t>, S., Viererband Grundlagenfächer: Kurzlehrbuch zum Gegenstandskatalog 2, Urban &amp; Fischer Verlag/Elsevier GmbH, 2002, S.424</w:t>
      </w:r>
    </w:p>
    <w:p w14:paraId="6B58A9B9" w14:textId="77777777" w:rsidR="00776C60" w:rsidRDefault="00776C60" w:rsidP="00AA5678">
      <w:pPr>
        <w:pStyle w:val="AufzhlungStandard"/>
        <w:numPr>
          <w:ilvl w:val="0"/>
          <w:numId w:val="17"/>
        </w:numPr>
      </w:pPr>
      <w:r>
        <w:t>Fuchs, G., Allgemeine Mikrobiologie, Thieme Verlag, Stuttgart, 2007</w:t>
      </w:r>
    </w:p>
    <w:p w14:paraId="4373FE44" w14:textId="77777777" w:rsidR="00776C60" w:rsidRPr="00776C60" w:rsidRDefault="00776C60" w:rsidP="00AA5678">
      <w:pPr>
        <w:pStyle w:val="AufzhlungStandard"/>
        <w:numPr>
          <w:ilvl w:val="0"/>
          <w:numId w:val="17"/>
        </w:numPr>
      </w:pPr>
      <w:r>
        <w:rPr>
          <w:rFonts w:cs="Arial"/>
        </w:rPr>
        <w:t>Pharm. Unserer Zeit 1979, Heft 8, S. 18</w:t>
      </w:r>
    </w:p>
    <w:p w14:paraId="53EE4B72" w14:textId="77777777" w:rsidR="00776C60" w:rsidRPr="00776C60" w:rsidRDefault="00776C60" w:rsidP="00AA5678">
      <w:pPr>
        <w:pStyle w:val="AufzhlungStandard"/>
        <w:numPr>
          <w:ilvl w:val="0"/>
          <w:numId w:val="17"/>
        </w:numPr>
      </w:pPr>
      <w:r>
        <w:rPr>
          <w:rFonts w:cs="Arial"/>
        </w:rPr>
        <w:t>Spektrum Wiss. 1981, Heft 8, S. 46</w:t>
      </w:r>
    </w:p>
    <w:p w14:paraId="77D13EF6" w14:textId="77777777" w:rsidR="00776C60" w:rsidRPr="00776C60" w:rsidRDefault="00776C60" w:rsidP="00AA5678">
      <w:pPr>
        <w:pStyle w:val="AufzhlungStandard"/>
        <w:numPr>
          <w:ilvl w:val="0"/>
          <w:numId w:val="17"/>
        </w:numPr>
      </w:pPr>
      <w:r>
        <w:rPr>
          <w:rFonts w:cs="Arial"/>
        </w:rPr>
        <w:t>Beyer, Walter, Lehrbuch der organischen Chemie, S. Hirzel Verlag, Stuttgart 1991</w:t>
      </w:r>
    </w:p>
    <w:p w14:paraId="31694872" w14:textId="77777777" w:rsidR="00776C60" w:rsidRPr="00776C60" w:rsidRDefault="00776C60" w:rsidP="00AA5678">
      <w:pPr>
        <w:pStyle w:val="AufzhlungStandard"/>
        <w:numPr>
          <w:ilvl w:val="0"/>
          <w:numId w:val="17"/>
        </w:numPr>
      </w:pPr>
      <w:r>
        <w:rPr>
          <w:rFonts w:cs="Arial"/>
        </w:rPr>
        <w:t>Hof, Medizinische Mikrobiologie, Thieme Verlag, Stuttgart, 2009</w:t>
      </w:r>
    </w:p>
    <w:p w14:paraId="2F0D189A" w14:textId="77777777" w:rsidR="00776C60" w:rsidRPr="00776C60" w:rsidRDefault="00776C60" w:rsidP="00AA5678">
      <w:pPr>
        <w:pStyle w:val="AufzhlungStandard"/>
        <w:numPr>
          <w:ilvl w:val="0"/>
          <w:numId w:val="17"/>
        </w:numPr>
      </w:pPr>
      <w:r>
        <w:rPr>
          <w:rFonts w:cs="Arial"/>
        </w:rPr>
        <w:t>Schlegel, allgemeine Mikrobiologie, Thieme Verlag, New York 1992</w:t>
      </w:r>
    </w:p>
    <w:p w14:paraId="2475A7F6" w14:textId="77777777" w:rsidR="00776C60" w:rsidRPr="00776C60" w:rsidRDefault="00776C60" w:rsidP="00AA5678">
      <w:pPr>
        <w:pStyle w:val="AufzhlungStandard"/>
        <w:numPr>
          <w:ilvl w:val="0"/>
          <w:numId w:val="17"/>
        </w:numPr>
      </w:pPr>
      <w:r>
        <w:rPr>
          <w:rFonts w:cs="Arial"/>
        </w:rPr>
        <w:t>Brock, Mikrobiologie, Spektrum Verlag, Berlin, 2002</w:t>
      </w:r>
    </w:p>
    <w:p w14:paraId="50B93DF1" w14:textId="77777777" w:rsidR="00776C60" w:rsidRDefault="00776C60" w:rsidP="00AA5678">
      <w:pPr>
        <w:pStyle w:val="AufzhlungStandard"/>
        <w:numPr>
          <w:ilvl w:val="0"/>
          <w:numId w:val="17"/>
        </w:numPr>
      </w:pPr>
      <w:proofErr w:type="spellStart"/>
      <w:r>
        <w:t>Lüllmann</w:t>
      </w:r>
      <w:proofErr w:type="spellEnd"/>
      <w:r>
        <w:t>, H., Mohr, K., Wehling, M., Pharmakologie und Toxikologie: Arzneimittelwirkungen verstehen - Medikamente gezielt einsetzen, Thieme Verlag, Stuttgart, 2006, S.432</w:t>
      </w:r>
    </w:p>
    <w:bookmarkStart w:id="23" w:name="_Ref41975458"/>
    <w:p w14:paraId="6D8A1B84" w14:textId="77777777" w:rsidR="00776C60" w:rsidRPr="00776C60" w:rsidRDefault="00265F85" w:rsidP="00AA5678">
      <w:pPr>
        <w:pStyle w:val="AufzhlungStandard"/>
        <w:numPr>
          <w:ilvl w:val="0"/>
          <w:numId w:val="17"/>
        </w:numPr>
      </w:pPr>
      <w:r>
        <w:rPr>
          <w:rFonts w:cs="Arial"/>
        </w:rPr>
        <w:fldChar w:fldCharType="begin"/>
      </w:r>
      <w:r>
        <w:rPr>
          <w:rFonts w:cs="Arial"/>
        </w:rPr>
        <w:instrText xml:space="preserve"> HYPERLINK "https://commons.wikimedia.org/wiki/File:Mureine_de.svg?uselang=de" </w:instrText>
      </w:r>
      <w:r>
        <w:rPr>
          <w:rFonts w:cs="Arial"/>
        </w:rPr>
        <w:fldChar w:fldCharType="separate"/>
      </w:r>
      <w:r w:rsidR="00D86B30" w:rsidRPr="00265F85">
        <w:rPr>
          <w:rStyle w:val="Hyperlink"/>
          <w:rFonts w:cs="Arial"/>
        </w:rPr>
        <w:t>https://commons.wikimedia.org/wiki/File:Mureine_de.svg?uselang=de</w:t>
      </w:r>
      <w:r>
        <w:rPr>
          <w:rFonts w:cs="Arial"/>
        </w:rPr>
        <w:fldChar w:fldCharType="end"/>
      </w:r>
      <w:r w:rsidR="00D86B30">
        <w:rPr>
          <w:rFonts w:cs="Arial"/>
        </w:rPr>
        <w:t>;</w:t>
      </w:r>
      <w:r w:rsidR="00776C60">
        <w:rPr>
          <w:rFonts w:cs="Arial"/>
        </w:rPr>
        <w:t xml:space="preserve">, Lizenz: </w:t>
      </w:r>
      <w:r w:rsidRPr="00265F85">
        <w:t>„Namensnennung – Weitergabe unter gleichen Bedingungen 3.0 nicht portiert“</w:t>
      </w:r>
      <w:r w:rsidR="00776C60">
        <w:rPr>
          <w:rFonts w:cs="Arial"/>
        </w:rPr>
        <w:t>, Autor: Brudersohn</w:t>
      </w:r>
      <w:r>
        <w:rPr>
          <w:rFonts w:cs="Arial"/>
        </w:rPr>
        <w:t>; 02.06.2020</w:t>
      </w:r>
      <w:bookmarkEnd w:id="23"/>
    </w:p>
    <w:bookmarkStart w:id="24" w:name="_Ref41975639"/>
    <w:p w14:paraId="664E9667" w14:textId="77777777" w:rsidR="00776C60" w:rsidRPr="00776C60" w:rsidRDefault="00265F85" w:rsidP="00AA5678">
      <w:pPr>
        <w:pStyle w:val="AufzhlungStandard"/>
        <w:numPr>
          <w:ilvl w:val="0"/>
          <w:numId w:val="17"/>
        </w:numPr>
      </w:pPr>
      <w:r>
        <w:rPr>
          <w:rFonts w:cs="Arial"/>
        </w:rPr>
        <w:fldChar w:fldCharType="begin"/>
      </w:r>
      <w:r>
        <w:rPr>
          <w:rFonts w:cs="Arial"/>
        </w:rPr>
        <w:instrText xml:space="preserve"> HYPERLINK "</w:instrText>
      </w:r>
      <w:r w:rsidRPr="00265F85">
        <w:rPr>
          <w:rFonts w:cs="Arial"/>
        </w:rPr>
        <w:instrText>https://commons.wikimedia.org/wiki/File:Muramin_Peptidoglykan_von_E.coli.jpg?uselang=de</w:instrText>
      </w:r>
      <w:r>
        <w:rPr>
          <w:rFonts w:cs="Arial"/>
        </w:rPr>
        <w:instrText xml:space="preserve">" </w:instrText>
      </w:r>
      <w:r>
        <w:rPr>
          <w:rFonts w:cs="Arial"/>
        </w:rPr>
        <w:fldChar w:fldCharType="separate"/>
      </w:r>
      <w:r w:rsidRPr="000A2EE8">
        <w:rPr>
          <w:rStyle w:val="Hyperlink"/>
          <w:rFonts w:cs="Arial"/>
        </w:rPr>
        <w:t>https://commons.wikimedia.org/wiki/File:Muramin_Peptidoglykan_von_E.coli.jpg?uselang=de</w:t>
      </w:r>
      <w:r>
        <w:rPr>
          <w:rFonts w:cs="Arial"/>
        </w:rPr>
        <w:fldChar w:fldCharType="end"/>
      </w:r>
      <w:r>
        <w:rPr>
          <w:rFonts w:cs="Arial"/>
        </w:rPr>
        <w:t xml:space="preserve">; </w:t>
      </w:r>
      <w:r w:rsidR="00776C60">
        <w:rPr>
          <w:rFonts w:cs="Arial"/>
        </w:rPr>
        <w:t xml:space="preserve">Lizenz: </w:t>
      </w:r>
      <w:r w:rsidRPr="00265F85">
        <w:t>„Namensnennung – Weitergabe unter gleichen Bedingungen 3.0 nicht portiert“</w:t>
      </w:r>
      <w:r w:rsidR="00776C60">
        <w:rPr>
          <w:rFonts w:cs="Arial"/>
        </w:rPr>
        <w:t>, Autor: Brudersohn</w:t>
      </w:r>
      <w:r>
        <w:rPr>
          <w:rFonts w:cs="Arial"/>
        </w:rPr>
        <w:t>, 02.06.2020</w:t>
      </w:r>
      <w:bookmarkEnd w:id="24"/>
    </w:p>
    <w:p w14:paraId="6FECEC92" w14:textId="77777777" w:rsidR="00776C60" w:rsidRPr="00776C60" w:rsidRDefault="00FE79AB" w:rsidP="00AA5678">
      <w:pPr>
        <w:pStyle w:val="AufzhlungStandard"/>
        <w:numPr>
          <w:ilvl w:val="0"/>
          <w:numId w:val="17"/>
        </w:numPr>
      </w:pPr>
      <w:hyperlink r:id="rId23" w:history="1">
        <w:r w:rsidR="00776C60">
          <w:rPr>
            <w:rStyle w:val="Hyperlink"/>
            <w:rFonts w:cs="Arial"/>
          </w:rPr>
          <w:t>http://www.wikipedia.org/wiki/penicillin</w:t>
        </w:r>
      </w:hyperlink>
      <w:r w:rsidR="00776C60">
        <w:rPr>
          <w:rFonts w:cs="Arial"/>
        </w:rPr>
        <w:t xml:space="preserve"> (04.04.2005)</w:t>
      </w:r>
    </w:p>
    <w:bookmarkStart w:id="25" w:name="_Ref41975889"/>
    <w:p w14:paraId="6F3C803E" w14:textId="77777777" w:rsidR="00265F85" w:rsidRPr="00265F85" w:rsidRDefault="00265F85" w:rsidP="00F915BA">
      <w:pPr>
        <w:pStyle w:val="AufzhlungStandard"/>
        <w:numPr>
          <w:ilvl w:val="0"/>
          <w:numId w:val="17"/>
        </w:numPr>
      </w:pPr>
      <w:r w:rsidRPr="00265F85">
        <w:rPr>
          <w:rFonts w:cs="Arial"/>
        </w:rPr>
        <w:fldChar w:fldCharType="begin"/>
      </w:r>
      <w:r w:rsidRPr="00265F85">
        <w:rPr>
          <w:rFonts w:cs="Arial"/>
        </w:rPr>
        <w:instrText xml:space="preserve"> HYPERLINK "https://commons.wikimedia.org/wiki/File:Clytus_arietis02.jpg?uselang=de" </w:instrText>
      </w:r>
      <w:r w:rsidRPr="00265F85">
        <w:rPr>
          <w:rFonts w:cs="Arial"/>
        </w:rPr>
        <w:fldChar w:fldCharType="separate"/>
      </w:r>
      <w:r w:rsidRPr="00265F85">
        <w:rPr>
          <w:rStyle w:val="Hyperlink"/>
          <w:rFonts w:cs="Arial"/>
        </w:rPr>
        <w:t>https://commons.wikimedia.org/wiki/File:Clytus_arietis02.jpg?uselang=de</w:t>
      </w:r>
      <w:r w:rsidRPr="00265F85">
        <w:rPr>
          <w:rFonts w:cs="Arial"/>
        </w:rPr>
        <w:fldChar w:fldCharType="end"/>
      </w:r>
      <w:r w:rsidRPr="00265F85">
        <w:rPr>
          <w:rFonts w:cs="Arial"/>
        </w:rPr>
        <w:t xml:space="preserve">; </w:t>
      </w:r>
      <w:bookmarkEnd w:id="25"/>
      <w:r>
        <w:rPr>
          <w:rFonts w:cs="Arial"/>
        </w:rPr>
        <w:t xml:space="preserve">Urheber: Kurt </w:t>
      </w:r>
      <w:proofErr w:type="spellStart"/>
      <w:r>
        <w:rPr>
          <w:rFonts w:cs="Arial"/>
        </w:rPr>
        <w:t>Kulac</w:t>
      </w:r>
      <w:proofErr w:type="spellEnd"/>
      <w:r>
        <w:rPr>
          <w:rFonts w:cs="Arial"/>
        </w:rPr>
        <w:t xml:space="preserve">, Lizenz: </w:t>
      </w:r>
      <w:r w:rsidRPr="00265F85">
        <w:t>„Namensnennung – Weitergabe unter gleichen Bedingungen 2.5 generisch“</w:t>
      </w:r>
      <w:r>
        <w:t>; 02.06.2020</w:t>
      </w:r>
    </w:p>
    <w:bookmarkStart w:id="26" w:name="_Ref41974738"/>
    <w:p w14:paraId="7F10B73E" w14:textId="77777777" w:rsidR="00776C60" w:rsidRDefault="00776C60" w:rsidP="00AA5678">
      <w:pPr>
        <w:pStyle w:val="AufzhlungStandard"/>
        <w:numPr>
          <w:ilvl w:val="0"/>
          <w:numId w:val="17"/>
        </w:numPr>
      </w:pPr>
      <w:r>
        <w:fldChar w:fldCharType="begin"/>
      </w:r>
      <w:r>
        <w:instrText xml:space="preserve"> HYPERLINK "</w:instrText>
      </w:r>
      <w:r w:rsidRPr="00776C60">
        <w:instrText>https://commons.wikimedia.org/wiki/File:Alexander-fleming.jpg?uselang=de</w:instrText>
      </w:r>
      <w:r>
        <w:instrText xml:space="preserve">" </w:instrText>
      </w:r>
      <w:r>
        <w:fldChar w:fldCharType="separate"/>
      </w:r>
      <w:r w:rsidRPr="009F3FCF">
        <w:rPr>
          <w:rStyle w:val="Hyperlink"/>
        </w:rPr>
        <w:t>https://commons.wikimedia.org/wiki/File:Alexander-fleming.jpg?uselang=de</w:t>
      </w:r>
      <w:r>
        <w:fldChar w:fldCharType="end"/>
      </w:r>
      <w:r>
        <w:t>; Lizenz: gemeinfrei, 02.06.2020</w:t>
      </w:r>
      <w:bookmarkEnd w:id="26"/>
    </w:p>
    <w:p w14:paraId="3F52B4F1" w14:textId="77777777" w:rsidR="00A32A9A" w:rsidRPr="00A32A9A" w:rsidRDefault="00A32A9A" w:rsidP="00DB00F8">
      <w:pPr>
        <w:pStyle w:val="AufzhlungStandard"/>
        <w:numPr>
          <w:ilvl w:val="0"/>
          <w:numId w:val="17"/>
        </w:numPr>
      </w:pPr>
      <w:bookmarkStart w:id="27" w:name="_Ref41978576"/>
      <w:r w:rsidRPr="00DB00F8">
        <w:rPr>
          <w:rFonts w:cs="Arial"/>
        </w:rPr>
        <w:t>Hof, Herbert, Medizinische Mikrobiologie, Georg Thieme Verlag, Stuttgart, 2002 Pharmazie in unserer Zeit, Ausgabe 04, 2005</w:t>
      </w:r>
      <w:bookmarkEnd w:id="27"/>
    </w:p>
    <w:p w14:paraId="62F45F49" w14:textId="77777777" w:rsidR="00A32A9A" w:rsidRPr="00A32A9A" w:rsidRDefault="00FE79AB" w:rsidP="00DB00F8">
      <w:pPr>
        <w:pStyle w:val="AufzhlungStandard"/>
        <w:numPr>
          <w:ilvl w:val="0"/>
          <w:numId w:val="17"/>
        </w:numPr>
      </w:pPr>
      <w:hyperlink r:id="rId24" w:history="1">
        <w:r w:rsidR="00A32A9A">
          <w:rPr>
            <w:rStyle w:val="Hyperlink"/>
            <w:rFonts w:cs="Arial"/>
          </w:rPr>
          <w:t>www.dolacek.de/fleming.htm</w:t>
        </w:r>
      </w:hyperlink>
      <w:r w:rsidR="00A32A9A">
        <w:rPr>
          <w:rFonts w:cs="Arial"/>
        </w:rPr>
        <w:t>, 15.05.06</w:t>
      </w:r>
    </w:p>
    <w:p w14:paraId="53F85646" w14:textId="77777777" w:rsidR="00A32A9A" w:rsidRPr="00A32A9A" w:rsidRDefault="00FE79AB" w:rsidP="00DB00F8">
      <w:pPr>
        <w:pStyle w:val="AufzhlungStandard"/>
        <w:numPr>
          <w:ilvl w:val="0"/>
          <w:numId w:val="17"/>
        </w:numPr>
      </w:pPr>
      <w:hyperlink r:id="rId25" w:history="1">
        <w:r w:rsidR="00A32A9A">
          <w:rPr>
            <w:rStyle w:val="Hyperlink"/>
            <w:rFonts w:cs="Arial"/>
          </w:rPr>
          <w:t>www.rasscass.com</w:t>
        </w:r>
      </w:hyperlink>
      <w:r w:rsidR="00A32A9A">
        <w:rPr>
          <w:rFonts w:cs="Arial"/>
        </w:rPr>
        <w:t>, Suchbegriff: Fleming Alexander.  15.05.06</w:t>
      </w:r>
    </w:p>
    <w:bookmarkStart w:id="28" w:name="_Ref41978780"/>
    <w:p w14:paraId="6B400A45" w14:textId="2297244E" w:rsidR="003611A4" w:rsidRDefault="00A32A9A" w:rsidP="00213FD4">
      <w:pPr>
        <w:pStyle w:val="AufzhlungStandard"/>
        <w:numPr>
          <w:ilvl w:val="0"/>
          <w:numId w:val="17"/>
        </w:numPr>
      </w:pPr>
      <w:r w:rsidRPr="00307F91">
        <w:rPr>
          <w:rStyle w:val="Hyperlink"/>
        </w:rPr>
        <w:fldChar w:fldCharType="begin"/>
      </w:r>
      <w:r w:rsidRPr="00307F91">
        <w:rPr>
          <w:rStyle w:val="Hyperlink"/>
        </w:rPr>
        <w:instrText xml:space="preserve"> HYPERLINK "http://www.riboworld.com/antib/30Santirot.html" </w:instrText>
      </w:r>
      <w:r w:rsidRPr="00307F91">
        <w:rPr>
          <w:rStyle w:val="Hyperlink"/>
        </w:rPr>
        <w:fldChar w:fldCharType="separate"/>
      </w:r>
      <w:r w:rsidRPr="00307F91">
        <w:rPr>
          <w:rStyle w:val="Hyperlink"/>
        </w:rPr>
        <w:t>www.riboworld.com/antib/30Santirot.html</w:t>
      </w:r>
      <w:r w:rsidRPr="00307F91">
        <w:rPr>
          <w:rStyle w:val="Hyperlink"/>
        </w:rPr>
        <w:fldChar w:fldCharType="end"/>
      </w:r>
      <w:r w:rsidRPr="00DB00F8">
        <w:rPr>
          <w:rFonts w:cs="Arial"/>
        </w:rPr>
        <w:t>, 15.05.06, Quelle verschollen 19.12.2016</w:t>
      </w:r>
      <w:bookmarkEnd w:id="28"/>
    </w:p>
    <w:p w14:paraId="6D33D211" w14:textId="77777777" w:rsidR="00213FD4" w:rsidRDefault="00213FD4" w:rsidP="00213FD4">
      <w:pPr>
        <w:pStyle w:val="AufzhlungStandard"/>
        <w:numPr>
          <w:ilvl w:val="0"/>
          <w:numId w:val="17"/>
        </w:numPr>
      </w:pPr>
      <w:r w:rsidRPr="00E70EE2">
        <w:rPr>
          <w:lang w:val="en-US"/>
        </w:rPr>
        <w:t xml:space="preserve">Xu, R., (et. al.): Combinatorial Library Approach for the Identification of Synthetic Receptors Targeting Vancomycin-Resistant Bacteria. </w:t>
      </w:r>
      <w:r w:rsidRPr="00F94AB2">
        <w:t xml:space="preserve">Journal </w:t>
      </w:r>
      <w:proofErr w:type="spellStart"/>
      <w:r w:rsidRPr="00F94AB2">
        <w:t>of</w:t>
      </w:r>
      <w:proofErr w:type="spellEnd"/>
      <w:r w:rsidRPr="00F94AB2">
        <w:t xml:space="preserve"> </w:t>
      </w:r>
      <w:proofErr w:type="spellStart"/>
      <w:r w:rsidRPr="00F94AB2">
        <w:t>the</w:t>
      </w:r>
      <w:proofErr w:type="spellEnd"/>
      <w:r w:rsidRPr="00F94AB2">
        <w:t xml:space="preserve"> American Chemical Society</w:t>
      </w:r>
      <w:r>
        <w:t>, Heft 121, 1999, 4898-4899</w:t>
      </w:r>
    </w:p>
    <w:p w14:paraId="780EC165" w14:textId="77777777" w:rsidR="00213FD4" w:rsidRDefault="00213FD4" w:rsidP="00213FD4">
      <w:pPr>
        <w:pStyle w:val="AufzhlungStandard"/>
        <w:numPr>
          <w:ilvl w:val="0"/>
          <w:numId w:val="17"/>
        </w:numPr>
      </w:pPr>
      <w:r>
        <w:t>Schmuck, C.: Von der molekularen Erkennung zum Design neuer Werkstoffe. Chemie in unserer Zeit, Heft 6, 2001, 356-366</w:t>
      </w:r>
    </w:p>
    <w:p w14:paraId="691E3D32" w14:textId="118A5FFF" w:rsidR="00213FD4" w:rsidRDefault="00FE79AB" w:rsidP="00043204">
      <w:pPr>
        <w:pStyle w:val="AufzhlungStandard"/>
        <w:numPr>
          <w:ilvl w:val="0"/>
          <w:numId w:val="17"/>
        </w:numPr>
      </w:pPr>
      <w:hyperlink r:id="rId26" w:history="1">
        <w:r w:rsidR="00213FD4" w:rsidRPr="00213FD4">
          <w:rPr>
            <w:rStyle w:val="Hyperlink"/>
          </w:rPr>
          <w:t>https://flexikon.doccheck.com/de/Vancomycin</w:t>
        </w:r>
      </w:hyperlink>
      <w:r w:rsidR="00213FD4">
        <w:t>, 12.09.2022</w:t>
      </w:r>
      <w:r w:rsidR="00213FD4" w:rsidRPr="008B1C79">
        <w:t xml:space="preserve">  </w:t>
      </w:r>
    </w:p>
    <w:p w14:paraId="1B587ABD" w14:textId="2AC97262" w:rsidR="00213FD4" w:rsidRPr="00213FD4" w:rsidRDefault="00213FD4" w:rsidP="00E70EE2">
      <w:pPr>
        <w:pStyle w:val="AufzhlungStandard"/>
        <w:numPr>
          <w:ilvl w:val="0"/>
          <w:numId w:val="17"/>
        </w:numPr>
      </w:pPr>
      <w:r w:rsidRPr="00D002BD">
        <w:t>Hubbard</w:t>
      </w:r>
      <w:r>
        <w:t xml:space="preserve">, B., Walsh, C.: </w:t>
      </w:r>
      <w:r w:rsidRPr="00D002BD">
        <w:t>Der Aufbau von Vancomycin: so macht es die Natur</w:t>
      </w:r>
      <w:r>
        <w:t>. Angewandte Chemie, Heft 7, 2003, 752-789</w:t>
      </w:r>
    </w:p>
    <w:sectPr w:rsidR="00213FD4" w:rsidRPr="00213FD4" w:rsidSect="00265F85">
      <w:type w:val="continuous"/>
      <w:pgSz w:w="11906" w:h="16838"/>
      <w:pgMar w:top="851" w:right="1134" w:bottom="1134"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AFBAEA" w14:textId="77777777" w:rsidR="00F5019B" w:rsidRDefault="00F5019B" w:rsidP="005A7DCE">
      <w:pPr>
        <w:spacing w:before="0"/>
      </w:pPr>
      <w:r>
        <w:separator/>
      </w:r>
    </w:p>
  </w:endnote>
  <w:endnote w:type="continuationSeparator" w:id="0">
    <w:p w14:paraId="0CEA2A87" w14:textId="77777777" w:rsidR="00F5019B" w:rsidRDefault="00F5019B" w:rsidP="005A7DC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625137"/>
      <w:docPartObj>
        <w:docPartGallery w:val="Page Numbers (Bottom of Page)"/>
        <w:docPartUnique/>
      </w:docPartObj>
    </w:sdtPr>
    <w:sdtEndPr/>
    <w:sdtContent>
      <w:p w14:paraId="2C004F7F" w14:textId="77777777" w:rsidR="005A7DCE" w:rsidRDefault="005A7DCE">
        <w:pPr>
          <w:pStyle w:val="Fuzeile"/>
          <w:jc w:val="center"/>
        </w:pPr>
        <w:r>
          <w:rPr>
            <w:noProof/>
            <w:lang w:eastAsia="de-DE"/>
          </w:rPr>
          <mc:AlternateContent>
            <mc:Choice Requires="wps">
              <w:drawing>
                <wp:inline distT="0" distB="0" distL="0" distR="0" wp14:anchorId="301CEE7E" wp14:editId="60F61583">
                  <wp:extent cx="5467350" cy="45085"/>
                  <wp:effectExtent l="9525" t="9525" r="0" b="2540"/>
                  <wp:docPr id="1"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D944D0B"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dOPgIAAGYEAAAOAAAAZHJzL2Uyb0RvYy54bWysVE1vGyEQvVfqf0Dcm7VTO0lXWUeRLbeV&#10;0jZS2twxC7uoLEMH7HX86zOwW8f9OFXdA2Jg5vF4b9jrm31n2U5hMOAqPj2bcKachNq4puLfvq7f&#10;XHEWonC1sOBUxZ9U4DeL16+ue1+qc2jB1goZgbhQ9r7ibYy+LIogW9WJcAZeOdrUgJ2IFGJT1Ch6&#10;Qu9scT6ZXBQ9YO0RpAqBVlfDJl9kfK2VjF+0DioyW3HiFvOIedyksVhci7JB4VsjRxriH1h0wjg6&#10;9Ai1ElGwLZo/oDojEQLoeCahK0BrI1W+A91mOvntNg+t8CrfhcQJ/ihT+H+w8vPuHpmpyTvOnOjI&#10;orXdhlAbQap0XckeFR56ZZqtaxjl1CpI0u/ONG1kLaA5gIvCJiF7H0rCe/D3mKQI/g7k98AcLFvh&#10;GnWLCH2rRE30pym/+KUgBYFK2ab/BDXxENsIWdO9xo5pa/xjKkzQpBvbZxOfjiaqfWSSFuezi8u3&#10;c/Ja0t5sPrma57NEmWBSsccQ3yvoWJpUXFvoiSDGlZImtXE+QezuQkwcX/JzrYhxbawda238AHjI&#10;BbpZWszXxmZDU7YTqeXyNxI4pmz+mrvO35g7pqTjxyMTtnVpdJAoDOTSStYxSTdYsIH6iWREGJqd&#10;HidNyKkDZz01esXDj61AxZn96MiKd9PZLL2MHMzml+cU4OnO5nRHOElQFY+cDdNlHF7T1mNqiZ8O&#10;Obgl+7TJGiZrB1YjWWrmLO348NJrOY1z1svvYfEMAAD//wMAUEsDBBQABgAIAAAAIQAxoOoG2QAA&#10;AAMBAAAPAAAAZHJzL2Rvd25yZXYueG1sTI9BS8QwEIXvgv8hjODNTbvgWmrTRRb1KNoVvKbN2Ha3&#10;mYQm26399Y5e9PLg8Yb3vim2sx3EhGPoHSlIVwkIpMaZnloF7/unmwxEiJqMHhyhgi8MsC0vLwqd&#10;G3emN5yq2AouoZBrBV2MPpcyNB1aHVbOI3H26UarI9uxlWbUZy63g1wnyUZa3RMvdNrjrsPmWJ2s&#10;gn63VM/Lknn7+rj28fbwUk8fqNT11fxwDyLiHP+O4Qef0aFkptqdyAQxKOBH4q9ylm1StrWCuxRk&#10;Wcj/7OU3AAAA//8DAFBLAQItABQABgAIAAAAIQC2gziS/gAAAOEBAAATAAAAAAAAAAAAAAAAAAAA&#10;AABbQ29udGVudF9UeXBlc10ueG1sUEsBAi0AFAAGAAgAAAAhADj9If/WAAAAlAEAAAsAAAAAAAAA&#10;AAAAAAAALwEAAF9yZWxzLy5yZWxzUEsBAi0AFAAGAAgAAAAhAMOVZ04+AgAAZgQAAA4AAAAAAAAA&#10;AAAAAAAALgIAAGRycy9lMm9Eb2MueG1sUEsBAi0AFAAGAAgAAAAhADGg6gbZAAAAAwEAAA8AAAAA&#10;AAAAAAAAAAAAmAQAAGRycy9kb3ducmV2LnhtbFBLBQYAAAAABAAEAPMAAACeBQAAAAA=&#10;" fillcolor="black" stroked="f">
                  <v:fill r:id="rId1" o:title="" type="pattern"/>
                  <w10:anchorlock/>
                </v:shape>
              </w:pict>
            </mc:Fallback>
          </mc:AlternateContent>
        </w:r>
      </w:p>
      <w:p w14:paraId="22F695BA" w14:textId="4D788680" w:rsidR="005A7DCE" w:rsidRDefault="005A7DCE">
        <w:pPr>
          <w:pStyle w:val="Fuzeile"/>
          <w:jc w:val="center"/>
        </w:pPr>
        <w:r>
          <w:fldChar w:fldCharType="begin"/>
        </w:r>
        <w:r>
          <w:instrText>PAGE    \* MERGEFORMAT</w:instrText>
        </w:r>
        <w:r>
          <w:fldChar w:fldCharType="separate"/>
        </w:r>
        <w:r w:rsidR="00FE79AB">
          <w:rPr>
            <w:noProof/>
          </w:rPr>
          <w:t>13</w:t>
        </w:r>
        <w:r>
          <w:fldChar w:fldCharType="end"/>
        </w:r>
      </w:p>
    </w:sdtContent>
  </w:sdt>
  <w:p w14:paraId="68DACB32" w14:textId="77777777" w:rsidR="005A7DCE" w:rsidRDefault="005A7DCE">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0F6AB4" w14:textId="77777777" w:rsidR="00F5019B" w:rsidRDefault="00F5019B" w:rsidP="005A7DCE">
      <w:pPr>
        <w:spacing w:before="0"/>
      </w:pPr>
      <w:r>
        <w:separator/>
      </w:r>
    </w:p>
  </w:footnote>
  <w:footnote w:type="continuationSeparator" w:id="0">
    <w:p w14:paraId="38385EAE" w14:textId="77777777" w:rsidR="00F5019B" w:rsidRDefault="00F5019B" w:rsidP="005A7DCE">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715BF"/>
    <w:multiLevelType w:val="multilevel"/>
    <w:tmpl w:val="89E6B4B2"/>
    <w:lvl w:ilvl="0">
      <w:start w:val="1"/>
      <w:numFmt w:val="decimal"/>
      <w:pStyle w:val="AufzhlungStandard"/>
      <w:lvlText w:val="%1."/>
      <w:lvlJc w:val="left"/>
      <w:pPr>
        <w:ind w:left="454" w:hanging="454"/>
      </w:pPr>
      <w:rPr>
        <w:rFonts w:hint="default"/>
      </w:rPr>
    </w:lvl>
    <w:lvl w:ilvl="1">
      <w:start w:val="1"/>
      <w:numFmt w:val="bullet"/>
      <w:lvlText w:val=""/>
      <w:lvlJc w:val="left"/>
      <w:pPr>
        <w:ind w:left="454" w:hanging="454"/>
      </w:pPr>
      <w:rPr>
        <w:rFonts w:ascii="Symbol" w:hAnsi="Symbol" w:hint="default"/>
      </w:rPr>
    </w:lvl>
    <w:lvl w:ilvl="2">
      <w:start w:val="1"/>
      <w:numFmt w:val="lowerLetter"/>
      <w:lvlText w:val="%3)"/>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 w15:restartNumberingAfterBreak="0">
    <w:nsid w:val="0B415FAC"/>
    <w:multiLevelType w:val="hybridMultilevel"/>
    <w:tmpl w:val="AE464754"/>
    <w:lvl w:ilvl="0" w:tplc="EF8C60CA">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4C0B18"/>
    <w:multiLevelType w:val="multilevel"/>
    <w:tmpl w:val="1DEADF9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 w15:restartNumberingAfterBreak="0">
    <w:nsid w:val="0E04651B"/>
    <w:multiLevelType w:val="multilevel"/>
    <w:tmpl w:val="8B966944"/>
    <w:lvl w:ilvl="0">
      <w:start w:val="1"/>
      <w:numFmt w:val="none"/>
      <w:pStyle w:val="EinstiegAbschluss"/>
      <w:lvlText w:val=""/>
      <w:lvlJc w:val="left"/>
      <w:pPr>
        <w:ind w:left="0" w:firstLine="0"/>
      </w:pPr>
      <w:rPr>
        <w:rFonts w:hint="default"/>
      </w:rPr>
    </w:lvl>
    <w:lvl w:ilvl="1">
      <w:start w:val="1"/>
      <w:numFmt w:val="ordinal"/>
      <w:lvlText w:val="%2"/>
      <w:lvlJc w:val="left"/>
      <w:pPr>
        <w:ind w:left="567" w:hanging="283"/>
      </w:pPr>
      <w:rPr>
        <w:rFonts w:hint="default"/>
      </w:rPr>
    </w:lvl>
    <w:lvl w:ilvl="2">
      <w:start w:val="1"/>
      <w:numFmt w:val="bullet"/>
      <w:lvlText w:val=""/>
      <w:lvlJc w:val="left"/>
      <w:pPr>
        <w:ind w:left="567" w:hanging="283"/>
      </w:pPr>
      <w:rPr>
        <w:rFonts w:ascii="Symbol" w:hAnsi="Symbol" w:hint="default"/>
      </w:rPr>
    </w:lvl>
    <w:lvl w:ilvl="3">
      <w:start w:val="1"/>
      <w:numFmt w:val="lowerLetter"/>
      <w:lvlText w:val="%4)"/>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4" w15:restartNumberingAfterBreak="0">
    <w:nsid w:val="2A827600"/>
    <w:multiLevelType w:val="hybridMultilevel"/>
    <w:tmpl w:val="16BA62B8"/>
    <w:lvl w:ilvl="0" w:tplc="FB64F65C">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27113C"/>
    <w:multiLevelType w:val="multilevel"/>
    <w:tmpl w:val="58845C9E"/>
    <w:lvl w:ilvl="0">
      <w:start w:val="1"/>
      <w:numFmt w:val="none"/>
      <w:pStyle w:val="Blau"/>
      <w:lvlText w:val=""/>
      <w:lvlJc w:val="left"/>
      <w:pPr>
        <w:ind w:left="0" w:firstLine="0"/>
      </w:pPr>
      <w:rPr>
        <w:rFonts w:hint="default"/>
      </w:rPr>
    </w:lvl>
    <w:lvl w:ilvl="1">
      <w:start w:val="1"/>
      <w:numFmt w:val="bullet"/>
      <w:lvlText w:val=""/>
      <w:lvlJc w:val="left"/>
      <w:pPr>
        <w:ind w:left="680" w:hanging="396"/>
      </w:pPr>
      <w:rPr>
        <w:rFonts w:ascii="Symbol" w:hAnsi="Symbol" w:hint="default"/>
      </w:rPr>
    </w:lvl>
    <w:lvl w:ilvl="2">
      <w:start w:val="1"/>
      <w:numFmt w:val="ordinal"/>
      <w:lvlText w:val="%3"/>
      <w:lvlJc w:val="left"/>
      <w:pPr>
        <w:ind w:left="680" w:hanging="396"/>
      </w:pPr>
      <w:rPr>
        <w:rFonts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6" w15:restartNumberingAfterBreak="0">
    <w:nsid w:val="30A32BA8"/>
    <w:multiLevelType w:val="hybridMultilevel"/>
    <w:tmpl w:val="18B429FA"/>
    <w:lvl w:ilvl="0" w:tplc="FB64F65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1276AE2"/>
    <w:multiLevelType w:val="multilevel"/>
    <w:tmpl w:val="A972170A"/>
    <w:lvl w:ilvl="0">
      <w:start w:val="1"/>
      <w:numFmt w:val="none"/>
      <w:pStyle w:val="Rot"/>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9"/>
      <w:lvlJc w:val="left"/>
      <w:pPr>
        <w:ind w:left="680" w:hanging="396"/>
      </w:pPr>
      <w:rPr>
        <w:rFonts w:hint="default"/>
      </w:rPr>
    </w:lvl>
  </w:abstractNum>
  <w:abstractNum w:abstractNumId="8" w15:restartNumberingAfterBreak="0">
    <w:nsid w:val="348E6D44"/>
    <w:multiLevelType w:val="hybridMultilevel"/>
    <w:tmpl w:val="A192C752"/>
    <w:lvl w:ilvl="0" w:tplc="4A308CF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AD77D36"/>
    <w:multiLevelType w:val="multilevel"/>
    <w:tmpl w:val="57C0C8D6"/>
    <w:lvl w:ilvl="0">
      <w:start w:val="1"/>
      <w:numFmt w:val="bullet"/>
      <w:pStyle w:val="Liste1Aufzhlung"/>
      <w:lvlText w:val=""/>
      <w:lvlJc w:val="left"/>
      <w:pPr>
        <w:ind w:left="680" w:hanging="396"/>
      </w:pPr>
      <w:rPr>
        <w:rFonts w:ascii="Symbol" w:hAnsi="Symbol" w:hint="default"/>
      </w:rPr>
    </w:lvl>
    <w:lvl w:ilvl="1">
      <w:start w:val="1"/>
      <w:numFmt w:val="ordinal"/>
      <w:lvlText w:val="%2"/>
      <w:lvlJc w:val="left"/>
      <w:pPr>
        <w:ind w:left="680" w:hanging="396"/>
      </w:pPr>
      <w:rPr>
        <w:rFonts w:hint="default"/>
      </w:rPr>
    </w:lvl>
    <w:lvl w:ilvl="2">
      <w:start w:val="1"/>
      <w:numFmt w:val="lowerLetter"/>
      <w:lvlText w:val="%3)"/>
      <w:lvlJc w:val="left"/>
      <w:pPr>
        <w:ind w:left="680" w:hanging="396"/>
      </w:pPr>
      <w:rPr>
        <w:rFonts w:hint="default"/>
      </w:rPr>
    </w:lvl>
    <w:lvl w:ilvl="3">
      <w:start w:val="1"/>
      <w:numFmt w:val="none"/>
      <w:lvlText w:val=""/>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10" w15:restartNumberingAfterBreak="0">
    <w:nsid w:val="52623FBA"/>
    <w:multiLevelType w:val="hybridMultilevel"/>
    <w:tmpl w:val="D5906CB8"/>
    <w:lvl w:ilvl="0" w:tplc="1B783BC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EF62EB"/>
    <w:multiLevelType w:val="multilevel"/>
    <w:tmpl w:val="3D08C364"/>
    <w:lvl w:ilvl="0">
      <w:start w:val="1"/>
      <w:numFmt w:val="none"/>
      <w:pStyle w:val="Grn"/>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12" w15:restartNumberingAfterBreak="0">
    <w:nsid w:val="76834193"/>
    <w:multiLevelType w:val="hybridMultilevel"/>
    <w:tmpl w:val="DD3826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99D5F64"/>
    <w:multiLevelType w:val="multilevel"/>
    <w:tmpl w:val="468E0BF4"/>
    <w:lvl w:ilvl="0">
      <w:start w:val="1"/>
      <w:numFmt w:val="none"/>
      <w:pStyle w:val="Zusammenfassung"/>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num w:numId="1">
    <w:abstractNumId w:val="12"/>
  </w:num>
  <w:num w:numId="2">
    <w:abstractNumId w:val="2"/>
  </w:num>
  <w:num w:numId="3">
    <w:abstractNumId w:val="1"/>
  </w:num>
  <w:num w:numId="4">
    <w:abstractNumId w:val="3"/>
  </w:num>
  <w:num w:numId="5">
    <w:abstractNumId w:val="3"/>
    <w:lvlOverride w:ilvl="0">
      <w:lvl w:ilvl="0">
        <w:start w:val="1"/>
        <w:numFmt w:val="none"/>
        <w:pStyle w:val="EinstiegAbschluss"/>
        <w:lvlText w:val=""/>
        <w:lvlJc w:val="left"/>
        <w:pPr>
          <w:tabs>
            <w:tab w:val="num" w:pos="284"/>
          </w:tabs>
          <w:ind w:left="0" w:firstLine="0"/>
        </w:pPr>
        <w:rPr>
          <w:rFonts w:hint="default"/>
        </w:rPr>
      </w:lvl>
    </w:lvlOverride>
    <w:lvlOverride w:ilvl="1">
      <w:lvl w:ilvl="1">
        <w:start w:val="1"/>
        <w:numFmt w:val="ordinal"/>
        <w:lvlText w:val="%2"/>
        <w:lvlJc w:val="left"/>
        <w:pPr>
          <w:tabs>
            <w:tab w:val="num" w:pos="284"/>
          </w:tabs>
          <w:ind w:left="680" w:hanging="396"/>
        </w:pPr>
        <w:rPr>
          <w:rFonts w:hint="default"/>
        </w:rPr>
      </w:lvl>
    </w:lvlOverride>
    <w:lvlOverride w:ilvl="2">
      <w:lvl w:ilvl="2">
        <w:start w:val="1"/>
        <w:numFmt w:val="bullet"/>
        <w:lvlText w:val=""/>
        <w:lvlJc w:val="left"/>
        <w:pPr>
          <w:tabs>
            <w:tab w:val="num" w:pos="284"/>
          </w:tabs>
          <w:ind w:left="680" w:hanging="396"/>
        </w:pPr>
        <w:rPr>
          <w:rFonts w:ascii="Symbol" w:hAnsi="Symbol" w:hint="default"/>
        </w:rPr>
      </w:lvl>
    </w:lvlOverride>
    <w:lvlOverride w:ilvl="3">
      <w:lvl w:ilvl="3">
        <w:start w:val="1"/>
        <w:numFmt w:val="lowerLetter"/>
        <w:lvlText w:val="%4)"/>
        <w:lvlJc w:val="left"/>
        <w:pPr>
          <w:tabs>
            <w:tab w:val="num" w:pos="284"/>
          </w:tabs>
          <w:ind w:left="680" w:hanging="396"/>
        </w:pPr>
        <w:rPr>
          <w:rFonts w:hint="default"/>
        </w:rPr>
      </w:lvl>
    </w:lvlOverride>
    <w:lvlOverride w:ilvl="4">
      <w:lvl w:ilvl="4">
        <w:start w:val="1"/>
        <w:numFmt w:val="none"/>
        <w:lvlText w:val=""/>
        <w:lvlJc w:val="left"/>
        <w:pPr>
          <w:tabs>
            <w:tab w:val="num" w:pos="284"/>
          </w:tabs>
          <w:ind w:left="680" w:hanging="396"/>
        </w:pPr>
        <w:rPr>
          <w:rFonts w:hint="default"/>
        </w:rPr>
      </w:lvl>
    </w:lvlOverride>
    <w:lvlOverride w:ilvl="5">
      <w:lvl w:ilvl="5">
        <w:start w:val="1"/>
        <w:numFmt w:val="none"/>
        <w:lvlText w:val=""/>
        <w:lvlJc w:val="left"/>
        <w:pPr>
          <w:tabs>
            <w:tab w:val="num" w:pos="284"/>
          </w:tabs>
          <w:ind w:left="680" w:hanging="396"/>
        </w:pPr>
        <w:rPr>
          <w:rFonts w:hint="default"/>
        </w:rPr>
      </w:lvl>
    </w:lvlOverride>
    <w:lvlOverride w:ilvl="6">
      <w:lvl w:ilvl="6">
        <w:start w:val="1"/>
        <w:numFmt w:val="none"/>
        <w:lvlText w:val=""/>
        <w:lvlJc w:val="left"/>
        <w:pPr>
          <w:tabs>
            <w:tab w:val="num" w:pos="284"/>
          </w:tabs>
          <w:ind w:left="680" w:hanging="396"/>
        </w:pPr>
        <w:rPr>
          <w:rFonts w:hint="default"/>
        </w:rPr>
      </w:lvl>
    </w:lvlOverride>
    <w:lvlOverride w:ilvl="7">
      <w:lvl w:ilvl="7">
        <w:start w:val="1"/>
        <w:numFmt w:val="none"/>
        <w:lvlText w:val=""/>
        <w:lvlJc w:val="left"/>
        <w:pPr>
          <w:tabs>
            <w:tab w:val="num" w:pos="284"/>
          </w:tabs>
          <w:ind w:left="680" w:hanging="396"/>
        </w:pPr>
        <w:rPr>
          <w:rFonts w:hint="default"/>
        </w:rPr>
      </w:lvl>
    </w:lvlOverride>
    <w:lvlOverride w:ilvl="8">
      <w:lvl w:ilvl="8">
        <w:start w:val="1"/>
        <w:numFmt w:val="none"/>
        <w:lvlText w:val=""/>
        <w:lvlJc w:val="left"/>
        <w:pPr>
          <w:tabs>
            <w:tab w:val="num" w:pos="284"/>
          </w:tabs>
          <w:ind w:left="680" w:hanging="396"/>
        </w:pPr>
        <w:rPr>
          <w:rFonts w:hint="default"/>
        </w:rPr>
      </w:lvl>
    </w:lvlOverride>
  </w:num>
  <w:num w:numId="6">
    <w:abstractNumId w:val="10"/>
  </w:num>
  <w:num w:numId="7">
    <w:abstractNumId w:val="5"/>
  </w:num>
  <w:num w:numId="8">
    <w:abstractNumId w:val="11"/>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9"/>
  </w:num>
  <w:num w:numId="12">
    <w:abstractNumId w:val="9"/>
  </w:num>
  <w:num w:numId="13">
    <w:abstractNumId w:val="8"/>
  </w:num>
  <w:num w:numId="14">
    <w:abstractNumId w:val="0"/>
  </w:num>
  <w:num w:numId="15">
    <w:abstractNumId w:val="13"/>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73B"/>
    <w:rsid w:val="000256A8"/>
    <w:rsid w:val="00045EDE"/>
    <w:rsid w:val="000712A2"/>
    <w:rsid w:val="00074491"/>
    <w:rsid w:val="000B1C78"/>
    <w:rsid w:val="000D4A1C"/>
    <w:rsid w:val="000E4297"/>
    <w:rsid w:val="000E61E0"/>
    <w:rsid w:val="001948DA"/>
    <w:rsid w:val="001B7F7F"/>
    <w:rsid w:val="001D6942"/>
    <w:rsid w:val="001F6796"/>
    <w:rsid w:val="002005EF"/>
    <w:rsid w:val="00213FD4"/>
    <w:rsid w:val="00265F85"/>
    <w:rsid w:val="002A6644"/>
    <w:rsid w:val="002E6F0D"/>
    <w:rsid w:val="00307F91"/>
    <w:rsid w:val="0031098E"/>
    <w:rsid w:val="0033663A"/>
    <w:rsid w:val="0036111E"/>
    <w:rsid w:val="003611A4"/>
    <w:rsid w:val="003A67BD"/>
    <w:rsid w:val="004549F3"/>
    <w:rsid w:val="004D0FAE"/>
    <w:rsid w:val="004E5D2D"/>
    <w:rsid w:val="00516670"/>
    <w:rsid w:val="005633FE"/>
    <w:rsid w:val="0058690D"/>
    <w:rsid w:val="005A7DCE"/>
    <w:rsid w:val="005C44D8"/>
    <w:rsid w:val="005F162C"/>
    <w:rsid w:val="006451A5"/>
    <w:rsid w:val="006C46BC"/>
    <w:rsid w:val="006F6C4D"/>
    <w:rsid w:val="007161D1"/>
    <w:rsid w:val="00742526"/>
    <w:rsid w:val="00776C60"/>
    <w:rsid w:val="00783295"/>
    <w:rsid w:val="007B2C80"/>
    <w:rsid w:val="007F18E1"/>
    <w:rsid w:val="007F6723"/>
    <w:rsid w:val="008117E4"/>
    <w:rsid w:val="008162E9"/>
    <w:rsid w:val="00825BFE"/>
    <w:rsid w:val="00850560"/>
    <w:rsid w:val="00881DE0"/>
    <w:rsid w:val="00883728"/>
    <w:rsid w:val="008A524D"/>
    <w:rsid w:val="008B72A4"/>
    <w:rsid w:val="008D7F04"/>
    <w:rsid w:val="008E11EA"/>
    <w:rsid w:val="00931B30"/>
    <w:rsid w:val="00945210"/>
    <w:rsid w:val="00945ED7"/>
    <w:rsid w:val="009710A6"/>
    <w:rsid w:val="009F73E8"/>
    <w:rsid w:val="00A21130"/>
    <w:rsid w:val="00A24879"/>
    <w:rsid w:val="00A32A9A"/>
    <w:rsid w:val="00A5383F"/>
    <w:rsid w:val="00AA5678"/>
    <w:rsid w:val="00AA5D66"/>
    <w:rsid w:val="00AB7E4B"/>
    <w:rsid w:val="00AE53F0"/>
    <w:rsid w:val="00AF7672"/>
    <w:rsid w:val="00B53D1A"/>
    <w:rsid w:val="00B81723"/>
    <w:rsid w:val="00BA0010"/>
    <w:rsid w:val="00BC35BA"/>
    <w:rsid w:val="00BC41E2"/>
    <w:rsid w:val="00BC721E"/>
    <w:rsid w:val="00C077C9"/>
    <w:rsid w:val="00C54085"/>
    <w:rsid w:val="00C543F8"/>
    <w:rsid w:val="00C86A7D"/>
    <w:rsid w:val="00CF3CD2"/>
    <w:rsid w:val="00D25117"/>
    <w:rsid w:val="00D37159"/>
    <w:rsid w:val="00D67F84"/>
    <w:rsid w:val="00D86B30"/>
    <w:rsid w:val="00D97908"/>
    <w:rsid w:val="00DB00F8"/>
    <w:rsid w:val="00DC5CD9"/>
    <w:rsid w:val="00E14DE1"/>
    <w:rsid w:val="00E20AF3"/>
    <w:rsid w:val="00E54A99"/>
    <w:rsid w:val="00E70EE2"/>
    <w:rsid w:val="00E8473B"/>
    <w:rsid w:val="00F5019B"/>
    <w:rsid w:val="00F517FF"/>
    <w:rsid w:val="00F76D18"/>
    <w:rsid w:val="00FD7888"/>
    <w:rsid w:val="00FE79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A12D6F"/>
  <w15:chartTrackingRefBased/>
  <w15:docId w15:val="{0EC91B84-02CB-4D77-A550-2D5564933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A524D"/>
    <w:pPr>
      <w:spacing w:before="120"/>
      <w:jc w:val="both"/>
    </w:pPr>
  </w:style>
  <w:style w:type="paragraph" w:styleId="berschrift1">
    <w:name w:val="heading 1"/>
    <w:basedOn w:val="Standard"/>
    <w:next w:val="Standard"/>
    <w:link w:val="berschrift1Zchn"/>
    <w:uiPriority w:val="9"/>
    <w:qFormat/>
    <w:rsid w:val="00FD7888"/>
    <w:pPr>
      <w:keepNext/>
      <w:keepLines/>
      <w:numPr>
        <w:numId w:val="2"/>
      </w:numPr>
      <w:spacing w:before="240"/>
      <w:ind w:left="709" w:hanging="709"/>
      <w:jc w:val="left"/>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uiPriority w:val="9"/>
    <w:unhideWhenUsed/>
    <w:qFormat/>
    <w:rsid w:val="00FD7888"/>
    <w:pPr>
      <w:keepNext/>
      <w:keepLines/>
      <w:numPr>
        <w:ilvl w:val="1"/>
        <w:numId w:val="2"/>
      </w:numPr>
      <w:spacing w:before="240"/>
      <w:ind w:left="851" w:hanging="851"/>
      <w:jc w:val="left"/>
      <w:outlineLvl w:val="1"/>
    </w:pPr>
    <w:rPr>
      <w:rFonts w:asciiTheme="majorHAnsi" w:eastAsiaTheme="majorEastAsia" w:hAnsiTheme="majorHAnsi" w:cstheme="majorBidi"/>
      <w:b/>
      <w:color w:val="000000" w:themeColor="text1"/>
      <w:sz w:val="28"/>
      <w:szCs w:val="26"/>
    </w:rPr>
  </w:style>
  <w:style w:type="paragraph" w:styleId="berschrift3">
    <w:name w:val="heading 3"/>
    <w:basedOn w:val="Standard"/>
    <w:next w:val="Standard"/>
    <w:link w:val="berschrift3Zchn"/>
    <w:uiPriority w:val="9"/>
    <w:unhideWhenUsed/>
    <w:qFormat/>
    <w:rsid w:val="00FD7888"/>
    <w:pPr>
      <w:keepNext/>
      <w:keepLines/>
      <w:numPr>
        <w:ilvl w:val="2"/>
        <w:numId w:val="2"/>
      </w:numPr>
      <w:spacing w:before="240"/>
      <w:ind w:left="992" w:hanging="992"/>
      <w:jc w:val="left"/>
      <w:outlineLvl w:val="2"/>
    </w:pPr>
    <w:rPr>
      <w:rFonts w:asciiTheme="majorHAnsi" w:eastAsiaTheme="majorEastAsia" w:hAnsiTheme="majorHAnsi" w:cstheme="majorBidi"/>
      <w:b/>
      <w:szCs w:val="28"/>
    </w:rPr>
  </w:style>
  <w:style w:type="paragraph" w:styleId="berschrift4">
    <w:name w:val="heading 4"/>
    <w:basedOn w:val="Standard"/>
    <w:next w:val="Standard"/>
    <w:link w:val="berschrift4Zchn"/>
    <w:uiPriority w:val="9"/>
    <w:unhideWhenUsed/>
    <w:rsid w:val="00825BFE"/>
    <w:pPr>
      <w:keepNext/>
      <w:keepLines/>
      <w:numPr>
        <w:ilvl w:val="3"/>
        <w:numId w:val="2"/>
      </w:numPr>
      <w:spacing w:before="240"/>
      <w:ind w:left="1134" w:hanging="1134"/>
      <w:jc w:val="left"/>
      <w:outlineLvl w:val="3"/>
    </w:pPr>
    <w:rPr>
      <w:rFonts w:asciiTheme="majorHAnsi" w:eastAsiaTheme="majorEastAsia" w:hAnsiTheme="majorHAnsi" w:cstheme="majorBidi"/>
      <w:b/>
      <w:iCs/>
      <w:sz w:val="28"/>
      <w:szCs w:val="24"/>
    </w:rPr>
  </w:style>
  <w:style w:type="paragraph" w:styleId="berschrift5">
    <w:name w:val="heading 5"/>
    <w:basedOn w:val="Standard"/>
    <w:next w:val="Standard"/>
    <w:link w:val="berschrift5Zchn"/>
    <w:uiPriority w:val="9"/>
    <w:semiHidden/>
    <w:unhideWhenUsed/>
    <w:rsid w:val="00E8473B"/>
    <w:pPr>
      <w:keepNext/>
      <w:keepLines/>
      <w:numPr>
        <w:ilvl w:val="4"/>
        <w:numId w:val="2"/>
      </w:numPr>
      <w:spacing w:before="40"/>
      <w:outlineLvl w:val="4"/>
    </w:pPr>
    <w:rPr>
      <w:rFonts w:asciiTheme="majorHAnsi" w:eastAsiaTheme="majorEastAsia" w:hAnsiTheme="majorHAnsi" w:cstheme="majorBidi"/>
      <w:color w:val="0000BF" w:themeColor="accent1" w:themeShade="BF"/>
    </w:rPr>
  </w:style>
  <w:style w:type="paragraph" w:styleId="berschrift6">
    <w:name w:val="heading 6"/>
    <w:basedOn w:val="Standard"/>
    <w:next w:val="Standard"/>
    <w:link w:val="berschrift6Zchn"/>
    <w:uiPriority w:val="9"/>
    <w:semiHidden/>
    <w:unhideWhenUsed/>
    <w:qFormat/>
    <w:rsid w:val="00E8473B"/>
    <w:pPr>
      <w:keepNext/>
      <w:keepLines/>
      <w:numPr>
        <w:ilvl w:val="5"/>
        <w:numId w:val="2"/>
      </w:numPr>
      <w:spacing w:before="40"/>
      <w:outlineLvl w:val="5"/>
    </w:pPr>
    <w:rPr>
      <w:rFonts w:asciiTheme="majorHAnsi" w:eastAsiaTheme="majorEastAsia" w:hAnsiTheme="majorHAnsi" w:cstheme="majorBidi"/>
      <w:color w:val="00007F" w:themeColor="accent1" w:themeShade="7F"/>
    </w:rPr>
  </w:style>
  <w:style w:type="paragraph" w:styleId="berschrift7">
    <w:name w:val="heading 7"/>
    <w:basedOn w:val="Standard"/>
    <w:next w:val="Standard"/>
    <w:link w:val="berschrift7Zchn"/>
    <w:uiPriority w:val="9"/>
    <w:semiHidden/>
    <w:unhideWhenUsed/>
    <w:qFormat/>
    <w:rsid w:val="00E8473B"/>
    <w:pPr>
      <w:keepNext/>
      <w:keepLines/>
      <w:numPr>
        <w:ilvl w:val="6"/>
        <w:numId w:val="2"/>
      </w:numPr>
      <w:spacing w:before="40"/>
      <w:outlineLvl w:val="6"/>
    </w:pPr>
    <w:rPr>
      <w:rFonts w:asciiTheme="majorHAnsi" w:eastAsiaTheme="majorEastAsia" w:hAnsiTheme="majorHAnsi" w:cstheme="majorBidi"/>
      <w:i/>
      <w:iCs/>
      <w:color w:val="00007F" w:themeColor="accent1" w:themeShade="7F"/>
    </w:rPr>
  </w:style>
  <w:style w:type="paragraph" w:styleId="berschrift8">
    <w:name w:val="heading 8"/>
    <w:basedOn w:val="Standard"/>
    <w:next w:val="Standard"/>
    <w:link w:val="berschrift8Zchn"/>
    <w:uiPriority w:val="9"/>
    <w:semiHidden/>
    <w:unhideWhenUsed/>
    <w:qFormat/>
    <w:rsid w:val="00E8473B"/>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8473B"/>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E8473B"/>
    <w:pPr>
      <w:spacing w:after="120"/>
    </w:pPr>
    <w:rPr>
      <w:rFonts w:ascii="Times New Roman" w:hAnsi="Times New Roman" w:cs="Times New Roman"/>
      <w:szCs w:val="24"/>
    </w:rPr>
  </w:style>
  <w:style w:type="paragraph" w:customStyle="1" w:styleId="Bilder">
    <w:name w:val="Bilder"/>
    <w:basedOn w:val="Standard"/>
    <w:link w:val="BilderZchn"/>
    <w:qFormat/>
    <w:rsid w:val="00E8473B"/>
    <w:pPr>
      <w:spacing w:before="240"/>
      <w:jc w:val="center"/>
    </w:pPr>
    <w:rPr>
      <w:rFonts w:cs="Calibri"/>
      <w:noProof/>
    </w:rPr>
  </w:style>
  <w:style w:type="character" w:customStyle="1" w:styleId="BilderZchn">
    <w:name w:val="Bilder Zchn"/>
    <w:basedOn w:val="Absatz-Standardschriftart"/>
    <w:link w:val="Bilder"/>
    <w:rsid w:val="00E8473B"/>
    <w:rPr>
      <w:rFonts w:cs="Calibri"/>
      <w:noProof/>
    </w:rPr>
  </w:style>
  <w:style w:type="paragraph" w:customStyle="1" w:styleId="Rot">
    <w:name w:val="Rot"/>
    <w:basedOn w:val="Listenabsatz"/>
    <w:link w:val="RotZchn"/>
    <w:qFormat/>
    <w:rsid w:val="008A524D"/>
    <w:pPr>
      <w:numPr>
        <w:numId w:val="10"/>
      </w:numPr>
      <w:contextualSpacing w:val="0"/>
    </w:pPr>
    <w:rPr>
      <w:color w:val="FF0000" w:themeColor="accent2"/>
    </w:rPr>
  </w:style>
  <w:style w:type="paragraph" w:customStyle="1" w:styleId="Liste1Aufzhlung">
    <w:name w:val="Liste 1 Aufzählung"/>
    <w:basedOn w:val="Listenabsatz"/>
    <w:link w:val="Liste1AufzhlungZchn"/>
    <w:qFormat/>
    <w:rsid w:val="005633FE"/>
    <w:pPr>
      <w:numPr>
        <w:numId w:val="12"/>
      </w:numPr>
      <w:ind w:left="397" w:hanging="397"/>
      <w:contextualSpacing w:val="0"/>
    </w:pPr>
  </w:style>
  <w:style w:type="paragraph" w:customStyle="1" w:styleId="Autor">
    <w:name w:val="Autor"/>
    <w:basedOn w:val="Standard"/>
    <w:link w:val="AutorZchn"/>
    <w:qFormat/>
    <w:rsid w:val="00FD7888"/>
    <w:pPr>
      <w:jc w:val="center"/>
    </w:pPr>
    <w:rPr>
      <w:bCs/>
      <w:color w:val="000000" w:themeColor="text1"/>
      <w:sz w:val="20"/>
      <w:szCs w:val="40"/>
    </w:rPr>
  </w:style>
  <w:style w:type="character" w:customStyle="1" w:styleId="berschrift1Zchn">
    <w:name w:val="Überschrift 1 Zchn"/>
    <w:basedOn w:val="Absatz-Standardschriftart"/>
    <w:link w:val="berschrift1"/>
    <w:uiPriority w:val="9"/>
    <w:rsid w:val="00FD7888"/>
    <w:rPr>
      <w:rFonts w:asciiTheme="majorHAnsi" w:eastAsiaTheme="majorEastAsia" w:hAnsiTheme="majorHAnsi" w:cstheme="majorBidi"/>
      <w:b/>
      <w:sz w:val="32"/>
      <w:szCs w:val="32"/>
    </w:rPr>
  </w:style>
  <w:style w:type="character" w:customStyle="1" w:styleId="AutorZchn">
    <w:name w:val="Autor Zchn"/>
    <w:basedOn w:val="Absatz-Standardschriftart"/>
    <w:link w:val="Autor"/>
    <w:rsid w:val="00FD7888"/>
    <w:rPr>
      <w:bCs/>
      <w:color w:val="000000" w:themeColor="text1"/>
      <w:sz w:val="20"/>
      <w:szCs w:val="40"/>
    </w:rPr>
  </w:style>
  <w:style w:type="character" w:customStyle="1" w:styleId="berschrift2Zchn">
    <w:name w:val="Überschrift 2 Zchn"/>
    <w:basedOn w:val="Absatz-Standardschriftart"/>
    <w:link w:val="berschrift2"/>
    <w:uiPriority w:val="9"/>
    <w:rsid w:val="00FD7888"/>
    <w:rPr>
      <w:rFonts w:asciiTheme="majorHAnsi" w:eastAsiaTheme="majorEastAsia" w:hAnsiTheme="majorHAnsi" w:cstheme="majorBidi"/>
      <w:b/>
      <w:color w:val="000000" w:themeColor="text1"/>
      <w:sz w:val="28"/>
      <w:szCs w:val="26"/>
    </w:rPr>
  </w:style>
  <w:style w:type="character" w:customStyle="1" w:styleId="berschrift3Zchn">
    <w:name w:val="Überschrift 3 Zchn"/>
    <w:basedOn w:val="Absatz-Standardschriftart"/>
    <w:link w:val="berschrift3"/>
    <w:uiPriority w:val="9"/>
    <w:rsid w:val="00FD7888"/>
    <w:rPr>
      <w:rFonts w:asciiTheme="majorHAnsi" w:eastAsiaTheme="majorEastAsia" w:hAnsiTheme="majorHAnsi" w:cstheme="majorBidi"/>
      <w:b/>
      <w:szCs w:val="28"/>
    </w:rPr>
  </w:style>
  <w:style w:type="character" w:customStyle="1" w:styleId="berschrift4Zchn">
    <w:name w:val="Überschrift 4 Zchn"/>
    <w:basedOn w:val="Absatz-Standardschriftart"/>
    <w:link w:val="berschrift4"/>
    <w:uiPriority w:val="9"/>
    <w:rsid w:val="00825BFE"/>
    <w:rPr>
      <w:rFonts w:asciiTheme="majorHAnsi" w:eastAsiaTheme="majorEastAsia" w:hAnsiTheme="majorHAnsi" w:cstheme="majorBidi"/>
      <w:b/>
      <w:iCs/>
      <w:sz w:val="28"/>
      <w:szCs w:val="24"/>
    </w:rPr>
  </w:style>
  <w:style w:type="character" w:customStyle="1" w:styleId="berschrift5Zchn">
    <w:name w:val="Überschrift 5 Zchn"/>
    <w:basedOn w:val="Absatz-Standardschriftart"/>
    <w:link w:val="berschrift5"/>
    <w:uiPriority w:val="9"/>
    <w:semiHidden/>
    <w:rsid w:val="00E8473B"/>
    <w:rPr>
      <w:rFonts w:asciiTheme="majorHAnsi" w:eastAsiaTheme="majorEastAsia" w:hAnsiTheme="majorHAnsi" w:cstheme="majorBidi"/>
      <w:color w:val="0000BF" w:themeColor="accent1" w:themeShade="BF"/>
    </w:rPr>
  </w:style>
  <w:style w:type="character" w:customStyle="1" w:styleId="berschrift6Zchn">
    <w:name w:val="Überschrift 6 Zchn"/>
    <w:basedOn w:val="Absatz-Standardschriftart"/>
    <w:link w:val="berschrift6"/>
    <w:uiPriority w:val="9"/>
    <w:semiHidden/>
    <w:rsid w:val="00E8473B"/>
    <w:rPr>
      <w:rFonts w:asciiTheme="majorHAnsi" w:eastAsiaTheme="majorEastAsia" w:hAnsiTheme="majorHAnsi" w:cstheme="majorBidi"/>
      <w:color w:val="00007F" w:themeColor="accent1" w:themeShade="7F"/>
    </w:rPr>
  </w:style>
  <w:style w:type="character" w:customStyle="1" w:styleId="berschrift7Zchn">
    <w:name w:val="Überschrift 7 Zchn"/>
    <w:basedOn w:val="Absatz-Standardschriftart"/>
    <w:link w:val="berschrift7"/>
    <w:uiPriority w:val="9"/>
    <w:semiHidden/>
    <w:rsid w:val="00E8473B"/>
    <w:rPr>
      <w:rFonts w:asciiTheme="majorHAnsi" w:eastAsiaTheme="majorEastAsia" w:hAnsiTheme="majorHAnsi" w:cstheme="majorBidi"/>
      <w:i/>
      <w:iCs/>
      <w:color w:val="00007F" w:themeColor="accent1" w:themeShade="7F"/>
    </w:rPr>
  </w:style>
  <w:style w:type="character" w:customStyle="1" w:styleId="berschrift8Zchn">
    <w:name w:val="Überschrift 8 Zchn"/>
    <w:basedOn w:val="Absatz-Standardschriftart"/>
    <w:link w:val="berschrift8"/>
    <w:uiPriority w:val="9"/>
    <w:semiHidden/>
    <w:rsid w:val="00E8473B"/>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8473B"/>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link w:val="ListenabsatzZchn"/>
    <w:uiPriority w:val="34"/>
    <w:rsid w:val="001D6942"/>
    <w:pPr>
      <w:numPr>
        <w:numId w:val="3"/>
      </w:numPr>
      <w:contextualSpacing/>
    </w:pPr>
  </w:style>
  <w:style w:type="paragraph" w:customStyle="1" w:styleId="EinstiegAbschluss">
    <w:name w:val="EinstiegAbschluss"/>
    <w:basedOn w:val="Listenabsatz"/>
    <w:qFormat/>
    <w:rsid w:val="00F76D18"/>
    <w:pPr>
      <w:numPr>
        <w:numId w:val="5"/>
      </w:numPr>
      <w:shd w:val="clear" w:color="auto" w:fill="E3E3E3" w:themeFill="text2" w:themeFillTint="33"/>
      <w:contextualSpacing w:val="0"/>
    </w:pPr>
    <w:rPr>
      <w:i/>
    </w:rPr>
  </w:style>
  <w:style w:type="paragraph" w:customStyle="1" w:styleId="Beispiele">
    <w:name w:val="Beispiele"/>
    <w:basedOn w:val="Standard"/>
    <w:link w:val="BeispieleZchn"/>
    <w:qFormat/>
    <w:rsid w:val="008117E4"/>
    <w:rPr>
      <w:i/>
      <w:sz w:val="20"/>
    </w:rPr>
  </w:style>
  <w:style w:type="paragraph" w:customStyle="1" w:styleId="Blau">
    <w:name w:val="Blau"/>
    <w:basedOn w:val="Listenabsatz"/>
    <w:link w:val="BlauZchn"/>
    <w:rsid w:val="00F76D18"/>
    <w:pPr>
      <w:numPr>
        <w:numId w:val="7"/>
      </w:numPr>
      <w:contextualSpacing w:val="0"/>
    </w:pPr>
    <w:rPr>
      <w:color w:val="0000FF" w:themeColor="accent1"/>
    </w:rPr>
  </w:style>
  <w:style w:type="character" w:customStyle="1" w:styleId="BeispieleZchn">
    <w:name w:val="Beispiele Zchn"/>
    <w:basedOn w:val="Absatz-Standardschriftart"/>
    <w:link w:val="Beispiele"/>
    <w:rsid w:val="008117E4"/>
    <w:rPr>
      <w:i/>
      <w:sz w:val="20"/>
    </w:rPr>
  </w:style>
  <w:style w:type="paragraph" w:customStyle="1" w:styleId="Grn">
    <w:name w:val="Grün"/>
    <w:basedOn w:val="Listenabsatz"/>
    <w:link w:val="GrnZchn"/>
    <w:qFormat/>
    <w:rsid w:val="00F76D18"/>
    <w:pPr>
      <w:numPr>
        <w:numId w:val="8"/>
      </w:numPr>
      <w:contextualSpacing w:val="0"/>
    </w:pPr>
    <w:rPr>
      <w:color w:val="008000" w:themeColor="accent3" w:themeShade="80"/>
    </w:rPr>
  </w:style>
  <w:style w:type="character" w:customStyle="1" w:styleId="ListenabsatzZchn">
    <w:name w:val="Listenabsatz Zchn"/>
    <w:basedOn w:val="Absatz-Standardschriftart"/>
    <w:link w:val="Listenabsatz"/>
    <w:uiPriority w:val="34"/>
    <w:rsid w:val="001D6942"/>
  </w:style>
  <w:style w:type="character" w:customStyle="1" w:styleId="BlauZchn">
    <w:name w:val="Blau Zchn"/>
    <w:basedOn w:val="ListenabsatzZchn"/>
    <w:link w:val="Blau"/>
    <w:rsid w:val="00F76D18"/>
    <w:rPr>
      <w:color w:val="0000FF" w:themeColor="accent1"/>
    </w:rPr>
  </w:style>
  <w:style w:type="character" w:customStyle="1" w:styleId="RotZchn">
    <w:name w:val="Rot Zchn"/>
    <w:basedOn w:val="ListenabsatzZchn"/>
    <w:link w:val="Rot"/>
    <w:rsid w:val="008A524D"/>
    <w:rPr>
      <w:color w:val="FF0000" w:themeColor="accent2"/>
    </w:rPr>
  </w:style>
  <w:style w:type="character" w:customStyle="1" w:styleId="GrnZchn">
    <w:name w:val="Grün Zchn"/>
    <w:basedOn w:val="ListenabsatzZchn"/>
    <w:link w:val="Grn"/>
    <w:rsid w:val="00F76D18"/>
    <w:rPr>
      <w:color w:val="008000" w:themeColor="accent3" w:themeShade="80"/>
    </w:rPr>
  </w:style>
  <w:style w:type="paragraph" w:customStyle="1" w:styleId="AufzhlungStandard">
    <w:name w:val="Aufzählung Standard"/>
    <w:basedOn w:val="Listenabsatz"/>
    <w:link w:val="AufzhlungStandardZchn"/>
    <w:qFormat/>
    <w:rsid w:val="00850560"/>
    <w:pPr>
      <w:numPr>
        <w:numId w:val="14"/>
      </w:numPr>
      <w:ind w:left="397" w:hanging="397"/>
      <w:contextualSpacing w:val="0"/>
    </w:pPr>
  </w:style>
  <w:style w:type="character" w:customStyle="1" w:styleId="Liste1AufzhlungZchn">
    <w:name w:val="Liste 1 Aufzählung Zchn"/>
    <w:basedOn w:val="ListenabsatzZchn"/>
    <w:link w:val="Liste1Aufzhlung"/>
    <w:rsid w:val="005633FE"/>
  </w:style>
  <w:style w:type="character" w:customStyle="1" w:styleId="AufzhlungStandardZchn">
    <w:name w:val="Aufzählung Standard Zchn"/>
    <w:basedOn w:val="ListenabsatzZchn"/>
    <w:link w:val="AufzhlungStandard"/>
    <w:rsid w:val="00850560"/>
  </w:style>
  <w:style w:type="paragraph" w:styleId="Beschriftung">
    <w:name w:val="caption"/>
    <w:basedOn w:val="Standard"/>
    <w:next w:val="Standard"/>
    <w:link w:val="BeschriftungZchn"/>
    <w:uiPriority w:val="35"/>
    <w:unhideWhenUsed/>
    <w:qFormat/>
    <w:rsid w:val="00AF7672"/>
    <w:pPr>
      <w:spacing w:before="0" w:after="200"/>
      <w:jc w:val="center"/>
    </w:pPr>
    <w:rPr>
      <w:i/>
      <w:iCs/>
      <w:color w:val="000000" w:themeColor="text1"/>
      <w:sz w:val="20"/>
      <w:szCs w:val="18"/>
    </w:rPr>
  </w:style>
  <w:style w:type="character" w:styleId="Hyperlink">
    <w:name w:val="Hyperlink"/>
    <w:basedOn w:val="Absatz-Standardschriftart"/>
    <w:uiPriority w:val="99"/>
    <w:unhideWhenUsed/>
    <w:rsid w:val="001D6942"/>
    <w:rPr>
      <w:color w:val="0000FF" w:themeColor="accent1"/>
      <w:u w:val="single"/>
    </w:rPr>
  </w:style>
  <w:style w:type="character" w:customStyle="1" w:styleId="BeschriftungZchn">
    <w:name w:val="Beschriftung Zchn"/>
    <w:basedOn w:val="Absatz-Standardschriftart"/>
    <w:link w:val="Beschriftung"/>
    <w:uiPriority w:val="35"/>
    <w:rsid w:val="00AF7672"/>
    <w:rPr>
      <w:i/>
      <w:iCs/>
      <w:color w:val="000000" w:themeColor="text1"/>
      <w:sz w:val="20"/>
      <w:szCs w:val="18"/>
    </w:rPr>
  </w:style>
  <w:style w:type="character" w:customStyle="1" w:styleId="NichtaufgelsteErwhnung1">
    <w:name w:val="Nicht aufgelöste Erwähnung1"/>
    <w:basedOn w:val="Absatz-Standardschriftart"/>
    <w:uiPriority w:val="99"/>
    <w:semiHidden/>
    <w:unhideWhenUsed/>
    <w:rsid w:val="001D6942"/>
    <w:rPr>
      <w:color w:val="605E5C"/>
      <w:shd w:val="clear" w:color="auto" w:fill="E1DFDD"/>
    </w:rPr>
  </w:style>
  <w:style w:type="paragraph" w:customStyle="1" w:styleId="Zusammenfassung">
    <w:name w:val="Zusammenfassung"/>
    <w:basedOn w:val="Listenabsatz"/>
    <w:link w:val="ZusammenfassungZchn"/>
    <w:qFormat/>
    <w:rsid w:val="007B2C80"/>
    <w:pPr>
      <w:numPr>
        <w:numId w:val="15"/>
      </w:numPr>
      <w:shd w:val="clear" w:color="auto" w:fill="C8C8C8" w:themeFill="text2" w:themeFillTint="66"/>
      <w:contextualSpacing w:val="0"/>
    </w:pPr>
  </w:style>
  <w:style w:type="paragraph" w:customStyle="1" w:styleId="Seminar">
    <w:name w:val="Seminar"/>
    <w:basedOn w:val="Standard"/>
    <w:link w:val="SeminarZchn"/>
    <w:qFormat/>
    <w:rsid w:val="0036111E"/>
    <w:pPr>
      <w:jc w:val="center"/>
    </w:pPr>
    <w:rPr>
      <w:color w:val="808080" w:themeColor="background1" w:themeShade="80"/>
    </w:rPr>
  </w:style>
  <w:style w:type="character" w:customStyle="1" w:styleId="ZusammenfassungZchn">
    <w:name w:val="Zusammenfassung Zchn"/>
    <w:basedOn w:val="ListenabsatzZchn"/>
    <w:link w:val="Zusammenfassung"/>
    <w:rsid w:val="007B2C80"/>
    <w:rPr>
      <w:shd w:val="clear" w:color="auto" w:fill="C8C8C8" w:themeFill="text2" w:themeFillTint="66"/>
    </w:rPr>
  </w:style>
  <w:style w:type="character" w:customStyle="1" w:styleId="SeminarZchn">
    <w:name w:val="Seminar Zchn"/>
    <w:basedOn w:val="Absatz-Standardschriftart"/>
    <w:link w:val="Seminar"/>
    <w:rsid w:val="0036111E"/>
    <w:rPr>
      <w:color w:val="808080" w:themeColor="background1" w:themeShade="80"/>
    </w:rPr>
  </w:style>
  <w:style w:type="paragraph" w:customStyle="1" w:styleId="ZitatDC">
    <w:name w:val="Zitat DC"/>
    <w:basedOn w:val="Standard"/>
    <w:link w:val="ZitatDCZchn"/>
    <w:rsid w:val="00D97908"/>
    <w:pPr>
      <w:ind w:left="1134" w:right="1134"/>
    </w:pPr>
    <w:rPr>
      <w:i/>
    </w:rPr>
  </w:style>
  <w:style w:type="character" w:customStyle="1" w:styleId="ZitatDCZchn">
    <w:name w:val="Zitat DC Zchn"/>
    <w:basedOn w:val="Absatz-Standardschriftart"/>
    <w:link w:val="ZitatDC"/>
    <w:rsid w:val="00D97908"/>
    <w:rPr>
      <w:i/>
    </w:rPr>
  </w:style>
  <w:style w:type="paragraph" w:styleId="Kopfzeile">
    <w:name w:val="header"/>
    <w:basedOn w:val="Standard"/>
    <w:link w:val="KopfzeileZchn"/>
    <w:uiPriority w:val="99"/>
    <w:unhideWhenUsed/>
    <w:rsid w:val="005A7DCE"/>
    <w:pPr>
      <w:tabs>
        <w:tab w:val="center" w:pos="4536"/>
        <w:tab w:val="right" w:pos="9072"/>
      </w:tabs>
      <w:spacing w:before="0"/>
    </w:pPr>
  </w:style>
  <w:style w:type="character" w:customStyle="1" w:styleId="KopfzeileZchn">
    <w:name w:val="Kopfzeile Zchn"/>
    <w:basedOn w:val="Absatz-Standardschriftart"/>
    <w:link w:val="Kopfzeile"/>
    <w:uiPriority w:val="99"/>
    <w:rsid w:val="005A7DCE"/>
  </w:style>
  <w:style w:type="paragraph" w:styleId="Fuzeile">
    <w:name w:val="footer"/>
    <w:basedOn w:val="Standard"/>
    <w:link w:val="FuzeileZchn"/>
    <w:uiPriority w:val="99"/>
    <w:unhideWhenUsed/>
    <w:rsid w:val="005A7DCE"/>
    <w:pPr>
      <w:tabs>
        <w:tab w:val="center" w:pos="4536"/>
        <w:tab w:val="right" w:pos="9072"/>
      </w:tabs>
      <w:spacing w:before="0"/>
    </w:pPr>
  </w:style>
  <w:style w:type="character" w:customStyle="1" w:styleId="FuzeileZchn">
    <w:name w:val="Fußzeile Zchn"/>
    <w:basedOn w:val="Absatz-Standardschriftart"/>
    <w:link w:val="Fuzeile"/>
    <w:uiPriority w:val="99"/>
    <w:rsid w:val="005A7DCE"/>
  </w:style>
  <w:style w:type="paragraph" w:customStyle="1" w:styleId="Liste2Aufzhlung">
    <w:name w:val="Liste 2 Aufzählung"/>
    <w:basedOn w:val="Liste1Aufzhlung"/>
    <w:qFormat/>
    <w:rsid w:val="005633FE"/>
    <w:pPr>
      <w:ind w:left="681"/>
    </w:pPr>
  </w:style>
  <w:style w:type="paragraph" w:styleId="Titel">
    <w:name w:val="Title"/>
    <w:basedOn w:val="Standard"/>
    <w:next w:val="Standard"/>
    <w:link w:val="TitelZchn"/>
    <w:uiPriority w:val="10"/>
    <w:qFormat/>
    <w:rsid w:val="005633FE"/>
    <w:pPr>
      <w:spacing w:before="0"/>
      <w:contextualSpacing/>
      <w:jc w:val="center"/>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633FE"/>
    <w:rPr>
      <w:rFonts w:asciiTheme="majorHAnsi" w:eastAsiaTheme="majorEastAsia" w:hAnsiTheme="majorHAnsi" w:cstheme="majorBidi"/>
      <w:spacing w:val="-10"/>
      <w:kern w:val="28"/>
      <w:sz w:val="56"/>
      <w:szCs w:val="56"/>
    </w:rPr>
  </w:style>
  <w:style w:type="paragraph" w:styleId="Inhaltsverzeichnisberschrift">
    <w:name w:val="TOC Heading"/>
    <w:basedOn w:val="berschrift1"/>
    <w:next w:val="Standard"/>
    <w:uiPriority w:val="39"/>
    <w:unhideWhenUsed/>
    <w:qFormat/>
    <w:rsid w:val="000256A8"/>
    <w:pPr>
      <w:numPr>
        <w:numId w:val="0"/>
      </w:numPr>
      <w:spacing w:line="259" w:lineRule="auto"/>
      <w:outlineLvl w:val="9"/>
    </w:pPr>
    <w:rPr>
      <w:b w:val="0"/>
      <w:color w:val="0000FF" w:themeColor="accent1"/>
      <w:lang w:eastAsia="de-DE"/>
    </w:rPr>
  </w:style>
  <w:style w:type="paragraph" w:styleId="Verzeichnis1">
    <w:name w:val="toc 1"/>
    <w:basedOn w:val="Standard"/>
    <w:next w:val="Standard"/>
    <w:autoRedefine/>
    <w:uiPriority w:val="39"/>
    <w:unhideWhenUsed/>
    <w:rsid w:val="006C46BC"/>
    <w:pPr>
      <w:spacing w:after="100"/>
    </w:pPr>
  </w:style>
  <w:style w:type="paragraph" w:styleId="Verzeichnis2">
    <w:name w:val="toc 2"/>
    <w:basedOn w:val="Standard"/>
    <w:next w:val="Standard"/>
    <w:autoRedefine/>
    <w:uiPriority w:val="39"/>
    <w:unhideWhenUsed/>
    <w:rsid w:val="006C46BC"/>
    <w:pPr>
      <w:spacing w:after="100"/>
      <w:ind w:left="240"/>
    </w:pPr>
  </w:style>
  <w:style w:type="paragraph" w:styleId="Verzeichnis3">
    <w:name w:val="toc 3"/>
    <w:basedOn w:val="Standard"/>
    <w:next w:val="Standard"/>
    <w:autoRedefine/>
    <w:uiPriority w:val="39"/>
    <w:unhideWhenUsed/>
    <w:rsid w:val="006C46BC"/>
    <w:pPr>
      <w:spacing w:after="100"/>
      <w:ind w:left="480"/>
    </w:pPr>
  </w:style>
  <w:style w:type="character" w:styleId="Fett">
    <w:name w:val="Strong"/>
    <w:basedOn w:val="Absatz-Standardschriftart"/>
    <w:uiPriority w:val="22"/>
    <w:rsid w:val="00776C60"/>
    <w:rPr>
      <w:b/>
      <w:bCs/>
    </w:rPr>
  </w:style>
  <w:style w:type="character" w:styleId="BesuchterLink">
    <w:name w:val="FollowedHyperlink"/>
    <w:basedOn w:val="Absatz-Standardschriftart"/>
    <w:uiPriority w:val="99"/>
    <w:semiHidden/>
    <w:unhideWhenUsed/>
    <w:rsid w:val="00D86B30"/>
    <w:rPr>
      <w:color w:val="0000FF" w:themeColor="followedHyperlink"/>
      <w:u w:val="single"/>
    </w:rPr>
  </w:style>
  <w:style w:type="character" w:styleId="SchwacheHervorhebung">
    <w:name w:val="Subtle Emphasis"/>
    <w:basedOn w:val="Absatz-Standardschriftart"/>
    <w:uiPriority w:val="19"/>
    <w:rsid w:val="008D7F04"/>
    <w:rPr>
      <w:i/>
      <w:i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426767">
      <w:bodyDiv w:val="1"/>
      <w:marLeft w:val="0"/>
      <w:marRight w:val="0"/>
      <w:marTop w:val="0"/>
      <w:marBottom w:val="0"/>
      <w:divBdr>
        <w:top w:val="none" w:sz="0" w:space="0" w:color="auto"/>
        <w:left w:val="none" w:sz="0" w:space="0" w:color="auto"/>
        <w:bottom w:val="none" w:sz="0" w:space="0" w:color="auto"/>
        <w:right w:val="none" w:sz="0" w:space="0" w:color="auto"/>
      </w:divBdr>
    </w:div>
    <w:div w:id="229536580">
      <w:bodyDiv w:val="1"/>
      <w:marLeft w:val="0"/>
      <w:marRight w:val="0"/>
      <w:marTop w:val="0"/>
      <w:marBottom w:val="0"/>
      <w:divBdr>
        <w:top w:val="none" w:sz="0" w:space="0" w:color="auto"/>
        <w:left w:val="none" w:sz="0" w:space="0" w:color="auto"/>
        <w:bottom w:val="none" w:sz="0" w:space="0" w:color="auto"/>
        <w:right w:val="none" w:sz="0" w:space="0" w:color="auto"/>
      </w:divBdr>
    </w:div>
    <w:div w:id="394283964">
      <w:bodyDiv w:val="1"/>
      <w:marLeft w:val="0"/>
      <w:marRight w:val="0"/>
      <w:marTop w:val="0"/>
      <w:marBottom w:val="0"/>
      <w:divBdr>
        <w:top w:val="none" w:sz="0" w:space="0" w:color="auto"/>
        <w:left w:val="none" w:sz="0" w:space="0" w:color="auto"/>
        <w:bottom w:val="none" w:sz="0" w:space="0" w:color="auto"/>
        <w:right w:val="none" w:sz="0" w:space="0" w:color="auto"/>
      </w:divBdr>
    </w:div>
    <w:div w:id="462234291">
      <w:bodyDiv w:val="1"/>
      <w:marLeft w:val="0"/>
      <w:marRight w:val="0"/>
      <w:marTop w:val="0"/>
      <w:marBottom w:val="0"/>
      <w:divBdr>
        <w:top w:val="none" w:sz="0" w:space="0" w:color="auto"/>
        <w:left w:val="none" w:sz="0" w:space="0" w:color="auto"/>
        <w:bottom w:val="none" w:sz="0" w:space="0" w:color="auto"/>
        <w:right w:val="none" w:sz="0" w:space="0" w:color="auto"/>
      </w:divBdr>
    </w:div>
    <w:div w:id="485242758">
      <w:bodyDiv w:val="1"/>
      <w:marLeft w:val="0"/>
      <w:marRight w:val="0"/>
      <w:marTop w:val="0"/>
      <w:marBottom w:val="0"/>
      <w:divBdr>
        <w:top w:val="none" w:sz="0" w:space="0" w:color="auto"/>
        <w:left w:val="none" w:sz="0" w:space="0" w:color="auto"/>
        <w:bottom w:val="none" w:sz="0" w:space="0" w:color="auto"/>
        <w:right w:val="none" w:sz="0" w:space="0" w:color="auto"/>
      </w:divBdr>
    </w:div>
    <w:div w:id="670839733">
      <w:bodyDiv w:val="1"/>
      <w:marLeft w:val="0"/>
      <w:marRight w:val="0"/>
      <w:marTop w:val="0"/>
      <w:marBottom w:val="0"/>
      <w:divBdr>
        <w:top w:val="none" w:sz="0" w:space="0" w:color="auto"/>
        <w:left w:val="none" w:sz="0" w:space="0" w:color="auto"/>
        <w:bottom w:val="none" w:sz="0" w:space="0" w:color="auto"/>
        <w:right w:val="none" w:sz="0" w:space="0" w:color="auto"/>
      </w:divBdr>
    </w:div>
    <w:div w:id="721293567">
      <w:bodyDiv w:val="1"/>
      <w:marLeft w:val="0"/>
      <w:marRight w:val="0"/>
      <w:marTop w:val="0"/>
      <w:marBottom w:val="0"/>
      <w:divBdr>
        <w:top w:val="none" w:sz="0" w:space="0" w:color="auto"/>
        <w:left w:val="none" w:sz="0" w:space="0" w:color="auto"/>
        <w:bottom w:val="none" w:sz="0" w:space="0" w:color="auto"/>
        <w:right w:val="none" w:sz="0" w:space="0" w:color="auto"/>
      </w:divBdr>
    </w:div>
    <w:div w:id="1361737498">
      <w:bodyDiv w:val="1"/>
      <w:marLeft w:val="0"/>
      <w:marRight w:val="0"/>
      <w:marTop w:val="0"/>
      <w:marBottom w:val="0"/>
      <w:divBdr>
        <w:top w:val="none" w:sz="0" w:space="0" w:color="auto"/>
        <w:left w:val="none" w:sz="0" w:space="0" w:color="auto"/>
        <w:bottom w:val="none" w:sz="0" w:space="0" w:color="auto"/>
        <w:right w:val="none" w:sz="0" w:space="0" w:color="auto"/>
      </w:divBdr>
    </w:div>
    <w:div w:id="1569263046">
      <w:bodyDiv w:val="1"/>
      <w:marLeft w:val="0"/>
      <w:marRight w:val="0"/>
      <w:marTop w:val="0"/>
      <w:marBottom w:val="0"/>
      <w:divBdr>
        <w:top w:val="none" w:sz="0" w:space="0" w:color="auto"/>
        <w:left w:val="none" w:sz="0" w:space="0" w:color="auto"/>
        <w:bottom w:val="none" w:sz="0" w:space="0" w:color="auto"/>
        <w:right w:val="none" w:sz="0" w:space="0" w:color="auto"/>
      </w:divBdr>
    </w:div>
    <w:div w:id="1615091333">
      <w:bodyDiv w:val="1"/>
      <w:marLeft w:val="0"/>
      <w:marRight w:val="0"/>
      <w:marTop w:val="0"/>
      <w:marBottom w:val="0"/>
      <w:divBdr>
        <w:top w:val="none" w:sz="0" w:space="0" w:color="auto"/>
        <w:left w:val="none" w:sz="0" w:space="0" w:color="auto"/>
        <w:bottom w:val="none" w:sz="0" w:space="0" w:color="auto"/>
        <w:right w:val="none" w:sz="0" w:space="0" w:color="auto"/>
      </w:divBdr>
    </w:div>
    <w:div w:id="1658919613">
      <w:bodyDiv w:val="1"/>
      <w:marLeft w:val="0"/>
      <w:marRight w:val="0"/>
      <w:marTop w:val="0"/>
      <w:marBottom w:val="0"/>
      <w:divBdr>
        <w:top w:val="none" w:sz="0" w:space="0" w:color="auto"/>
        <w:left w:val="none" w:sz="0" w:space="0" w:color="auto"/>
        <w:bottom w:val="none" w:sz="0" w:space="0" w:color="auto"/>
        <w:right w:val="none" w:sz="0" w:space="0" w:color="auto"/>
      </w:divBdr>
    </w:div>
    <w:div w:id="1700426758">
      <w:bodyDiv w:val="1"/>
      <w:marLeft w:val="0"/>
      <w:marRight w:val="0"/>
      <w:marTop w:val="0"/>
      <w:marBottom w:val="0"/>
      <w:divBdr>
        <w:top w:val="none" w:sz="0" w:space="0" w:color="auto"/>
        <w:left w:val="none" w:sz="0" w:space="0" w:color="auto"/>
        <w:bottom w:val="none" w:sz="0" w:space="0" w:color="auto"/>
        <w:right w:val="none" w:sz="0" w:space="0" w:color="auto"/>
      </w:divBdr>
    </w:div>
    <w:div w:id="212750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hyperlink" Target="https://flexikon.doccheck.com/de/Vancomycin"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hyperlink" Target="http://www.rasscass.com/temp/te_bio.php?PID=520&amp;RID=1" TargetMode="Externa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dolacek.de/fleming.htm" TargetMode="Externa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hyperlink" Target="http://www.wikipedia.org/wiki/penicillin" TargetMode="External"/><Relationship Id="rId28"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1.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a:themeElements>
    <a:clrScheme name="Did Chemie">
      <a:dk1>
        <a:sysClr val="windowText" lastClr="000000"/>
      </a:dk1>
      <a:lt1>
        <a:sysClr val="window" lastClr="FFFFFF"/>
      </a:lt1>
      <a:dk2>
        <a:srgbClr val="777777"/>
      </a:dk2>
      <a:lt2>
        <a:srgbClr val="DDDDDD"/>
      </a:lt2>
      <a:accent1>
        <a:srgbClr val="0000FF"/>
      </a:accent1>
      <a:accent2>
        <a:srgbClr val="FF0000"/>
      </a:accent2>
      <a:accent3>
        <a:srgbClr val="00FF00"/>
      </a:accent3>
      <a:accent4>
        <a:srgbClr val="FF00FF"/>
      </a:accent4>
      <a:accent5>
        <a:srgbClr val="FFFF00"/>
      </a:accent5>
      <a:accent6>
        <a:srgbClr val="00FFFF"/>
      </a:accent6>
      <a:hlink>
        <a:srgbClr val="0000FF"/>
      </a:hlink>
      <a:folHlink>
        <a:srgbClr val="0000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97F37-864C-462A-BC17-691631E29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3660</Words>
  <Characters>23058</Characters>
  <Application>Microsoft Office Word</Application>
  <DocSecurity>0</DocSecurity>
  <Lines>192</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regina.schoenberner83@gmail.com</dc:creator>
  <cp:keywords/>
  <dc:description/>
  <cp:lastModifiedBy>Walter Wagner</cp:lastModifiedBy>
  <cp:revision>4</cp:revision>
  <cp:lastPrinted>2022-11-07T13:56:00Z</cp:lastPrinted>
  <dcterms:created xsi:type="dcterms:W3CDTF">2022-10-24T11:06:00Z</dcterms:created>
  <dcterms:modified xsi:type="dcterms:W3CDTF">2022-11-07T13:59:00Z</dcterms:modified>
</cp:coreProperties>
</file>