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2455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1262929B" wp14:editId="6A9F0D36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9999E" w14:textId="77777777" w:rsidR="00693415" w:rsidRDefault="00693415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62929B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0969999E" w14:textId="77777777" w:rsidR="00693415" w:rsidRDefault="00693415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72CAC6B4" wp14:editId="6835CB6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49F41" w14:textId="77777777" w:rsidR="00AE53F0" w:rsidRPr="004273A5" w:rsidRDefault="00E8473B" w:rsidP="004273A5">
      <w:pPr>
        <w:pStyle w:val="Seminar"/>
      </w:pPr>
      <w:r w:rsidRPr="004273A5">
        <w:t>Seminar</w:t>
      </w:r>
      <w:r w:rsidR="00FD7888" w:rsidRPr="004273A5">
        <w:t xml:space="preserve"> „Übungen im Vortragen – </w:t>
      </w:r>
      <w:r w:rsidR="004273A5" w:rsidRPr="004273A5">
        <w:t>OC</w:t>
      </w:r>
      <w:r w:rsidR="00FD7888" w:rsidRPr="004273A5">
        <w:t>“</w:t>
      </w:r>
    </w:p>
    <w:p w14:paraId="06FE5A4E" w14:textId="77777777" w:rsidR="00E8473B" w:rsidRPr="001C34C2" w:rsidRDefault="004273A5" w:rsidP="005633FE">
      <w:pPr>
        <w:pStyle w:val="Titel"/>
        <w:rPr>
          <w:lang w:val="en-US"/>
        </w:rPr>
      </w:pPr>
      <w:proofErr w:type="spellStart"/>
      <w:r w:rsidRPr="001C34C2">
        <w:rPr>
          <w:lang w:val="en-US"/>
        </w:rPr>
        <w:t>Aminosäuren</w:t>
      </w:r>
      <w:proofErr w:type="spellEnd"/>
    </w:p>
    <w:p w14:paraId="66DB2612" w14:textId="77777777" w:rsidR="00E8473B" w:rsidRPr="001C34C2" w:rsidRDefault="004273A5" w:rsidP="00E8473B">
      <w:pPr>
        <w:pStyle w:val="Autor"/>
        <w:rPr>
          <w:lang w:val="en-US"/>
        </w:rPr>
      </w:pPr>
      <w:proofErr w:type="spellStart"/>
      <w:r w:rsidRPr="001C34C2">
        <w:rPr>
          <w:lang w:val="en-US"/>
        </w:rPr>
        <w:t>Romana</w:t>
      </w:r>
      <w:proofErr w:type="spellEnd"/>
      <w:r w:rsidRPr="001C34C2">
        <w:rPr>
          <w:lang w:val="en-US"/>
        </w:rPr>
        <w:t xml:space="preserve"> Tamm, SS 09</w:t>
      </w:r>
      <w:r w:rsidR="00693415" w:rsidRPr="001C34C2">
        <w:rPr>
          <w:lang w:val="en-US"/>
        </w:rPr>
        <w:t>, Johanna Frank, WS 21/22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50622D" w14:textId="77777777" w:rsidR="006C46BC" w:rsidRPr="00D71ACB" w:rsidRDefault="006C46BC" w:rsidP="006C46BC">
          <w:pPr>
            <w:pStyle w:val="Inhaltsverzeichnisberschrift"/>
            <w:rPr>
              <w:b/>
              <w:bCs/>
              <w:color w:val="auto"/>
            </w:rPr>
          </w:pPr>
          <w:r w:rsidRPr="00D71ACB">
            <w:rPr>
              <w:b/>
              <w:bCs/>
              <w:color w:val="auto"/>
            </w:rPr>
            <w:t>Gliederung</w:t>
          </w:r>
        </w:p>
        <w:p w14:paraId="345369D2" w14:textId="4F5209A6" w:rsidR="00F24392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623291" w:history="1">
            <w:r w:rsidR="00F24392" w:rsidRPr="00371729">
              <w:rPr>
                <w:rStyle w:val="Hyperlink"/>
                <w:noProof/>
              </w:rPr>
              <w:t>1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Proteinogene, kanonische und essentielle Aminosäuren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_Toc115623291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 w:rsidR="00085661">
              <w:rPr>
                <w:noProof/>
                <w:webHidden/>
              </w:rPr>
              <w:t>1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7F0F6A16" w14:textId="7CAFBF1F" w:rsidR="00F24392" w:rsidRDefault="00085661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623292" w:history="1">
            <w:r w:rsidR="00F24392" w:rsidRPr="00371729">
              <w:rPr>
                <w:rStyle w:val="Hyperlink"/>
                <w:noProof/>
              </w:rPr>
              <w:t>2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Struktur von Aminosäuren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_Toc115623292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0D65D52B" w14:textId="33FA6684" w:rsidR="00F24392" w:rsidRDefault="0008566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623293" w:history="1">
            <w:r w:rsidR="00F24392" w:rsidRPr="00371729">
              <w:rPr>
                <w:rStyle w:val="Hyperlink"/>
                <w:noProof/>
              </w:rPr>
              <w:t>2.1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Allgemeine Struktur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_Toc115623293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16AF79D0" w14:textId="133BA2C9" w:rsidR="00F24392" w:rsidRDefault="0008566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623294" w:history="1">
            <w:r w:rsidR="00F24392" w:rsidRPr="00371729">
              <w:rPr>
                <w:rStyle w:val="Hyperlink"/>
                <w:noProof/>
              </w:rPr>
              <w:t>2.2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Beispiel: Glycin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_Toc115623294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64E0D3F6" w14:textId="54AAC5C5" w:rsidR="00F24392" w:rsidRDefault="0008566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623295" w:history="1">
            <w:r w:rsidR="00F24392" w:rsidRPr="00371729">
              <w:rPr>
                <w:rStyle w:val="Hyperlink"/>
                <w:noProof/>
              </w:rPr>
              <w:t>2.3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Form von Aminosäuren in Proteinen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_Toc115623295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20307570" w14:textId="4FFD6AF7" w:rsidR="00F24392" w:rsidRDefault="00085661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623296" w:history="1">
            <w:r w:rsidR="00F24392" w:rsidRPr="00371729">
              <w:rPr>
                <w:rStyle w:val="Hyperlink"/>
                <w:noProof/>
              </w:rPr>
              <w:t>3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Einteilung von Aminosäuren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_Toc115623296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7E1600D5" w14:textId="5E7BF362" w:rsidR="00F24392" w:rsidRDefault="00085661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623297" w:history="1">
            <w:r w:rsidR="00F24392" w:rsidRPr="00371729">
              <w:rPr>
                <w:rStyle w:val="Hyperlink"/>
                <w:noProof/>
              </w:rPr>
              <w:t>4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Säure-Base-Eigenschaften der Aminosäuren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_Toc115623297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2D2ADF98" w14:textId="097DCD1B" w:rsidR="00F24392" w:rsidRDefault="00085661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15623298" w:history="1">
            <w:r w:rsidR="00F24392" w:rsidRPr="00371729">
              <w:rPr>
                <w:rStyle w:val="Hyperlink"/>
                <w:noProof/>
              </w:rPr>
              <w:t>5</w:t>
            </w:r>
            <w:r w:rsidR="00F2439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24392" w:rsidRPr="00371729">
              <w:rPr>
                <w:rStyle w:val="Hyperlink"/>
                <w:noProof/>
              </w:rPr>
              <w:t>Die Dauerwelle bzw. dauerhafte Glättung</w:t>
            </w:r>
            <w:r w:rsidR="00F24392">
              <w:rPr>
                <w:noProof/>
                <w:webHidden/>
              </w:rPr>
              <w:tab/>
            </w:r>
            <w:r w:rsidR="00F24392">
              <w:rPr>
                <w:noProof/>
                <w:webHidden/>
              </w:rPr>
              <w:fldChar w:fldCharType="begin"/>
            </w:r>
            <w:r w:rsidR="00F24392">
              <w:rPr>
                <w:noProof/>
                <w:webHidden/>
              </w:rPr>
              <w:instrText xml:space="preserve"> PAGEREF _Toc115623298 \h </w:instrText>
            </w:r>
            <w:r w:rsidR="00F24392">
              <w:rPr>
                <w:noProof/>
                <w:webHidden/>
              </w:rPr>
            </w:r>
            <w:r w:rsidR="00F243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24392">
              <w:rPr>
                <w:noProof/>
                <w:webHidden/>
              </w:rPr>
              <w:fldChar w:fldCharType="end"/>
            </w:r>
          </w:hyperlink>
        </w:p>
        <w:p w14:paraId="3B90B688" w14:textId="60D09991" w:rsidR="006C46BC" w:rsidRDefault="006C46BC">
          <w:r>
            <w:rPr>
              <w:b/>
              <w:bCs/>
            </w:rPr>
            <w:fldChar w:fldCharType="end"/>
          </w:r>
        </w:p>
      </w:sdtContent>
    </w:sdt>
    <w:p w14:paraId="39B764B6" w14:textId="7351EEE0" w:rsidR="005A49C9" w:rsidRDefault="00693415" w:rsidP="00693415">
      <w:pPr>
        <w:pStyle w:val="EinstiegAbschluss"/>
        <w:numPr>
          <w:ilvl w:val="0"/>
          <w:numId w:val="0"/>
        </w:numPr>
      </w:pPr>
      <w:bookmarkStart w:id="0" w:name="_Überschrift_1"/>
      <w:bookmarkEnd w:id="0"/>
      <w:r>
        <w:t xml:space="preserve">Einstieg: </w:t>
      </w:r>
      <w:r w:rsidR="001F05AC">
        <w:t>Die Menschen sind selten mit dem zufrieden, was sie haben</w:t>
      </w:r>
      <w:r>
        <w:t xml:space="preserve">. Menschen mit glatten Haaren hätten lieber lockige Haare und Menschen mit lockigen Haaren lieber glatte. Beide Wünsche lassen sich mithilfe des gleichen chemischen Vorgangs erfüllen: der Friseur macht in beiden Fällen das </w:t>
      </w:r>
      <w:r w:rsidR="00DA22D6">
        <w:t>G</w:t>
      </w:r>
      <w:r>
        <w:t xml:space="preserve">leiche. Bei der Hydrolyse eines Haares </w:t>
      </w:r>
      <w:r w:rsidR="001F05AC">
        <w:t>wird die Stoffklasse der Aminosäure</w:t>
      </w:r>
      <w:r w:rsidR="0064236D">
        <w:t>n unverkennbar</w:t>
      </w:r>
      <w:r>
        <w:t xml:space="preserve">. Die Aminosäure </w:t>
      </w:r>
      <w:proofErr w:type="spellStart"/>
      <w:r>
        <w:t>Cystein</w:t>
      </w:r>
      <w:proofErr w:type="spellEnd"/>
      <w:r>
        <w:t xml:space="preserve"> ist dabei für die Chemie der Dauerwelle bzw. der dauerhaften Glättung </w:t>
      </w:r>
      <w:r w:rsidR="00DA22D6">
        <w:t>essenziell</w:t>
      </w:r>
      <w:r>
        <w:t xml:space="preserve">. Warum so widersprüchliche Phänomene mit den gleichen chemischen Vorgängen verknüpft sind, wird im Folgenden </w:t>
      </w:r>
      <w:r w:rsidR="001C34C2">
        <w:t>er</w:t>
      </w:r>
      <w:r>
        <w:t>klärt.</w:t>
      </w:r>
    </w:p>
    <w:p w14:paraId="4B9F63C5" w14:textId="05472A41" w:rsidR="00E8473B" w:rsidRDefault="00D1137B" w:rsidP="008A524D">
      <w:pPr>
        <w:pStyle w:val="berschrift1"/>
      </w:pPr>
      <w:bookmarkStart w:id="1" w:name="_Toc115623291"/>
      <w:proofErr w:type="spellStart"/>
      <w:r>
        <w:t>Proteinogene</w:t>
      </w:r>
      <w:proofErr w:type="spellEnd"/>
      <w:r>
        <w:t xml:space="preserve">, kanonische und </w:t>
      </w:r>
      <w:r w:rsidR="0064236D">
        <w:t>essenzielle</w:t>
      </w:r>
      <w:r>
        <w:t xml:space="preserve"> Aminosäuren</w:t>
      </w:r>
      <w:bookmarkEnd w:id="1"/>
    </w:p>
    <w:p w14:paraId="3CC36B9C" w14:textId="2EE8CD09" w:rsidR="004273A5" w:rsidRPr="004273A5" w:rsidRDefault="00E43323" w:rsidP="004273A5">
      <w:r>
        <w:t xml:space="preserve">Als Bausteine </w:t>
      </w:r>
      <w:r w:rsidR="00E74D86">
        <w:t>der</w:t>
      </w:r>
      <w:r>
        <w:t xml:space="preserve"> Proteine sind Aminosäuren in allen Lebewesen </w:t>
      </w:r>
      <w:r w:rsidR="00F82514">
        <w:t>anzutreffen</w:t>
      </w:r>
      <w:r w:rsidR="008053F4">
        <w:t xml:space="preserve">. Es gibt jedoch noch weitaus mehr Aminosäuren, die in sehr vielen </w:t>
      </w:r>
      <w:r w:rsidR="00DA22D6">
        <w:t>B</w:t>
      </w:r>
      <w:r w:rsidR="008053F4">
        <w:t>ereichen zu finden sind</w:t>
      </w:r>
      <w:r w:rsidR="0064236D">
        <w:t>. S</w:t>
      </w:r>
      <w:r w:rsidR="008053F4">
        <w:t xml:space="preserve">olche aber, die als Bausteine der Proteine verwendet werden können, werden als </w:t>
      </w:r>
      <w:proofErr w:type="spellStart"/>
      <w:r w:rsidR="008053F4">
        <w:t>proteinogene</w:t>
      </w:r>
      <w:proofErr w:type="spellEnd"/>
      <w:r w:rsidR="008053F4">
        <w:t xml:space="preserve"> Aminosäuren bezeichnet. 20 der </w:t>
      </w:r>
      <w:proofErr w:type="spellStart"/>
      <w:r w:rsidR="008053F4">
        <w:t>proteinogenen</w:t>
      </w:r>
      <w:proofErr w:type="spellEnd"/>
      <w:r w:rsidR="008053F4">
        <w:t xml:space="preserve"> Aminosäuren </w:t>
      </w:r>
      <w:r w:rsidR="00F82514">
        <w:t xml:space="preserve">können durch Codons in der DNA verschlüsselt werden. </w:t>
      </w:r>
      <w:r w:rsidR="001D0EF8">
        <w:t xml:space="preserve">Diese findet man unter dem Begriff der kanonischen Aminosäuren. </w:t>
      </w:r>
      <w:r>
        <w:t xml:space="preserve">Manche Aminosäuren kann der menschliche Organismus selbst synthetisieren, andere sogenannte </w:t>
      </w:r>
      <w:r w:rsidR="0064236D">
        <w:t>essenzielle</w:t>
      </w:r>
      <w:r>
        <w:t xml:space="preserve"> Aminosäuren wiederrum müssen, wie der Name schon sagt, über die Nahrung aufgenommen werden. </w:t>
      </w:r>
      <w:r w:rsidR="001D0EF8">
        <w:t>In Tab. 1 sind Beispiele wichtiger Funktionen aufgeführt, welche die drei beispielhaften Aminosäuren Histidin, Lysin und Glutaminsäure im Körper erfüllen.</w:t>
      </w:r>
    </w:p>
    <w:p w14:paraId="4E19EFE2" w14:textId="3E1E1D7A" w:rsidR="001C34C2" w:rsidRDefault="001C34C2">
      <w:pPr>
        <w:spacing w:before="0"/>
        <w:jc w:val="left"/>
      </w:pPr>
      <w: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5638"/>
      </w:tblGrid>
      <w:tr w:rsidR="004273A5" w:rsidRPr="004273A5" w14:paraId="3D6349CF" w14:textId="77777777" w:rsidTr="00D1137B">
        <w:trPr>
          <w:trHeight w:val="270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5E93D503" w14:textId="77777777" w:rsidR="004273A5" w:rsidRPr="004273A5" w:rsidRDefault="004273A5" w:rsidP="004273A5">
            <w:pPr>
              <w:jc w:val="center"/>
              <w:rPr>
                <w:rStyle w:val="Fett"/>
              </w:rPr>
            </w:pPr>
            <w:r w:rsidRPr="004273A5">
              <w:rPr>
                <w:rStyle w:val="Fett"/>
              </w:rPr>
              <w:lastRenderedPageBreak/>
              <w:t>Aminosäure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685FC707" w14:textId="77777777" w:rsidR="004273A5" w:rsidRPr="004273A5" w:rsidRDefault="004273A5" w:rsidP="004273A5">
            <w:pPr>
              <w:jc w:val="center"/>
              <w:rPr>
                <w:rStyle w:val="Fett"/>
              </w:rPr>
            </w:pPr>
            <w:r w:rsidRPr="004273A5">
              <w:rPr>
                <w:rStyle w:val="Fett"/>
              </w:rPr>
              <w:t>Funktion</w:t>
            </w:r>
          </w:p>
        </w:tc>
      </w:tr>
      <w:tr w:rsidR="004273A5" w:rsidRPr="004273A5" w14:paraId="06A5E49F" w14:textId="77777777" w:rsidTr="00D1137B">
        <w:trPr>
          <w:trHeight w:val="855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3641D" w14:textId="77777777" w:rsidR="004273A5" w:rsidRPr="004273A5" w:rsidRDefault="004273A5" w:rsidP="004273A5">
            <w:pPr>
              <w:jc w:val="center"/>
            </w:pPr>
            <w:r w:rsidRPr="004273A5">
              <w:t>Histidin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4852C" w14:textId="3866C383" w:rsidR="004273A5" w:rsidRPr="004273A5" w:rsidRDefault="004273A5" w:rsidP="004273A5">
            <w:pPr>
              <w:pStyle w:val="Liste1Aufzhlung"/>
              <w:jc w:val="left"/>
            </w:pPr>
            <w:r w:rsidRPr="004273A5">
              <w:t>Schlüssel</w:t>
            </w:r>
            <w:r w:rsidR="00D1137B">
              <w:t>f</w:t>
            </w:r>
            <w:r w:rsidRPr="004273A5">
              <w:t>unktion bei der Bildung von Hämoglobin</w:t>
            </w:r>
          </w:p>
        </w:tc>
      </w:tr>
      <w:tr w:rsidR="004273A5" w:rsidRPr="004273A5" w14:paraId="7EDF4DC7" w14:textId="77777777" w:rsidTr="00D1137B">
        <w:trPr>
          <w:trHeight w:val="1140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05026" w14:textId="77777777" w:rsidR="004273A5" w:rsidRPr="004273A5" w:rsidRDefault="004273A5" w:rsidP="004273A5">
            <w:pPr>
              <w:jc w:val="center"/>
            </w:pPr>
            <w:r w:rsidRPr="004273A5">
              <w:t>Lysin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F97F9" w14:textId="1E82DC40" w:rsidR="004273A5" w:rsidRPr="004273A5" w:rsidRDefault="004273A5" w:rsidP="004273A5">
            <w:pPr>
              <w:pStyle w:val="Liste1Aufzhlung"/>
              <w:jc w:val="left"/>
            </w:pPr>
            <w:r w:rsidRPr="004273A5">
              <w:t>Kollagen</w:t>
            </w:r>
            <w:r w:rsidR="007D5463">
              <w:t>b</w:t>
            </w:r>
            <w:r w:rsidRPr="004273A5">
              <w:t>ildung in Blut</w:t>
            </w:r>
            <w:r w:rsidR="007D5463">
              <w:t>g</w:t>
            </w:r>
            <w:r w:rsidRPr="004273A5">
              <w:t>efäßen, Haut, Knochen und Zähnen</w:t>
            </w:r>
          </w:p>
          <w:p w14:paraId="1B8600F4" w14:textId="77777777" w:rsidR="004273A5" w:rsidRPr="004273A5" w:rsidRDefault="004273A5" w:rsidP="004273A5">
            <w:pPr>
              <w:pStyle w:val="Liste1Aufzhlung"/>
              <w:jc w:val="left"/>
            </w:pPr>
            <w:r w:rsidRPr="004273A5">
              <w:t>Säure-Base-Pufferfunktion</w:t>
            </w:r>
          </w:p>
        </w:tc>
      </w:tr>
      <w:tr w:rsidR="004273A5" w:rsidRPr="004273A5" w14:paraId="3115EDAF" w14:textId="77777777" w:rsidTr="00D1137B">
        <w:trPr>
          <w:trHeight w:val="1710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7D3E3" w14:textId="1E77EEDA" w:rsidR="004273A5" w:rsidRPr="004273A5" w:rsidRDefault="004273A5" w:rsidP="004273A5">
            <w:pPr>
              <w:jc w:val="center"/>
            </w:pPr>
            <w:r w:rsidRPr="004273A5">
              <w:t>Glutaminsäure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88A66" w14:textId="421B5A40" w:rsidR="004273A5" w:rsidRPr="004273A5" w:rsidRDefault="007D5463" w:rsidP="004273A5">
            <w:pPr>
              <w:pStyle w:val="Liste1Aufzhlung"/>
              <w:jc w:val="left"/>
            </w:pPr>
            <w:r>
              <w:t>Bindung</w:t>
            </w:r>
            <w:r w:rsidR="004273A5" w:rsidRPr="004273A5">
              <w:t xml:space="preserve"> das beim Protein- und Aminosäure</w:t>
            </w:r>
            <w:r>
              <w:t>a</w:t>
            </w:r>
            <w:r w:rsidR="004273A5" w:rsidRPr="004273A5">
              <w:t>bbau freiwerdende Zell</w:t>
            </w:r>
            <w:r>
              <w:t>g</w:t>
            </w:r>
            <w:r w:rsidR="004273A5" w:rsidRPr="004273A5">
              <w:t>ift Ammoniak</w:t>
            </w:r>
          </w:p>
          <w:p w14:paraId="73F24A36" w14:textId="75DC986F" w:rsidR="004273A5" w:rsidRPr="004273A5" w:rsidRDefault="004273A5" w:rsidP="004273A5">
            <w:pPr>
              <w:pStyle w:val="Liste1Aufzhlung"/>
              <w:jc w:val="left"/>
            </w:pPr>
            <w:r w:rsidRPr="004273A5">
              <w:t>wichtigste</w:t>
            </w:r>
            <w:r w:rsidR="007D5463">
              <w:t>r</w:t>
            </w:r>
            <w:r w:rsidRPr="004273A5">
              <w:t xml:space="preserve"> erregende</w:t>
            </w:r>
            <w:r w:rsidR="007D5463">
              <w:t>r</w:t>
            </w:r>
            <w:r w:rsidRPr="004273A5">
              <w:t xml:space="preserve"> Neurotransmitter im ZNS der Wirbeltiere</w:t>
            </w:r>
          </w:p>
        </w:tc>
      </w:tr>
    </w:tbl>
    <w:p w14:paraId="314C13FD" w14:textId="0650912B" w:rsidR="004273A5" w:rsidRDefault="004273A5" w:rsidP="004273A5">
      <w:pPr>
        <w:pStyle w:val="Beschriftung"/>
      </w:pPr>
      <w:bookmarkStart w:id="2" w:name="_Ref46317899"/>
      <w:r>
        <w:t xml:space="preserve">Tab. </w:t>
      </w:r>
      <w:r w:rsidR="00085661">
        <w:fldChar w:fldCharType="begin"/>
      </w:r>
      <w:r w:rsidR="00085661">
        <w:instrText xml:space="preserve"> SEQ Tab. \* ARABIC </w:instrText>
      </w:r>
      <w:r w:rsidR="00085661">
        <w:fldChar w:fldCharType="separate"/>
      </w:r>
      <w:r w:rsidR="00085661">
        <w:rPr>
          <w:noProof/>
        </w:rPr>
        <w:t>1</w:t>
      </w:r>
      <w:r w:rsidR="00085661">
        <w:rPr>
          <w:noProof/>
        </w:rPr>
        <w:fldChar w:fldCharType="end"/>
      </w:r>
      <w:bookmarkEnd w:id="2"/>
      <w:r>
        <w:t>: Beispiele für die Funktionen von Aminosäuren</w:t>
      </w:r>
      <w:r w:rsidR="00477AF4">
        <w:t>.</w:t>
      </w:r>
    </w:p>
    <w:p w14:paraId="4EA79A57" w14:textId="77777777" w:rsidR="004273A5" w:rsidRDefault="004273A5" w:rsidP="004273A5">
      <w:pPr>
        <w:pStyle w:val="berschrift1"/>
      </w:pPr>
      <w:bookmarkStart w:id="3" w:name="_Toc115623292"/>
      <w:r>
        <w:t>Struktur von Aminosäuren</w:t>
      </w:r>
      <w:bookmarkEnd w:id="3"/>
    </w:p>
    <w:p w14:paraId="0ED8D5BF" w14:textId="77777777" w:rsidR="004273A5" w:rsidRDefault="004273A5" w:rsidP="004273A5">
      <w:pPr>
        <w:pStyle w:val="berschrift2"/>
      </w:pPr>
      <w:bookmarkStart w:id="4" w:name="_Toc115623293"/>
      <w:r>
        <w:t>Allgemeine Struktur</w:t>
      </w:r>
      <w:bookmarkEnd w:id="4"/>
    </w:p>
    <w:p w14:paraId="2F8CC792" w14:textId="24E82B6D" w:rsidR="004273A5" w:rsidRDefault="004273A5" w:rsidP="004273A5">
      <w:r w:rsidRPr="004273A5">
        <w:t>Alle Aminosäuren weisen einen gemeinsamen Grundaufbau auf (</w:t>
      </w:r>
      <w:r>
        <w:rPr>
          <w:color w:val="FF00FF" w:themeColor="accent4"/>
        </w:rPr>
        <w:fldChar w:fldCharType="begin"/>
      </w:r>
      <w:r>
        <w:instrText xml:space="preserve"> REF _Ref46317997 \h </w:instrText>
      </w:r>
      <w:r>
        <w:rPr>
          <w:color w:val="FF00FF" w:themeColor="accent4"/>
        </w:rPr>
      </w:r>
      <w:r>
        <w:rPr>
          <w:color w:val="FF00FF" w:themeColor="accent4"/>
        </w:rPr>
        <w:fldChar w:fldCharType="separate"/>
      </w:r>
      <w:r w:rsidR="00085661" w:rsidRPr="003437B0">
        <w:t xml:space="preserve">Abb. </w:t>
      </w:r>
      <w:r w:rsidR="00085661">
        <w:rPr>
          <w:noProof/>
        </w:rPr>
        <w:t>1</w:t>
      </w:r>
      <w:r>
        <w:rPr>
          <w:color w:val="FF00FF" w:themeColor="accent4"/>
        </w:rPr>
        <w:fldChar w:fldCharType="end"/>
      </w:r>
      <w:r w:rsidRPr="004273A5">
        <w:t xml:space="preserve">). </w:t>
      </w:r>
      <w:r w:rsidR="00AD2328">
        <w:t xml:space="preserve">In Proteinen kommen ausschließlich sogenannte </w:t>
      </w:r>
      <w:r w:rsidR="007D5463">
        <w:rPr>
          <w:rFonts w:cs="Arial"/>
        </w:rPr>
        <w:t>α</w:t>
      </w:r>
      <w:r w:rsidR="007D5463">
        <w:t>-</w:t>
      </w:r>
      <w:r w:rsidRPr="004273A5">
        <w:t>Aminosäuren</w:t>
      </w:r>
      <w:r w:rsidR="00AD2328">
        <w:t xml:space="preserve"> vor. In </w:t>
      </w:r>
      <w:r w:rsidR="00AD2328">
        <w:rPr>
          <w:rFonts w:cs="Arial"/>
        </w:rPr>
        <w:t>α</w:t>
      </w:r>
      <w:r w:rsidR="00AD2328">
        <w:t>-</w:t>
      </w:r>
      <w:r w:rsidR="00AD2328" w:rsidRPr="004273A5">
        <w:t xml:space="preserve">Aminosäuren </w:t>
      </w:r>
      <w:r w:rsidRPr="004273A5">
        <w:t xml:space="preserve">sind jeweils die </w:t>
      </w:r>
      <w:proofErr w:type="spellStart"/>
      <w:r w:rsidRPr="004273A5">
        <w:t>Carboxy</w:t>
      </w:r>
      <w:proofErr w:type="spellEnd"/>
      <w:r w:rsidRPr="004273A5">
        <w:t xml:space="preserve">- und die </w:t>
      </w:r>
      <w:proofErr w:type="spellStart"/>
      <w:r w:rsidRPr="004273A5">
        <w:t>Amino</w:t>
      </w:r>
      <w:proofErr w:type="spellEnd"/>
      <w:r>
        <w:t>-G</w:t>
      </w:r>
      <w:r w:rsidRPr="004273A5">
        <w:t>ruppe an das gleiche Kohlenstoff</w:t>
      </w:r>
      <w:r>
        <w:t>-A</w:t>
      </w:r>
      <w:r w:rsidRPr="004273A5">
        <w:t>tom (</w:t>
      </w:r>
      <w:r>
        <w:rPr>
          <w:rFonts w:cs="Arial"/>
        </w:rPr>
        <w:t>α</w:t>
      </w:r>
      <w:r w:rsidRPr="004273A5">
        <w:t>-C-Atom) gebunden.</w:t>
      </w:r>
      <w:r w:rsidR="007D5463">
        <w:t xml:space="preserve"> </w:t>
      </w:r>
      <w:r w:rsidRPr="004273A5">
        <w:t>Die verschiedenen Aminosäuren kann man anhand ihres Restes R</w:t>
      </w:r>
      <w:r w:rsidR="007D5463">
        <w:t xml:space="preserve"> </w:t>
      </w:r>
      <w:r w:rsidRPr="004273A5">
        <w:t>unterscheiden. Die Seiten</w:t>
      </w:r>
      <w:r w:rsidR="007D5463">
        <w:t>k</w:t>
      </w:r>
      <w:r w:rsidRPr="004273A5">
        <w:t xml:space="preserve">etten </w:t>
      </w:r>
      <w:r w:rsidR="007D5463">
        <w:t xml:space="preserve">R </w:t>
      </w:r>
      <w:r w:rsidRPr="004273A5">
        <w:t xml:space="preserve">können in ihrer Struktur, Größe und elektrischer Ladung variieren und die </w:t>
      </w:r>
      <w:r w:rsidR="007D5463">
        <w:t xml:space="preserve">Reaktivität und </w:t>
      </w:r>
      <w:r w:rsidRPr="004273A5">
        <w:t xml:space="preserve">Löslichkeit der </w:t>
      </w:r>
      <w:r w:rsidR="00693415">
        <w:t xml:space="preserve">jeweiligen </w:t>
      </w:r>
      <w:r w:rsidRPr="004273A5">
        <w:t>Aminosäure beeinflussen.</w:t>
      </w:r>
    </w:p>
    <w:p w14:paraId="46D0F4F2" w14:textId="04B1449E" w:rsidR="004273A5" w:rsidRPr="000054DF" w:rsidRDefault="003E6DDF" w:rsidP="004273A5">
      <w:pPr>
        <w:pStyle w:val="Bilder"/>
      </w:pPr>
      <w:r>
        <w:object w:dxaOrig="4150" w:dyaOrig="1070" w14:anchorId="78FA2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72.75pt" o:ole="">
            <v:imagedata r:id="rId9" o:title=""/>
          </v:shape>
          <o:OLEObject Type="Embed" ProgID="ACD.ChemSketch.20" ShapeID="_x0000_i1025" DrawAspect="Content" ObjectID="_1727504441" r:id="rId10"/>
        </w:object>
      </w:r>
    </w:p>
    <w:p w14:paraId="5951B7A3" w14:textId="4D1AF0DC" w:rsidR="004273A5" w:rsidRDefault="004273A5" w:rsidP="003437B0">
      <w:pPr>
        <w:pStyle w:val="Beschriftung"/>
      </w:pPr>
      <w:bookmarkStart w:id="5" w:name="_Ref46317997"/>
      <w:r w:rsidRPr="003437B0">
        <w:t xml:space="preserve">Abb. </w:t>
      </w:r>
      <w:r w:rsidR="00085661">
        <w:fldChar w:fldCharType="begin"/>
      </w:r>
      <w:r w:rsidR="00085661">
        <w:instrText xml:space="preserve"> SEQ Abb. \* ARABIC </w:instrText>
      </w:r>
      <w:r w:rsidR="00085661">
        <w:fldChar w:fldCharType="separate"/>
      </w:r>
      <w:r w:rsidR="00085661">
        <w:rPr>
          <w:noProof/>
        </w:rPr>
        <w:t>1</w:t>
      </w:r>
      <w:r w:rsidR="00085661">
        <w:rPr>
          <w:noProof/>
        </w:rPr>
        <w:fldChar w:fldCharType="end"/>
      </w:r>
      <w:bookmarkEnd w:id="5"/>
      <w:r w:rsidRPr="003437B0">
        <w:t>: Allgemeine Struktur von Aminosäuren</w:t>
      </w:r>
    </w:p>
    <w:p w14:paraId="2EFECC3F" w14:textId="77777777" w:rsidR="004273A5" w:rsidRDefault="004273A5" w:rsidP="004273A5">
      <w:pPr>
        <w:pStyle w:val="berschrift2"/>
      </w:pPr>
      <w:bookmarkStart w:id="6" w:name="_Toc115623294"/>
      <w:r>
        <w:t>Beispiel: Glycin</w:t>
      </w:r>
      <w:bookmarkEnd w:id="6"/>
    </w:p>
    <w:p w14:paraId="7FEE532A" w14:textId="16A42864" w:rsidR="004273A5" w:rsidRDefault="004273A5" w:rsidP="004273A5">
      <w:r w:rsidRPr="004273A5">
        <w:t>Glycin ist die kleinste und einfachste Aminosäure (</w:t>
      </w:r>
      <w:r>
        <w:rPr>
          <w:color w:val="FF00FF" w:themeColor="accent4"/>
        </w:rPr>
        <w:fldChar w:fldCharType="begin"/>
      </w:r>
      <w:r>
        <w:instrText xml:space="preserve"> REF _Ref46318117 \h </w:instrText>
      </w:r>
      <w:r>
        <w:rPr>
          <w:color w:val="FF00FF" w:themeColor="accent4"/>
        </w:rPr>
      </w:r>
      <w:r>
        <w:rPr>
          <w:color w:val="FF00FF" w:themeColor="accent4"/>
        </w:rPr>
        <w:fldChar w:fldCharType="separate"/>
      </w:r>
      <w:r w:rsidR="00085661">
        <w:t xml:space="preserve">Abb. </w:t>
      </w:r>
      <w:r w:rsidR="00085661">
        <w:rPr>
          <w:noProof/>
        </w:rPr>
        <w:t>2</w:t>
      </w:r>
      <w:r>
        <w:rPr>
          <w:color w:val="FF00FF" w:themeColor="accent4"/>
        </w:rPr>
        <w:fldChar w:fldCharType="end"/>
      </w:r>
      <w:r w:rsidRPr="004273A5">
        <w:t>). Auf</w:t>
      </w:r>
      <w:r w:rsidR="004A5C4F">
        <w:t>g</w:t>
      </w:r>
      <w:r w:rsidRPr="004273A5">
        <w:t>rund seiner geringen Größe wird es in Proteinen oft an räumlich beengten Positionen eingebaut.</w:t>
      </w:r>
    </w:p>
    <w:p w14:paraId="74F980FE" w14:textId="6A22247D" w:rsidR="004273A5" w:rsidRDefault="00D06F2B" w:rsidP="004273A5">
      <w:pPr>
        <w:pStyle w:val="Bilder"/>
      </w:pPr>
      <w:r>
        <w:object w:dxaOrig="991" w:dyaOrig="1041" w14:anchorId="6CF583C8">
          <v:shape id="_x0000_i1026" type="#_x0000_t75" style="width:1in;height:75.75pt" o:ole="">
            <v:imagedata r:id="rId11" o:title=""/>
          </v:shape>
          <o:OLEObject Type="Embed" ProgID="ACD.ChemSketch.20" ShapeID="_x0000_i1026" DrawAspect="Content" ObjectID="_1727504442" r:id="rId12"/>
        </w:object>
      </w:r>
    </w:p>
    <w:p w14:paraId="22D69187" w14:textId="728DDCEB" w:rsidR="004273A5" w:rsidRDefault="004273A5" w:rsidP="004273A5">
      <w:pPr>
        <w:pStyle w:val="Beschriftung"/>
      </w:pPr>
      <w:bookmarkStart w:id="7" w:name="_Ref46318117"/>
      <w:r>
        <w:t xml:space="preserve">Abb. </w:t>
      </w:r>
      <w:r w:rsidR="00085661">
        <w:fldChar w:fldCharType="begin"/>
      </w:r>
      <w:r w:rsidR="00085661">
        <w:instrText xml:space="preserve"> SEQ Abb. \* ARABIC </w:instrText>
      </w:r>
      <w:r w:rsidR="00085661">
        <w:fldChar w:fldCharType="separate"/>
      </w:r>
      <w:r w:rsidR="00085661">
        <w:rPr>
          <w:noProof/>
        </w:rPr>
        <w:t>2</w:t>
      </w:r>
      <w:r w:rsidR="00085661">
        <w:rPr>
          <w:noProof/>
        </w:rPr>
        <w:fldChar w:fldCharType="end"/>
      </w:r>
      <w:bookmarkEnd w:id="7"/>
      <w:r>
        <w:t>: Struktur von Glycin</w:t>
      </w:r>
      <w:r w:rsidR="00477AF4">
        <w:t>.</w:t>
      </w:r>
    </w:p>
    <w:p w14:paraId="1C99A842" w14:textId="6FBD2052" w:rsidR="004273A5" w:rsidRDefault="004273A5" w:rsidP="004273A5">
      <w:r w:rsidRPr="004273A5">
        <w:t>Vor allem im Kollagen, einem beim Menschen oder bei vielzelligen Tieren vorkommenden Struktur</w:t>
      </w:r>
      <w:r w:rsidR="00912A74">
        <w:t>p</w:t>
      </w:r>
      <w:r w:rsidRPr="004273A5">
        <w:t>rotein hauptsächlich des Binde</w:t>
      </w:r>
      <w:r>
        <w:t>-G</w:t>
      </w:r>
      <w:r w:rsidRPr="004273A5">
        <w:t xml:space="preserve">ewebes, </w:t>
      </w:r>
      <w:r w:rsidR="00F2799B">
        <w:t>ist Glycin wesentlich</w:t>
      </w:r>
      <w:r w:rsidRPr="004273A5">
        <w:t>. Auffällig ist, dass Glycin in der Kollagen</w:t>
      </w:r>
      <w:r>
        <w:t>-H</w:t>
      </w:r>
      <w:r w:rsidRPr="004273A5">
        <w:t>elix an jeder dritten Stelle zu finden ist. Es ist in der Lage zu anderen Aminosäuren Wasserstoffbrücken</w:t>
      </w:r>
      <w:r>
        <w:t>-B</w:t>
      </w:r>
      <w:r w:rsidRPr="004273A5">
        <w:t>indungen auszubilden und verleiht dem Kollagen (Form einer Helix (</w:t>
      </w:r>
      <w:r>
        <w:rPr>
          <w:color w:val="FF00FF" w:themeColor="accent4"/>
        </w:rPr>
        <w:fldChar w:fldCharType="begin"/>
      </w:r>
      <w:r>
        <w:instrText xml:space="preserve"> REF _Ref46318191 \h </w:instrText>
      </w:r>
      <w:r>
        <w:rPr>
          <w:color w:val="FF00FF" w:themeColor="accent4"/>
        </w:rPr>
      </w:r>
      <w:r>
        <w:rPr>
          <w:color w:val="FF00FF" w:themeColor="accent4"/>
        </w:rPr>
        <w:fldChar w:fldCharType="separate"/>
      </w:r>
      <w:r w:rsidR="00085661">
        <w:t xml:space="preserve">Abb. </w:t>
      </w:r>
      <w:r w:rsidR="00085661">
        <w:rPr>
          <w:noProof/>
        </w:rPr>
        <w:t>3</w:t>
      </w:r>
      <w:r>
        <w:rPr>
          <w:color w:val="FF00FF" w:themeColor="accent4"/>
        </w:rPr>
        <w:fldChar w:fldCharType="end"/>
      </w:r>
      <w:r w:rsidRPr="004273A5">
        <w:t>)) dadurch seine enorme Zugfestigkeit.</w:t>
      </w:r>
    </w:p>
    <w:p w14:paraId="4DD8B901" w14:textId="77777777" w:rsidR="004273A5" w:rsidRDefault="004273A5" w:rsidP="004273A5">
      <w:pPr>
        <w:pStyle w:val="Bilder"/>
      </w:pPr>
      <w:r>
        <w:rPr>
          <w:lang w:eastAsia="de-DE"/>
        </w:rPr>
        <w:lastRenderedPageBreak/>
        <w:drawing>
          <wp:inline distT="0" distB="0" distL="0" distR="0" wp14:anchorId="7BA2630C" wp14:editId="1FBECF54">
            <wp:extent cx="485775" cy="2381250"/>
            <wp:effectExtent l="0" t="0" r="9525" b="0"/>
            <wp:docPr id="4" name="Grafik 4" descr="\\home-pc.uni-bayreuth.de\group\vivaorg_10150105\ORG\W3Seiten\aktuell\umat\aminosaeuren\kolla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home-pc.uni-bayreuth.de\group\vivaorg_10150105\ORG\W3Seiten\aktuell\umat\aminosaeuren\kollagen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2AB7" w14:textId="61135250" w:rsidR="004273A5" w:rsidRDefault="004273A5" w:rsidP="004273A5">
      <w:pPr>
        <w:pStyle w:val="Beschriftung"/>
      </w:pPr>
      <w:bookmarkStart w:id="8" w:name="_Ref46318191"/>
      <w:r>
        <w:t xml:space="preserve">Abb. </w:t>
      </w:r>
      <w:r w:rsidR="00085661">
        <w:fldChar w:fldCharType="begin"/>
      </w:r>
      <w:r w:rsidR="00085661">
        <w:instrText xml:space="preserve"> SEQ Abb. \* ARABIC </w:instrText>
      </w:r>
      <w:r w:rsidR="00085661">
        <w:fldChar w:fldCharType="separate"/>
      </w:r>
      <w:r w:rsidR="00085661">
        <w:rPr>
          <w:noProof/>
        </w:rPr>
        <w:t>3</w:t>
      </w:r>
      <w:r w:rsidR="00085661">
        <w:rPr>
          <w:noProof/>
        </w:rPr>
        <w:fldChar w:fldCharType="end"/>
      </w:r>
      <w:bookmarkEnd w:id="8"/>
      <w:r>
        <w:t>: Ko</w:t>
      </w:r>
      <w:r w:rsidR="00477AF4">
        <w:t>l</w:t>
      </w:r>
      <w:r>
        <w:t>lagen-</w:t>
      </w:r>
      <w:r w:rsidR="00477AF4">
        <w:t>Tripelh</w:t>
      </w:r>
      <w:r>
        <w:t>elix [</w:t>
      </w:r>
      <w:r>
        <w:fldChar w:fldCharType="begin"/>
      </w:r>
      <w:r>
        <w:instrText xml:space="preserve"> REF _Ref46318172 \r \h </w:instrText>
      </w:r>
      <w:r>
        <w:fldChar w:fldCharType="separate"/>
      </w:r>
      <w:r w:rsidR="00085661">
        <w:t>1</w:t>
      </w:r>
      <w:r>
        <w:fldChar w:fldCharType="end"/>
      </w:r>
      <w:r>
        <w:t>]</w:t>
      </w:r>
      <w:r w:rsidR="00477AF4">
        <w:t>.</w:t>
      </w:r>
    </w:p>
    <w:p w14:paraId="01F96FAC" w14:textId="77777777" w:rsidR="004273A5" w:rsidRDefault="004273A5" w:rsidP="004273A5">
      <w:r w:rsidRPr="004273A5">
        <w:t xml:space="preserve">Glycin kann vom Körper selbst hergestellt werden, muss also nicht über die Nahrung aufgenommen werden und gehört somit nicht zu den essentiellen Aminosäuren. Außerdem gilt Glycin als eines der wichtigsten </w:t>
      </w:r>
      <w:proofErr w:type="spellStart"/>
      <w:r w:rsidRPr="004273A5">
        <w:t>inhibitorischen</w:t>
      </w:r>
      <w:proofErr w:type="spellEnd"/>
      <w:r w:rsidRPr="004273A5">
        <w:t xml:space="preserve"> neuronalen Botenstoffe (Neurotransmitter).</w:t>
      </w:r>
    </w:p>
    <w:p w14:paraId="593DCE02" w14:textId="77777777" w:rsidR="004273A5" w:rsidRDefault="004273A5" w:rsidP="004273A5">
      <w:pPr>
        <w:pStyle w:val="berschrift2"/>
      </w:pPr>
      <w:bookmarkStart w:id="9" w:name="_Toc115623295"/>
      <w:r>
        <w:t>Form von Aminosäuren in Proteinen</w:t>
      </w:r>
      <w:bookmarkEnd w:id="9"/>
    </w:p>
    <w:p w14:paraId="3315093B" w14:textId="761AAD3E" w:rsidR="004273A5" w:rsidRPr="004273A5" w:rsidRDefault="004273A5" w:rsidP="004273A5">
      <w:r w:rsidRPr="004273A5">
        <w:t xml:space="preserve">Da das </w:t>
      </w:r>
      <w:r>
        <w:rPr>
          <w:rFonts w:cs="Arial"/>
        </w:rPr>
        <w:t>α</w:t>
      </w:r>
      <w:r w:rsidRPr="004273A5">
        <w:t>-C-Atom der Aminosäuren</w:t>
      </w:r>
      <w:r w:rsidR="00835020">
        <w:t xml:space="preserve"> (</w:t>
      </w:r>
      <w:r w:rsidRPr="004273A5">
        <w:t>außer bei Glycin</w:t>
      </w:r>
      <w:r w:rsidR="00835020">
        <w:t>)</w:t>
      </w:r>
      <w:r w:rsidRPr="004273A5">
        <w:t xml:space="preserve"> vier verschiede Substituenten besitzt, </w:t>
      </w:r>
      <w:r w:rsidR="004A5C4F">
        <w:t>ist dieses ein Stereozentrum und das gesamt</w:t>
      </w:r>
      <w:r w:rsidR="00D750AD">
        <w:t>e</w:t>
      </w:r>
      <w:r w:rsidR="004A5C4F">
        <w:t xml:space="preserve"> Molekül </w:t>
      </w:r>
      <w:proofErr w:type="spellStart"/>
      <w:r w:rsidR="004A5C4F">
        <w:t>chiral</w:t>
      </w:r>
      <w:proofErr w:type="spellEnd"/>
      <w:r w:rsidR="004A5C4F">
        <w:t>.</w:t>
      </w:r>
      <w:r w:rsidRPr="004273A5">
        <w:t xml:space="preserve"> Man bezeichnet Moleküle, die </w:t>
      </w:r>
      <w:r w:rsidR="004A5C4F">
        <w:t>dieselbe Summenformel besitzen, s</w:t>
      </w:r>
      <w:r w:rsidRPr="004273A5">
        <w:t xml:space="preserve">ich aber in </w:t>
      </w:r>
      <w:r w:rsidR="00D750AD">
        <w:t xml:space="preserve">dem Vorzeichen </w:t>
      </w:r>
      <w:r w:rsidRPr="004273A5">
        <w:t>der optischen Aktivität unterscheiden</w:t>
      </w:r>
      <w:r w:rsidR="00D750AD">
        <w:t>,</w:t>
      </w:r>
      <w:r w:rsidRPr="004273A5">
        <w:t xml:space="preserve"> als </w:t>
      </w:r>
      <w:proofErr w:type="spellStart"/>
      <w:r w:rsidRPr="004273A5">
        <w:t>Enantiomere</w:t>
      </w:r>
      <w:proofErr w:type="spellEnd"/>
      <w:r w:rsidRPr="004273A5">
        <w:t xml:space="preserve">. </w:t>
      </w:r>
      <w:proofErr w:type="spellStart"/>
      <w:r w:rsidRPr="004273A5">
        <w:t>Enantiomere</w:t>
      </w:r>
      <w:proofErr w:type="spellEnd"/>
      <w:r w:rsidRPr="004273A5">
        <w:t xml:space="preserve"> verhalten sich wie Bild und Spiegelbild</w:t>
      </w:r>
      <w:r w:rsidR="00071564">
        <w:t xml:space="preserve"> zueinander</w:t>
      </w:r>
      <w:r w:rsidRPr="004273A5">
        <w:t xml:space="preserve"> und können durch Drehung der Moleküle nicht zur Deckung gebracht werden. </w:t>
      </w:r>
      <w:r w:rsidR="00D750AD">
        <w:t>In der Fischerprojektion unterscheidet man somit die L</w:t>
      </w:r>
      <w:r w:rsidRPr="004273A5">
        <w:t>- (lat. "</w:t>
      </w:r>
      <w:proofErr w:type="spellStart"/>
      <w:r w:rsidRPr="004273A5">
        <w:t>laevus</w:t>
      </w:r>
      <w:proofErr w:type="spellEnd"/>
      <w:r w:rsidRPr="004273A5">
        <w:t>"</w:t>
      </w:r>
      <w:r w:rsidR="00D750AD">
        <w:t xml:space="preserve">= </w:t>
      </w:r>
      <w:r w:rsidRPr="004273A5">
        <w:t>links) und die D-Form (lat. "</w:t>
      </w:r>
      <w:proofErr w:type="spellStart"/>
      <w:r w:rsidRPr="004273A5">
        <w:t>dexter</w:t>
      </w:r>
      <w:proofErr w:type="spellEnd"/>
      <w:r w:rsidRPr="004273A5">
        <w:t>"</w:t>
      </w:r>
      <w:r w:rsidR="00D750AD">
        <w:t>=</w:t>
      </w:r>
      <w:r w:rsidRPr="004273A5">
        <w:t xml:space="preserve"> rechts) der Aminosäuren.</w:t>
      </w:r>
    </w:p>
    <w:p w14:paraId="3071935F" w14:textId="535AC165" w:rsidR="008D099B" w:rsidRDefault="00D750AD" w:rsidP="004273A5">
      <w:r>
        <w:t>In Proteinen findet man jedoch immer nur die L-Form der Aminosäuren</w:t>
      </w:r>
      <w:r w:rsidR="004273A5" w:rsidRPr="004273A5">
        <w:t>, da der zum Aufbau von Proteinen notwendige Apparat - bestehend aus Ribosomen, tRNA und d</w:t>
      </w:r>
      <w:r>
        <w:t xml:space="preserve">er </w:t>
      </w:r>
      <w:proofErr w:type="spellStart"/>
      <w:r w:rsidR="004273A5" w:rsidRPr="004273A5">
        <w:t>Aminoacyl</w:t>
      </w:r>
      <w:proofErr w:type="spellEnd"/>
      <w:r w:rsidR="004273A5" w:rsidRPr="004273A5">
        <w:t xml:space="preserve">-tRNA </w:t>
      </w:r>
      <w:proofErr w:type="spellStart"/>
      <w:r w:rsidR="004273A5" w:rsidRPr="004273A5">
        <w:t>Synthetase</w:t>
      </w:r>
      <w:proofErr w:type="spellEnd"/>
      <w:r w:rsidR="004273A5" w:rsidRPr="004273A5">
        <w:t xml:space="preserve"> (Enzym, das die tRNA mit Aminosäuren belädt)</w:t>
      </w:r>
      <w:r w:rsidR="00DC16CB">
        <w:t xml:space="preserve"> und anderen</w:t>
      </w:r>
      <w:r w:rsidR="004273A5" w:rsidRPr="004273A5">
        <w:t xml:space="preserve"> - selbst optisch aktiv ist und nur L-</w:t>
      </w:r>
      <w:proofErr w:type="spellStart"/>
      <w:r w:rsidR="004273A5" w:rsidRPr="004273A5">
        <w:t>Enantiomere</w:t>
      </w:r>
      <w:proofErr w:type="spellEnd"/>
      <w:r w:rsidR="004273A5" w:rsidRPr="004273A5">
        <w:t xml:space="preserve"> erkennen kann. Außerdem müssen Aminosäuren zur Bildung von Proteinen alle der gleichen stereochemischen Reihe angehören. Das bedeutet </w:t>
      </w:r>
      <w:r w:rsidR="00DC16CB">
        <w:t xml:space="preserve">zum Beispiel </w:t>
      </w:r>
      <w:r w:rsidR="004273A5" w:rsidRPr="004273A5">
        <w:t xml:space="preserve">für die Bezeichnung L-Alanin, dass die </w:t>
      </w:r>
      <w:proofErr w:type="spellStart"/>
      <w:r w:rsidR="004273A5" w:rsidRPr="004273A5">
        <w:t>Amino</w:t>
      </w:r>
      <w:proofErr w:type="spellEnd"/>
      <w:r w:rsidR="004273A5">
        <w:t>-G</w:t>
      </w:r>
      <w:r w:rsidR="004273A5" w:rsidRPr="004273A5">
        <w:t>ruppe (-NH</w:t>
      </w:r>
      <w:r w:rsidR="004273A5" w:rsidRPr="004273A5">
        <w:rPr>
          <w:vertAlign w:val="subscript"/>
        </w:rPr>
        <w:t>2</w:t>
      </w:r>
      <w:r w:rsidR="004273A5" w:rsidRPr="004273A5">
        <w:t>) in der Fischer</w:t>
      </w:r>
      <w:r w:rsidR="004273A5">
        <w:t>-P</w:t>
      </w:r>
      <w:r w:rsidR="004273A5" w:rsidRPr="004273A5">
        <w:t>rojektion nach links zeigt. Bei de</w:t>
      </w:r>
      <w:r w:rsidR="00071564">
        <w:t xml:space="preserve">m </w:t>
      </w:r>
      <w:proofErr w:type="spellStart"/>
      <w:r w:rsidR="00071564">
        <w:t>Enantiomer</w:t>
      </w:r>
      <w:proofErr w:type="spellEnd"/>
      <w:r w:rsidR="00071564">
        <w:t xml:space="preserve"> D-Alanin</w:t>
      </w:r>
      <w:r w:rsidR="004273A5" w:rsidRPr="004273A5">
        <w:t xml:space="preserve"> hingegen steht die </w:t>
      </w:r>
      <w:proofErr w:type="spellStart"/>
      <w:r w:rsidR="004273A5" w:rsidRPr="004273A5">
        <w:t>Amino</w:t>
      </w:r>
      <w:proofErr w:type="spellEnd"/>
      <w:r w:rsidR="004273A5">
        <w:t>-G</w:t>
      </w:r>
      <w:r w:rsidR="004273A5" w:rsidRPr="004273A5">
        <w:t>ruppe in der Fischer</w:t>
      </w:r>
      <w:r w:rsidR="004273A5">
        <w:t>-P</w:t>
      </w:r>
      <w:r w:rsidR="004273A5" w:rsidRPr="004273A5">
        <w:t>rojektion nach rechts. Um den Unterschied der</w:t>
      </w:r>
      <w:r w:rsidR="00071564">
        <w:t xml:space="preserve"> </w:t>
      </w:r>
      <w:proofErr w:type="spellStart"/>
      <w:r w:rsidR="004273A5" w:rsidRPr="004273A5">
        <w:t>Enantiomere</w:t>
      </w:r>
      <w:proofErr w:type="spellEnd"/>
      <w:r w:rsidR="004273A5" w:rsidRPr="004273A5">
        <w:t xml:space="preserve"> zu verdeutlichen, sind sie in der </w:t>
      </w:r>
      <w:r w:rsidR="004273A5">
        <w:rPr>
          <w:color w:val="FF00FF" w:themeColor="accent4"/>
        </w:rPr>
        <w:fldChar w:fldCharType="begin"/>
      </w:r>
      <w:r w:rsidR="004273A5">
        <w:instrText xml:space="preserve"> REF _Ref46318359 \h </w:instrText>
      </w:r>
      <w:r w:rsidR="004273A5">
        <w:rPr>
          <w:color w:val="FF00FF" w:themeColor="accent4"/>
        </w:rPr>
      </w:r>
      <w:r w:rsidR="004273A5">
        <w:rPr>
          <w:color w:val="FF00FF" w:themeColor="accent4"/>
        </w:rPr>
        <w:fldChar w:fldCharType="separate"/>
      </w:r>
      <w:r w:rsidR="00085661">
        <w:t xml:space="preserve">Tab. </w:t>
      </w:r>
      <w:r w:rsidR="00085661">
        <w:rPr>
          <w:noProof/>
        </w:rPr>
        <w:t>2</w:t>
      </w:r>
      <w:r w:rsidR="004273A5">
        <w:rPr>
          <w:color w:val="FF00FF" w:themeColor="accent4"/>
        </w:rPr>
        <w:fldChar w:fldCharType="end"/>
      </w:r>
      <w:r w:rsidR="004273A5" w:rsidRPr="004273A5">
        <w:t xml:space="preserve"> aufgeführt.</w:t>
      </w:r>
    </w:p>
    <w:p w14:paraId="7932E087" w14:textId="77777777" w:rsidR="008E0A42" w:rsidRDefault="008E0A42" w:rsidP="004273A5"/>
    <w:tbl>
      <w:tblPr>
        <w:tblW w:w="376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8"/>
        <w:gridCol w:w="2248"/>
        <w:gridCol w:w="2318"/>
      </w:tblGrid>
      <w:tr w:rsidR="004273A5" w:rsidRPr="004273A5" w14:paraId="4B36B4B6" w14:textId="77777777" w:rsidTr="008E0A42">
        <w:trPr>
          <w:trHeight w:val="851"/>
          <w:jc w:val="center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E3478B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b/>
                <w:bCs/>
                <w:szCs w:val="24"/>
                <w:lang w:eastAsia="de-DE"/>
              </w:rPr>
              <w:t>Darstellungsform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E3C6123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b/>
                <w:bCs/>
                <w:szCs w:val="24"/>
                <w:lang w:eastAsia="de-DE"/>
              </w:rPr>
              <w:t xml:space="preserve">L- Alanin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6733B1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b/>
                <w:bCs/>
                <w:szCs w:val="24"/>
                <w:lang w:eastAsia="de-DE"/>
              </w:rPr>
              <w:t>D- Alanin</w:t>
            </w:r>
          </w:p>
        </w:tc>
      </w:tr>
      <w:tr w:rsidR="004273A5" w:rsidRPr="004273A5" w14:paraId="08D04FC2" w14:textId="77777777" w:rsidTr="008E0A42">
        <w:trPr>
          <w:trHeight w:val="851"/>
          <w:jc w:val="center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F98CA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szCs w:val="24"/>
                <w:lang w:eastAsia="de-DE"/>
              </w:rPr>
              <w:t>räumliche Darstellung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53BBA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noProof/>
                <w:szCs w:val="24"/>
                <w:lang w:eastAsia="de-DE"/>
              </w:rPr>
              <w:drawing>
                <wp:inline distT="0" distB="0" distL="0" distR="0" wp14:anchorId="762488AD" wp14:editId="729C59C5">
                  <wp:extent cx="866775" cy="752475"/>
                  <wp:effectExtent l="0" t="0" r="9525" b="9525"/>
                  <wp:docPr id="8" name="Grafik 8" descr="\\home-pc.uni-bayreuth.de\group\vivaorg_10150105\ORG\W3Seiten\aktuell\umat\aminosaeuren\lalanin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home-pc.uni-bayreuth.de\group\vivaorg_10150105\ORG\W3Seiten\aktuell\umat\aminosaeuren\lalanin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06D8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noProof/>
                <w:szCs w:val="24"/>
                <w:lang w:eastAsia="de-DE"/>
              </w:rPr>
              <w:drawing>
                <wp:inline distT="0" distB="0" distL="0" distR="0" wp14:anchorId="732CBD65" wp14:editId="166ABC03">
                  <wp:extent cx="809625" cy="752475"/>
                  <wp:effectExtent l="0" t="0" r="9525" b="9525"/>
                  <wp:docPr id="7" name="Grafik 7" descr="\\home-pc.uni-bayreuth.de\group\vivaorg_10150105\ORG\W3Seiten\aktuell\umat\aminosaeuren\dalanin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home-pc.uni-bayreuth.de\group\vivaorg_10150105\ORG\W3Seiten\aktuell\umat\aminosaeuren\dalanin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3A5" w:rsidRPr="004273A5" w14:paraId="39E46420" w14:textId="77777777" w:rsidTr="008E0A42">
        <w:trPr>
          <w:trHeight w:val="851"/>
          <w:jc w:val="center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07D4C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szCs w:val="24"/>
                <w:lang w:eastAsia="de-DE"/>
              </w:rPr>
              <w:t>Fischerprojektion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B2D0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noProof/>
                <w:szCs w:val="24"/>
                <w:lang w:eastAsia="de-DE"/>
              </w:rPr>
              <w:drawing>
                <wp:inline distT="0" distB="0" distL="0" distR="0" wp14:anchorId="17BB7D5C" wp14:editId="0EC4E3BA">
                  <wp:extent cx="828675" cy="752475"/>
                  <wp:effectExtent l="0" t="0" r="9525" b="9525"/>
                  <wp:docPr id="6" name="Grafik 6" descr="\\home-pc.uni-bayreuth.de\group\vivaorg_10150105\ORG\W3Seiten\aktuell\umat\aminosaeuren\lalanin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home-pc.uni-bayreuth.de\group\vivaorg_10150105\ORG\W3Seiten\aktuell\umat\aminosaeuren\lalanin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FA61B" w14:textId="77777777" w:rsidR="004273A5" w:rsidRPr="004273A5" w:rsidRDefault="004273A5" w:rsidP="004273A5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273A5">
              <w:rPr>
                <w:rFonts w:eastAsia="Times New Roman" w:cs="Arial"/>
                <w:noProof/>
                <w:szCs w:val="24"/>
                <w:lang w:eastAsia="de-DE"/>
              </w:rPr>
              <w:drawing>
                <wp:inline distT="0" distB="0" distL="0" distR="0" wp14:anchorId="32611DFA" wp14:editId="52C7DDA1">
                  <wp:extent cx="809625" cy="752475"/>
                  <wp:effectExtent l="0" t="0" r="9525" b="9525"/>
                  <wp:docPr id="5" name="Grafik 5" descr="\\home-pc.uni-bayreuth.de\group\vivaorg_10150105\ORG\W3Seiten\aktuell\umat\aminosaeuren\dalanin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home-pc.uni-bayreuth.de\group\vivaorg_10150105\ORG\W3Seiten\aktuell\umat\aminosaeuren\dalanin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20575" w14:textId="7E7FBF0F" w:rsidR="004273A5" w:rsidRPr="004273A5" w:rsidRDefault="004273A5" w:rsidP="004273A5">
      <w:pPr>
        <w:pStyle w:val="Beschriftung"/>
        <w:rPr>
          <w:rFonts w:ascii="Times New Roman" w:eastAsia="Times New Roman" w:hAnsi="Times New Roman" w:cs="Times New Roman"/>
          <w:szCs w:val="24"/>
          <w:lang w:eastAsia="de-DE"/>
        </w:rPr>
      </w:pPr>
      <w:bookmarkStart w:id="10" w:name="_Ref46318359"/>
      <w:r>
        <w:t xml:space="preserve">Tab. </w:t>
      </w:r>
      <w:r w:rsidR="00085661">
        <w:fldChar w:fldCharType="begin"/>
      </w:r>
      <w:r w:rsidR="00085661">
        <w:instrText xml:space="preserve"> SEQ Tab. \* ARABIC </w:instrText>
      </w:r>
      <w:r w:rsidR="00085661">
        <w:fldChar w:fldCharType="separate"/>
      </w:r>
      <w:r w:rsidR="00085661">
        <w:rPr>
          <w:noProof/>
        </w:rPr>
        <w:t>2</w:t>
      </w:r>
      <w:r w:rsidR="00085661">
        <w:rPr>
          <w:noProof/>
        </w:rPr>
        <w:fldChar w:fldCharType="end"/>
      </w:r>
      <w:bookmarkEnd w:id="10"/>
      <w:r>
        <w:t xml:space="preserve">: </w:t>
      </w:r>
      <w:r w:rsidRPr="004273A5">
        <w:rPr>
          <w:rFonts w:eastAsia="Times New Roman" w:cs="Arial"/>
          <w:szCs w:val="24"/>
          <w:lang w:eastAsia="de-DE"/>
        </w:rPr>
        <w:t>Abbildung des L-</w:t>
      </w:r>
      <w:proofErr w:type="spellStart"/>
      <w:r w:rsidRPr="004273A5">
        <w:rPr>
          <w:rFonts w:eastAsia="Times New Roman" w:cs="Arial"/>
          <w:szCs w:val="24"/>
          <w:lang w:eastAsia="de-DE"/>
        </w:rPr>
        <w:t>Enantiomers</w:t>
      </w:r>
      <w:proofErr w:type="spellEnd"/>
      <w:r w:rsidRPr="004273A5">
        <w:rPr>
          <w:rFonts w:eastAsia="Times New Roman" w:cs="Arial"/>
          <w:szCs w:val="24"/>
          <w:lang w:eastAsia="de-DE"/>
        </w:rPr>
        <w:t xml:space="preserve"> (linke Seite) und D- </w:t>
      </w:r>
      <w:proofErr w:type="spellStart"/>
      <w:r w:rsidRPr="004273A5">
        <w:rPr>
          <w:rFonts w:eastAsia="Times New Roman" w:cs="Arial"/>
          <w:szCs w:val="24"/>
          <w:lang w:eastAsia="de-DE"/>
        </w:rPr>
        <w:t>Enantiomers</w:t>
      </w:r>
      <w:proofErr w:type="spellEnd"/>
      <w:r w:rsidRPr="004273A5">
        <w:rPr>
          <w:rFonts w:eastAsia="Times New Roman" w:cs="Arial"/>
          <w:szCs w:val="24"/>
          <w:lang w:eastAsia="de-DE"/>
        </w:rPr>
        <w:t xml:space="preserve"> (reche Seite) von Alanin in der </w:t>
      </w:r>
      <w:r w:rsidR="00DC16CB">
        <w:rPr>
          <w:rFonts w:eastAsia="Times New Roman" w:cs="Arial"/>
          <w:szCs w:val="24"/>
          <w:lang w:eastAsia="de-DE"/>
        </w:rPr>
        <w:t xml:space="preserve">räumlichen Darstellungsweise (oben) und in der </w:t>
      </w:r>
      <w:r w:rsidRPr="004273A5">
        <w:rPr>
          <w:rFonts w:eastAsia="Times New Roman" w:cs="Arial"/>
          <w:szCs w:val="24"/>
          <w:lang w:eastAsia="de-DE"/>
        </w:rPr>
        <w:t>Fischer</w:t>
      </w:r>
      <w:r>
        <w:rPr>
          <w:rFonts w:eastAsia="Times New Roman" w:cs="Arial"/>
          <w:szCs w:val="24"/>
          <w:lang w:eastAsia="de-DE"/>
        </w:rPr>
        <w:t>-P</w:t>
      </w:r>
      <w:r w:rsidRPr="004273A5">
        <w:rPr>
          <w:rFonts w:eastAsia="Times New Roman" w:cs="Arial"/>
          <w:szCs w:val="24"/>
          <w:lang w:eastAsia="de-DE"/>
        </w:rPr>
        <w:t>rojektion (unten)</w:t>
      </w:r>
      <w:r w:rsidR="00DC16CB">
        <w:rPr>
          <w:rFonts w:eastAsia="Times New Roman" w:cs="Arial"/>
          <w:szCs w:val="24"/>
          <w:lang w:eastAsia="de-DE"/>
        </w:rPr>
        <w:t>.</w:t>
      </w:r>
      <w:r w:rsidRPr="004273A5">
        <w:rPr>
          <w:rFonts w:eastAsia="Times New Roman" w:cs="Arial"/>
          <w:szCs w:val="24"/>
          <w:lang w:eastAsia="de-DE"/>
        </w:rPr>
        <w:t xml:space="preserve"> </w:t>
      </w:r>
    </w:p>
    <w:p w14:paraId="3EF80736" w14:textId="77777777" w:rsidR="004273A5" w:rsidRDefault="004273A5" w:rsidP="004273A5">
      <w:pPr>
        <w:pStyle w:val="berschrift1"/>
      </w:pPr>
      <w:bookmarkStart w:id="11" w:name="_Toc115623296"/>
      <w:r>
        <w:lastRenderedPageBreak/>
        <w:t>Einteilung von Aminosäuren</w:t>
      </w:r>
      <w:bookmarkEnd w:id="11"/>
    </w:p>
    <w:p w14:paraId="4C3974D0" w14:textId="10B76AF6" w:rsidR="004273A5" w:rsidRDefault="004273A5" w:rsidP="004273A5">
      <w:r w:rsidRPr="004273A5">
        <w:t>Aminosäuren kann man anhand der Eigenschaften ihrer Seiten</w:t>
      </w:r>
      <w:r>
        <w:t>-K</w:t>
      </w:r>
      <w:r w:rsidRPr="004273A5">
        <w:t>ette in verschieden</w:t>
      </w:r>
      <w:r w:rsidR="00DC16CB">
        <w:t>e</w:t>
      </w:r>
      <w:r w:rsidRPr="004273A5">
        <w:t xml:space="preserve"> Gruppen einteilen. Die Seiten</w:t>
      </w:r>
      <w:r>
        <w:t>-K</w:t>
      </w:r>
      <w:r w:rsidRPr="004273A5">
        <w:t xml:space="preserve">etten können sich in ihrer Struktur, Größe, Polarität und elektrischer Ladung unterscheiden und haben somit Auswirkung auf die Löslichkeit der </w:t>
      </w:r>
      <w:r w:rsidR="008D099B">
        <w:t xml:space="preserve">jeweiligen </w:t>
      </w:r>
      <w:r w:rsidRPr="004273A5">
        <w:t>Aminosäure in Wasser. Es gibt Aminosäuren mit unpolare</w:t>
      </w:r>
      <w:r w:rsidR="00620382">
        <w:t>r</w:t>
      </w:r>
      <w:r w:rsidR="00B551F4">
        <w:t>/hydrophobe</w:t>
      </w:r>
      <w:r w:rsidR="00620382">
        <w:t>r</w:t>
      </w:r>
      <w:r w:rsidR="00B551F4">
        <w:t xml:space="preserve">, polar/neutraler, basischer und saurer </w:t>
      </w:r>
      <w:r w:rsidRPr="004273A5">
        <w:t>Seiten</w:t>
      </w:r>
      <w:r w:rsidR="00EB64BC">
        <w:t>-K</w:t>
      </w:r>
      <w:r w:rsidRPr="004273A5">
        <w:t>ette.</w:t>
      </w:r>
      <w:r w:rsidR="004E6C30">
        <w:t xml:space="preserve"> Die physikalischen Eigenschaften der Aminosäuren haben auch Einfluss auf die Proteinstruktur. So bilden sich zwischen unpolaren Aminosäuren Van-der-Waals-Kräfte aus, zwischen polaren Aminosäuren </w:t>
      </w:r>
      <w:r w:rsidR="003A0036">
        <w:t xml:space="preserve">lassen sich Wasserstoffbrückenbindungen finden und zwischen sauren und basischen Aminosäuren herrschen Ionenbindungen vor. </w:t>
      </w:r>
      <w:r w:rsidRPr="004273A5">
        <w:t>Die in de</w:t>
      </w:r>
      <w:r w:rsidR="00373EBA">
        <w:t>r</w:t>
      </w:r>
      <w:r w:rsidRPr="004273A5">
        <w:t xml:space="preserve"> Abbildung mit rot gekennzeichneten Seiten</w:t>
      </w:r>
      <w:r w:rsidR="00EB64BC">
        <w:t>-G</w:t>
      </w:r>
      <w:r w:rsidRPr="004273A5">
        <w:t>ruppen</w:t>
      </w:r>
      <w:r w:rsidR="00A00E19">
        <w:t xml:space="preserve"> teilen die Aminosäuren in die unterschiedliche</w:t>
      </w:r>
      <w:r w:rsidR="004E6C30">
        <w:t>n</w:t>
      </w:r>
      <w:r w:rsidR="00A00E19">
        <w:t xml:space="preserve"> Gruppen ein, welche sich unter anderem in ihrer Reaktivität mit anderen Molekülen unterscheiden.</w:t>
      </w:r>
      <w:r w:rsidRPr="004273A5">
        <w:t xml:space="preserve"> Die grün gekennzeichnet</w:t>
      </w:r>
      <w:r w:rsidR="00EB64BC">
        <w:t>en</w:t>
      </w:r>
      <w:r w:rsidRPr="004273A5">
        <w:t xml:space="preserve"> Aminosäuren sind </w:t>
      </w:r>
      <w:r w:rsidR="00620382" w:rsidRPr="004273A5">
        <w:t>essenziell</w:t>
      </w:r>
      <w:r w:rsidRPr="004273A5">
        <w:t xml:space="preserve"> für den menschlichen Körper und müssen mit der Nahrung aufgenommen werden.</w:t>
      </w:r>
    </w:p>
    <w:p w14:paraId="147064CF" w14:textId="36D81478" w:rsidR="00D1454D" w:rsidRDefault="00D1454D" w:rsidP="004273A5"/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7"/>
        <w:gridCol w:w="2409"/>
        <w:gridCol w:w="2105"/>
        <w:gridCol w:w="66"/>
        <w:gridCol w:w="1781"/>
        <w:gridCol w:w="66"/>
      </w:tblGrid>
      <w:tr w:rsidR="00EE6093" w:rsidRPr="00EB64BC" w14:paraId="40CFEB6F" w14:textId="7C75AC77" w:rsidTr="00EE6093">
        <w:trPr>
          <w:trHeight w:val="20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14:paraId="09803E57" w14:textId="62F15BB0" w:rsidR="00EE6093" w:rsidRPr="00EE6093" w:rsidRDefault="00EE6093" w:rsidP="004B5E3E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  <w:t>unpolar/hydrophobe Seitenkette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17E43812" w14:textId="5D451060" w:rsidR="00EE6093" w:rsidRPr="00EE6093" w:rsidRDefault="00EE6093" w:rsidP="004B5E3E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  <w:t>polar/neutrale Seitenkette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2947C150" w14:textId="753018A4" w:rsidR="00EE6093" w:rsidRPr="00EE6093" w:rsidRDefault="00EE6093" w:rsidP="004B5E3E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  <w:t>basische Seitenkette</w:t>
            </w:r>
          </w:p>
        </w:tc>
        <w:tc>
          <w:tcPr>
            <w:tcW w:w="0" w:type="auto"/>
            <w:shd w:val="clear" w:color="auto" w:fill="C0C0C0"/>
          </w:tcPr>
          <w:p w14:paraId="496639FB" w14:textId="77777777" w:rsidR="00EE6093" w:rsidRDefault="00EE6093" w:rsidP="004B5E3E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C0C0C0"/>
          </w:tcPr>
          <w:p w14:paraId="71CB299F" w14:textId="5535EBE9" w:rsidR="00EE6093" w:rsidRDefault="00EE6093" w:rsidP="004B5E3E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  <w:t>saure Seitenkette</w:t>
            </w:r>
          </w:p>
        </w:tc>
        <w:tc>
          <w:tcPr>
            <w:tcW w:w="0" w:type="auto"/>
            <w:shd w:val="clear" w:color="auto" w:fill="C0C0C0"/>
          </w:tcPr>
          <w:p w14:paraId="1A08B7FE" w14:textId="77777777" w:rsidR="00EE6093" w:rsidRDefault="00EE6093" w:rsidP="004B5E3E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DE"/>
              </w:rPr>
            </w:pPr>
          </w:p>
        </w:tc>
      </w:tr>
      <w:tr w:rsidR="00992E30" w:rsidRPr="00EB64BC" w14:paraId="609D4E97" w14:textId="5B874F3B" w:rsidTr="00B42AAC">
        <w:trPr>
          <w:trHeight w:val="20"/>
          <w:jc w:val="center"/>
        </w:trPr>
        <w:tc>
          <w:tcPr>
            <w:tcW w:w="0" w:type="auto"/>
            <w:hideMark/>
          </w:tcPr>
          <w:p w14:paraId="0387E535" w14:textId="00D4377D" w:rsidR="00EE6093" w:rsidRPr="00EB64BC" w:rsidRDefault="00C94CCB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686157C0" wp14:editId="79705A6E">
                  <wp:extent cx="819150" cy="752475"/>
                  <wp:effectExtent l="0" t="0" r="0" b="9525"/>
                  <wp:docPr id="28" name="Grafik 28" descr="\\home-pc.uni-bayreuth.de\group\vivaorg_10150105\ORG\W3Seiten\aktuell\umat\aminosaeuren\alan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home-pc.uni-bayreuth.de\group\vivaorg_10150105\ORG\W3Seiten\aktuell\umat\aminosaeuren\alan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F70DA9A" w14:textId="491AB8DA" w:rsidR="00EE6093" w:rsidRPr="00EB64BC" w:rsidRDefault="00117B11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21326923" wp14:editId="25F82F18">
                  <wp:extent cx="828675" cy="1790700"/>
                  <wp:effectExtent l="0" t="0" r="9525" b="0"/>
                  <wp:docPr id="59" name="Grafik 59" descr="\\home-pc.uni-bayreuth.de\group\vivaorg_10150105\ORG\W3Seiten\aktuell\umat\aminosaeuren\thyros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home-pc.uni-bayreuth.de\group\vivaorg_10150105\ORG\W3Seiten\aktuell\umat\aminosaeuren\thyros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77F1032" w14:textId="47542A71" w:rsidR="00EE6093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02ED03B3" wp14:editId="59B3AAEA">
                  <wp:extent cx="819150" cy="1819275"/>
                  <wp:effectExtent l="0" t="0" r="0" b="9525"/>
                  <wp:docPr id="76" name="Grafik 76" descr="\\home-pc.uni-bayreuth.de\group\vivaorg_10150105\ORG\W3Seiten\aktuell\umat\aminosaeuren\lys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home-pc.uni-bayreuth.de\group\vivaorg_10150105\ORG\W3Seiten\aktuell\umat\aminosaeuren\lys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0F780F8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621B9191" w14:textId="5874DBEF" w:rsidR="00EE6093" w:rsidRPr="00EB64BC" w:rsidRDefault="00D31928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162639F7" wp14:editId="538A7FE9">
                  <wp:extent cx="828675" cy="1028700"/>
                  <wp:effectExtent l="0" t="0" r="9525" b="0"/>
                  <wp:docPr id="78" name="Grafik 78" descr="\\home-pc.uni-bayreuth.de\group\vivaorg_10150105\ORG\W3Seiten\aktuell\umat\aminosaeuren\aspartat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home-pc.uni-bayreuth.de\group\vivaorg_10150105\ORG\W3Seiten\aktuell\umat\aminosaeuren\aspartat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6AC6208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</w:p>
        </w:tc>
      </w:tr>
      <w:tr w:rsidR="00992E30" w:rsidRPr="00EB64BC" w14:paraId="30844207" w14:textId="2E39BE80" w:rsidTr="00B42AAC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DDCDD96" w14:textId="62091766" w:rsidR="00EE6093" w:rsidRPr="00C94CCB" w:rsidRDefault="00C94CCB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C94CCB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Alanin</w:t>
            </w:r>
          </w:p>
        </w:tc>
        <w:tc>
          <w:tcPr>
            <w:tcW w:w="0" w:type="auto"/>
            <w:vAlign w:val="center"/>
            <w:hideMark/>
          </w:tcPr>
          <w:p w14:paraId="6D2D7817" w14:textId="6D799297" w:rsidR="00117B11" w:rsidRPr="00B42AAC" w:rsidRDefault="00117B11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117B11">
              <w:rPr>
                <w:rFonts w:eastAsia="Times New Roman" w:cs="Arial"/>
                <w:szCs w:val="24"/>
                <w:lang w:eastAsia="de-DE"/>
              </w:rPr>
              <w:t>Tyrosin</w:t>
            </w:r>
          </w:p>
        </w:tc>
        <w:tc>
          <w:tcPr>
            <w:tcW w:w="0" w:type="auto"/>
            <w:vAlign w:val="center"/>
            <w:hideMark/>
          </w:tcPr>
          <w:p w14:paraId="0464F7D4" w14:textId="580141E5" w:rsidR="00EE6093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B06A35">
              <w:rPr>
                <w:rFonts w:eastAsia="Times New Roman" w:cs="Arial"/>
                <w:color w:val="008000" w:themeColor="accent3" w:themeShade="80"/>
                <w:szCs w:val="24"/>
                <w:lang w:eastAsia="de-DE"/>
              </w:rPr>
              <w:t>Lysin</w:t>
            </w:r>
          </w:p>
        </w:tc>
        <w:tc>
          <w:tcPr>
            <w:tcW w:w="0" w:type="auto"/>
            <w:vAlign w:val="center"/>
          </w:tcPr>
          <w:p w14:paraId="784DF60F" w14:textId="77777777" w:rsidR="00EE6093" w:rsidRPr="00EB64BC" w:rsidRDefault="00EE6093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61E59B2D" w14:textId="384DD82B" w:rsidR="00EE6093" w:rsidRPr="00EB64BC" w:rsidRDefault="00D31928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  <w:proofErr w:type="spellStart"/>
            <w:r>
              <w:rPr>
                <w:rFonts w:eastAsia="Times New Roman" w:cs="Arial"/>
                <w:szCs w:val="24"/>
                <w:lang w:eastAsia="de-DE"/>
              </w:rPr>
              <w:t>Aspartat</w:t>
            </w:r>
            <w:proofErr w:type="spellEnd"/>
          </w:p>
        </w:tc>
        <w:tc>
          <w:tcPr>
            <w:tcW w:w="0" w:type="auto"/>
            <w:vAlign w:val="center"/>
          </w:tcPr>
          <w:p w14:paraId="407F05C2" w14:textId="77777777" w:rsidR="00EE6093" w:rsidRPr="00EB64BC" w:rsidRDefault="00EE6093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B42AAC" w:rsidRPr="00EB64BC" w14:paraId="396106C0" w14:textId="77777777" w:rsidTr="00B42AAC">
        <w:trPr>
          <w:trHeight w:val="20"/>
          <w:jc w:val="center"/>
        </w:trPr>
        <w:tc>
          <w:tcPr>
            <w:tcW w:w="0" w:type="auto"/>
            <w:vAlign w:val="center"/>
          </w:tcPr>
          <w:p w14:paraId="2618CEFF" w14:textId="77777777" w:rsidR="00B42AAC" w:rsidRPr="00C94CCB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20C9D505" w14:textId="77777777" w:rsidR="00B42AAC" w:rsidRPr="00117B11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79FDE61F" w14:textId="77777777" w:rsidR="00B42AAC" w:rsidRPr="00B06A35" w:rsidRDefault="00B42AAC" w:rsidP="00B42AAC">
            <w:pPr>
              <w:spacing w:before="0"/>
              <w:jc w:val="center"/>
              <w:rPr>
                <w:rFonts w:eastAsia="Times New Roman" w:cs="Arial"/>
                <w:color w:val="008000" w:themeColor="accent3" w:themeShade="80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1C723424" w14:textId="77777777" w:rsidR="00B42AAC" w:rsidRPr="00EB64BC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64470CBD" w14:textId="77777777" w:rsidR="00B42AAC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14C08954" w14:textId="77777777" w:rsidR="00B42AAC" w:rsidRPr="00EB64BC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992E30" w:rsidRPr="00EB64BC" w14:paraId="719D404C" w14:textId="640CB958" w:rsidTr="00B42AAC">
        <w:trPr>
          <w:trHeight w:val="20"/>
          <w:jc w:val="center"/>
        </w:trPr>
        <w:tc>
          <w:tcPr>
            <w:tcW w:w="0" w:type="auto"/>
            <w:hideMark/>
          </w:tcPr>
          <w:p w14:paraId="5CE5E15B" w14:textId="29FD591C" w:rsidR="00EE6093" w:rsidRPr="00EB64BC" w:rsidRDefault="00992E30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77505611" wp14:editId="6002D4A4">
                  <wp:extent cx="981075" cy="1057275"/>
                  <wp:effectExtent l="0" t="0" r="9525" b="9525"/>
                  <wp:docPr id="29" name="Grafik 29" descr="\\home-pc.uni-bayreuth.de\group\vivaorg_10150105\ORG\W3Seiten\aktuell\umat\aminosaeuren\val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home-pc.uni-bayreuth.de\group\vivaorg_10150105\ORG\W3Seiten\aktuell\umat\aminosaeuren\val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A033F97" w14:textId="5C85E3D3" w:rsidR="00EE6093" w:rsidRPr="00EB64BC" w:rsidRDefault="00117B11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51874045" wp14:editId="4CB9696A">
                  <wp:extent cx="923925" cy="1057275"/>
                  <wp:effectExtent l="0" t="0" r="9525" b="9525"/>
                  <wp:docPr id="61" name="Grafik 61" descr="\\home-pc.uni-bayreuth.de\group\vivaorg_10150105\ORG\W3Seiten\aktuell\umat\aminosaeuren\threon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home-pc.uni-bayreuth.de\group\vivaorg_10150105\ORG\W3Seiten\aktuell\umat\aminosaeuren\threon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9AB7465" w14:textId="4B6549D7" w:rsidR="00EE6093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object w:dxaOrig="1256" w:dyaOrig="2393" w14:anchorId="521D5C28">
                <v:shape id="_x0000_i1027" type="#_x0000_t75" style="width:77.25pt;height:147pt" o:ole="">
                  <v:imagedata r:id="rId24" o:title=""/>
                </v:shape>
                <o:OLEObject Type="Embed" ProgID="ACD.ChemSketchCDX" ShapeID="_x0000_i1027" DrawAspect="Content" ObjectID="_1727504443" r:id="rId25"/>
              </w:object>
            </w:r>
          </w:p>
        </w:tc>
        <w:tc>
          <w:tcPr>
            <w:tcW w:w="0" w:type="auto"/>
          </w:tcPr>
          <w:p w14:paraId="572F44F3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4B751244" w14:textId="69B68D20" w:rsidR="00EE6093" w:rsidRPr="00EB64BC" w:rsidRDefault="00D31928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1B50EFB3" wp14:editId="0B086F29">
                  <wp:extent cx="819150" cy="1285875"/>
                  <wp:effectExtent l="0" t="0" r="0" b="9525"/>
                  <wp:docPr id="79" name="Grafik 79" descr="\\home-pc.uni-bayreuth.de\group\vivaorg_10150105\ORG\W3Seiten\aktuell\umat\aminosaeuren\glutamat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home-pc.uni-bayreuth.de\group\vivaorg_10150105\ORG\W3Seiten\aktuell\umat\aminosaeuren\glutamat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54A9B6F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</w:p>
        </w:tc>
      </w:tr>
      <w:tr w:rsidR="00992E30" w:rsidRPr="00EB64BC" w14:paraId="05A41DF8" w14:textId="7A39DE44" w:rsidTr="00B42AAC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8B89C3F" w14:textId="78329027" w:rsidR="00EE6093" w:rsidRPr="00EB64BC" w:rsidRDefault="00992E30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>
              <w:rPr>
                <w:rFonts w:eastAsia="Times New Roman" w:cs="Arial"/>
                <w:color w:val="008000"/>
                <w:szCs w:val="24"/>
                <w:lang w:eastAsia="de-DE"/>
              </w:rPr>
              <w:t>Valin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4EE173" w14:textId="1EE9AA18" w:rsidR="00EE6093" w:rsidRPr="00117B11" w:rsidRDefault="00117B11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proofErr w:type="spellStart"/>
            <w:r w:rsidRPr="00117B11">
              <w:rPr>
                <w:rFonts w:asciiTheme="minorHAnsi" w:eastAsia="Times New Roman" w:hAnsiTheme="minorHAnsi" w:cstheme="minorHAnsi"/>
                <w:color w:val="008000" w:themeColor="accent3" w:themeShade="80"/>
                <w:szCs w:val="24"/>
                <w:lang w:eastAsia="de-DE"/>
              </w:rPr>
              <w:t>Threonin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2BB3F8" w14:textId="567A80AE" w:rsidR="00EE6093" w:rsidRPr="00B06A35" w:rsidRDefault="00B06A35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B06A35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Arginin</w:t>
            </w:r>
          </w:p>
        </w:tc>
        <w:tc>
          <w:tcPr>
            <w:tcW w:w="0" w:type="auto"/>
            <w:vAlign w:val="center"/>
          </w:tcPr>
          <w:p w14:paraId="1910DAF4" w14:textId="77777777" w:rsidR="00EE6093" w:rsidRPr="00EB64BC" w:rsidRDefault="00EE6093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6AC8D0C" w14:textId="605A3911" w:rsidR="00EE6093" w:rsidRPr="00EB64BC" w:rsidRDefault="00D31928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t>Glutamat</w:t>
            </w:r>
          </w:p>
        </w:tc>
        <w:tc>
          <w:tcPr>
            <w:tcW w:w="0" w:type="auto"/>
            <w:vAlign w:val="center"/>
          </w:tcPr>
          <w:p w14:paraId="14ABC700" w14:textId="77777777" w:rsidR="00EE6093" w:rsidRPr="00EB64BC" w:rsidRDefault="00EE6093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B42AAC" w:rsidRPr="00EB64BC" w14:paraId="3EEE3659" w14:textId="77777777" w:rsidTr="00B42AAC">
        <w:trPr>
          <w:trHeight w:val="20"/>
          <w:jc w:val="center"/>
        </w:trPr>
        <w:tc>
          <w:tcPr>
            <w:tcW w:w="0" w:type="auto"/>
            <w:vAlign w:val="center"/>
          </w:tcPr>
          <w:p w14:paraId="094E7675" w14:textId="77777777" w:rsidR="00B42AAC" w:rsidRDefault="00B42AAC" w:rsidP="00B42AAC">
            <w:pPr>
              <w:spacing w:before="0"/>
              <w:jc w:val="center"/>
              <w:rPr>
                <w:rFonts w:eastAsia="Times New Roman" w:cs="Arial"/>
                <w:color w:val="008000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22231ACE" w14:textId="77777777" w:rsidR="00B42AAC" w:rsidRPr="00117B11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color w:val="008000" w:themeColor="accent3" w:themeShade="80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7C8226F" w14:textId="77777777" w:rsidR="00B42AAC" w:rsidRPr="00B06A35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13DDCEC0" w14:textId="77777777" w:rsidR="00B42AAC" w:rsidRPr="00EB64BC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F5147BC" w14:textId="77777777" w:rsidR="00B42AAC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2C39C2AD" w14:textId="77777777" w:rsidR="00B42AAC" w:rsidRPr="00EB64BC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992E30" w:rsidRPr="00EB64BC" w14:paraId="0FE964C0" w14:textId="1CFE02F9" w:rsidTr="00B42AAC">
        <w:trPr>
          <w:trHeight w:val="20"/>
          <w:jc w:val="center"/>
        </w:trPr>
        <w:tc>
          <w:tcPr>
            <w:tcW w:w="0" w:type="auto"/>
            <w:hideMark/>
          </w:tcPr>
          <w:p w14:paraId="041E63BA" w14:textId="1363658C" w:rsidR="00EE6093" w:rsidRPr="00EB64BC" w:rsidRDefault="00992E30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673B5E49" wp14:editId="6B9CF9B9">
                  <wp:extent cx="819150" cy="1562100"/>
                  <wp:effectExtent l="0" t="0" r="0" b="0"/>
                  <wp:docPr id="30" name="Grafik 30" descr="\\home-pc.uni-bayreuth.de\group\vivaorg_10150105\ORG\W3Seiten\aktuell\umat\aminosaeuren\methion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\home-pc.uni-bayreuth.de\group\vivaorg_10150105\ORG\W3Seiten\aktuell\umat\aminosaeuren\methion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CE485A1" w14:textId="73ED8F61" w:rsidR="00EE6093" w:rsidRPr="00EB64BC" w:rsidRDefault="00117B11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7BA265F5" wp14:editId="202E7399">
                  <wp:extent cx="828675" cy="1562100"/>
                  <wp:effectExtent l="0" t="0" r="9525" b="0"/>
                  <wp:docPr id="62" name="Grafik 62" descr="\\home-pc.uni-bayreuth.de\group\vivaorg_10150105\ORG\W3Seiten\aktuell\umat\aminosaeuren\glutam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home-pc.uni-bayreuth.de\group\vivaorg_10150105\ORG\W3Seiten\aktuell\umat\aminosaeuren\glutam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5E727AA" w14:textId="7B48C798" w:rsidR="00EE6093" w:rsidRPr="00EB64BC" w:rsidRDefault="00D31928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774897AF" wp14:editId="36EFFA41">
                  <wp:extent cx="857250" cy="1314450"/>
                  <wp:effectExtent l="0" t="0" r="0" b="0"/>
                  <wp:docPr id="77" name="Grafik 77" descr="\\home-pc.uni-bayreuth.de\group\vivaorg_10150105\ORG\W3Seiten\aktuell\umat\aminosaeuren\histidin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home-pc.uni-bayreuth.de\group\vivaorg_10150105\ORG\W3Seiten\aktuell\umat\aminosaeuren\histidin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7C4D83B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35A83E1B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12635027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992E30" w:rsidRPr="00EB64BC" w14:paraId="18C1FA4F" w14:textId="0706A071" w:rsidTr="00B42AAC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7CAD1E0" w14:textId="044CE559" w:rsidR="00EE6093" w:rsidRPr="00992E30" w:rsidRDefault="00992E30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6600"/>
                <w:szCs w:val="24"/>
                <w:lang w:eastAsia="de-DE"/>
              </w:rPr>
            </w:pPr>
            <w:r w:rsidRPr="00992E30">
              <w:rPr>
                <w:rFonts w:eastAsia="Times New Roman" w:cs="Arial"/>
                <w:color w:val="008000" w:themeColor="accent3" w:themeShade="80"/>
                <w:szCs w:val="24"/>
                <w:lang w:eastAsia="de-DE"/>
              </w:rPr>
              <w:t>Methionin</w:t>
            </w:r>
          </w:p>
        </w:tc>
        <w:tc>
          <w:tcPr>
            <w:tcW w:w="0" w:type="auto"/>
            <w:vAlign w:val="center"/>
            <w:hideMark/>
          </w:tcPr>
          <w:p w14:paraId="0AE233BA" w14:textId="29F2F1FC" w:rsidR="00117B11" w:rsidRPr="00117B11" w:rsidRDefault="00117B11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t>Glutamin</w:t>
            </w:r>
          </w:p>
        </w:tc>
        <w:tc>
          <w:tcPr>
            <w:tcW w:w="0" w:type="auto"/>
            <w:vAlign w:val="center"/>
            <w:hideMark/>
          </w:tcPr>
          <w:p w14:paraId="22E726A3" w14:textId="3EA59B3C" w:rsidR="00EE6093" w:rsidRPr="00D31928" w:rsidRDefault="00D31928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D31928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Histidin</w:t>
            </w:r>
          </w:p>
        </w:tc>
        <w:tc>
          <w:tcPr>
            <w:tcW w:w="0" w:type="auto"/>
            <w:vAlign w:val="center"/>
          </w:tcPr>
          <w:p w14:paraId="2445D257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25A30B6E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7AFA3ACC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42AAC" w:rsidRPr="00EB64BC" w14:paraId="6E97552A" w14:textId="77777777" w:rsidTr="00B42AAC">
        <w:trPr>
          <w:trHeight w:val="20"/>
          <w:jc w:val="center"/>
        </w:trPr>
        <w:tc>
          <w:tcPr>
            <w:tcW w:w="0" w:type="auto"/>
            <w:vAlign w:val="center"/>
          </w:tcPr>
          <w:p w14:paraId="1EB5EA77" w14:textId="77777777" w:rsidR="00B42AAC" w:rsidRPr="00992E30" w:rsidRDefault="00B42AAC" w:rsidP="00B42AAC">
            <w:pPr>
              <w:spacing w:before="0"/>
              <w:jc w:val="center"/>
              <w:rPr>
                <w:rFonts w:eastAsia="Times New Roman" w:cs="Arial"/>
                <w:color w:val="008000" w:themeColor="accent3" w:themeShade="80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43F097AB" w14:textId="77777777" w:rsidR="00B42AAC" w:rsidRDefault="00B42AAC" w:rsidP="00B42AAC">
            <w:pPr>
              <w:spacing w:before="0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7FF75D0C" w14:textId="77777777" w:rsidR="00B42AAC" w:rsidRPr="00D31928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4FB9A512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1FFE8C5E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035BAA0D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992E30" w:rsidRPr="00EB64BC" w14:paraId="27B3CA66" w14:textId="6CAE9B05" w:rsidTr="00B42AAC">
        <w:trPr>
          <w:trHeight w:val="20"/>
          <w:jc w:val="center"/>
        </w:trPr>
        <w:tc>
          <w:tcPr>
            <w:tcW w:w="0" w:type="auto"/>
            <w:hideMark/>
          </w:tcPr>
          <w:p w14:paraId="64AC59ED" w14:textId="65243429" w:rsidR="00EE6093" w:rsidRPr="00EB64BC" w:rsidRDefault="00992E30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38F1EF06" wp14:editId="346B82C3">
                  <wp:extent cx="981075" cy="1266825"/>
                  <wp:effectExtent l="0" t="0" r="9525" b="9525"/>
                  <wp:docPr id="31" name="Grafik 31" descr="\\home-pc.uni-bayreuth.de\group\vivaorg_10150105\ORG\W3Seiten\aktuell\umat\aminosaeuren\leucin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\home-pc.uni-bayreuth.de\group\vivaorg_10150105\ORG\W3Seiten\aktuell\umat\aminosaeuren\leucin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302BFE6" w14:textId="5E9CDE94" w:rsidR="00EE6093" w:rsidRPr="00EB64BC" w:rsidRDefault="00117B11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295B2789" wp14:editId="29087BFA">
                  <wp:extent cx="828675" cy="723900"/>
                  <wp:effectExtent l="0" t="0" r="9525" b="0"/>
                  <wp:docPr id="63" name="Grafik 63" descr="\\home-pc.uni-bayreuth.de\group\vivaorg_10150105\ORG\W3Seiten\aktuell\umat\aminosaeuren\glyc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\home-pc.uni-bayreuth.de\group\vivaorg_10150105\ORG\W3Seiten\aktuell\umat\aminosaeuren\glyc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B88BC7C" w14:textId="4313CB4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017DF2DA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57DA3530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693761C8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992E30" w:rsidRPr="00EB64BC" w14:paraId="4C2F5C67" w14:textId="0CAF17D1" w:rsidTr="00B42AAC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7686D5E" w14:textId="10C78700" w:rsidR="00117B11" w:rsidRPr="00117B11" w:rsidRDefault="00992E30" w:rsidP="00B42AAC">
            <w:pPr>
              <w:spacing w:before="0"/>
              <w:jc w:val="center"/>
              <w:rPr>
                <w:rFonts w:eastAsia="Times New Roman" w:cs="Arial"/>
                <w:color w:val="008000" w:themeColor="accent3" w:themeShade="80"/>
                <w:szCs w:val="24"/>
                <w:lang w:eastAsia="de-DE"/>
              </w:rPr>
            </w:pPr>
            <w:proofErr w:type="spellStart"/>
            <w:r w:rsidRPr="00992E30">
              <w:rPr>
                <w:rFonts w:eastAsia="Times New Roman" w:cs="Arial"/>
                <w:color w:val="008000" w:themeColor="accent3" w:themeShade="80"/>
                <w:szCs w:val="24"/>
                <w:lang w:eastAsia="de-DE"/>
              </w:rPr>
              <w:t>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387F79" w14:textId="03857551" w:rsidR="00EE6093" w:rsidRPr="00117B11" w:rsidRDefault="00117B11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  <w:r w:rsidRPr="00117B11">
              <w:rPr>
                <w:rFonts w:asciiTheme="minorHAnsi" w:eastAsia="Times New Roman" w:hAnsiTheme="minorHAnsi" w:cstheme="minorHAnsi"/>
                <w:szCs w:val="24"/>
                <w:lang w:eastAsia="de-DE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5E7F1401" w14:textId="31F24C10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4315E74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65016473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01778798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42AAC" w:rsidRPr="00EB64BC" w14:paraId="2C8222C1" w14:textId="77777777" w:rsidTr="00B42AAC">
        <w:trPr>
          <w:trHeight w:val="20"/>
          <w:jc w:val="center"/>
        </w:trPr>
        <w:tc>
          <w:tcPr>
            <w:tcW w:w="0" w:type="auto"/>
            <w:vAlign w:val="center"/>
          </w:tcPr>
          <w:p w14:paraId="31204770" w14:textId="77777777" w:rsidR="00B42AAC" w:rsidRPr="00992E30" w:rsidRDefault="00B42AAC" w:rsidP="00B42AAC">
            <w:pPr>
              <w:spacing w:before="0"/>
              <w:jc w:val="center"/>
              <w:rPr>
                <w:rFonts w:eastAsia="Times New Roman" w:cs="Arial"/>
                <w:color w:val="008000" w:themeColor="accent3" w:themeShade="80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E615759" w14:textId="77777777" w:rsidR="00B42AAC" w:rsidRPr="00117B11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760CBFF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177EC73D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75AE1B37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35705B1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992E30" w:rsidRPr="00EB64BC" w14:paraId="34CBA556" w14:textId="61997057" w:rsidTr="00B42AAC">
        <w:trPr>
          <w:trHeight w:val="20"/>
          <w:jc w:val="center"/>
        </w:trPr>
        <w:tc>
          <w:tcPr>
            <w:tcW w:w="0" w:type="auto"/>
            <w:hideMark/>
          </w:tcPr>
          <w:p w14:paraId="4FF8C6CA" w14:textId="05A4E826" w:rsidR="00EE6093" w:rsidRPr="00EB64BC" w:rsidRDefault="00992E30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226A9B86" wp14:editId="6EDD337A">
                  <wp:extent cx="819150" cy="1009650"/>
                  <wp:effectExtent l="0" t="0" r="0" b="0"/>
                  <wp:docPr id="36" name="Grafik 36" descr="\\home-pc.uni-bayreuth.de\group\vivaorg_10150105\ORG\W3Seiten\aktuell\umat\aminosaeuren\prol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\home-pc.uni-bayreuth.de\group\vivaorg_10150105\ORG\W3Seiten\aktuell\umat\aminosaeuren\prol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5EF1864" w14:textId="3B9401D9" w:rsidR="00117B11" w:rsidRPr="00EB64BC" w:rsidRDefault="00117B11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29E230E1" wp14:editId="6579EB52">
                  <wp:extent cx="828675" cy="1028700"/>
                  <wp:effectExtent l="0" t="0" r="9525" b="0"/>
                  <wp:docPr id="64" name="Grafik 64" descr="\\home-pc.uni-bayreuth.de\group\vivaorg_10150105\ORG\W3Seiten\aktuell\umat\aminosaeuren\ser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home-pc.uni-bayreuth.de\group\vivaorg_10150105\ORG\W3Seiten\aktuell\umat\aminosaeuren\ser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087621D" w14:textId="3817BDD8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56779432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447D1842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0E186A81" w14:textId="77777777" w:rsidR="00EE6093" w:rsidRPr="00EB64BC" w:rsidRDefault="00EE6093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951A3C" w:rsidRPr="00EB64BC" w14:paraId="4BF8A11C" w14:textId="77777777" w:rsidTr="00B42AAC">
        <w:trPr>
          <w:trHeight w:val="20"/>
          <w:jc w:val="center"/>
        </w:trPr>
        <w:tc>
          <w:tcPr>
            <w:tcW w:w="0" w:type="auto"/>
          </w:tcPr>
          <w:p w14:paraId="24C16E38" w14:textId="04305A2A" w:rsidR="00951A3C" w:rsidRPr="00951A3C" w:rsidRDefault="00951A3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  <w:r w:rsidRPr="00951A3C"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  <w:t>Prolin</w:t>
            </w:r>
          </w:p>
        </w:tc>
        <w:tc>
          <w:tcPr>
            <w:tcW w:w="0" w:type="auto"/>
          </w:tcPr>
          <w:p w14:paraId="2BAE0EDF" w14:textId="79D706E5" w:rsidR="00951A3C" w:rsidRPr="00B06A35" w:rsidRDefault="00951A3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  <w:r w:rsidRPr="00B06A35"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  <w:t>Serin</w:t>
            </w:r>
          </w:p>
        </w:tc>
        <w:tc>
          <w:tcPr>
            <w:tcW w:w="0" w:type="auto"/>
          </w:tcPr>
          <w:p w14:paraId="4F7D4126" w14:textId="77777777" w:rsidR="00951A3C" w:rsidRPr="00EB64BC" w:rsidRDefault="00951A3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13393B3B" w14:textId="77777777" w:rsidR="00951A3C" w:rsidRPr="00EB64BC" w:rsidRDefault="00951A3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15A1F38B" w14:textId="77777777" w:rsidR="00951A3C" w:rsidRPr="00EB64BC" w:rsidRDefault="00951A3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0108DC50" w14:textId="77777777" w:rsidR="00951A3C" w:rsidRPr="00EB64BC" w:rsidRDefault="00951A3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42AAC" w:rsidRPr="00EB64BC" w14:paraId="138FF7C2" w14:textId="77777777" w:rsidTr="00B42AAC">
        <w:trPr>
          <w:trHeight w:val="20"/>
          <w:jc w:val="center"/>
        </w:trPr>
        <w:tc>
          <w:tcPr>
            <w:tcW w:w="0" w:type="auto"/>
          </w:tcPr>
          <w:p w14:paraId="4F07836D" w14:textId="77777777" w:rsidR="00B42AAC" w:rsidRPr="00951A3C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6E49CCF4" w14:textId="77777777" w:rsidR="00B42AAC" w:rsidRPr="00B06A35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20489D1C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1CC00760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0DE7BD4D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0E55FB22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C3C0F" w:rsidRPr="00EB64BC" w14:paraId="732E9897" w14:textId="77777777" w:rsidTr="00B42AAC">
        <w:trPr>
          <w:trHeight w:val="20"/>
          <w:jc w:val="center"/>
        </w:trPr>
        <w:tc>
          <w:tcPr>
            <w:tcW w:w="0" w:type="auto"/>
          </w:tcPr>
          <w:p w14:paraId="0964EDEE" w14:textId="239006BA" w:rsidR="00BC3C0F" w:rsidRPr="00951A3C" w:rsidRDefault="00BC3C0F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675ED8A5" wp14:editId="3CAA324B">
                  <wp:extent cx="1047750" cy="1800225"/>
                  <wp:effectExtent l="0" t="0" r="0" b="9525"/>
                  <wp:docPr id="65" name="Grafik 65" descr="\\home-pc.uni-bayreuth.de\group\vivaorg_10150105\ORG\W3Seiten\aktuell\umat\aminosaeuren\tryptopha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home-pc.uni-bayreuth.de\group\vivaorg_10150105\ORG\W3Seiten\aktuell\umat\aminosaeuren\tryptopha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088AB9" w14:textId="6D7E09E5" w:rsidR="00BC3C0F" w:rsidRPr="00951A3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174E9772" wp14:editId="3D14B0A1">
                  <wp:extent cx="819150" cy="1028700"/>
                  <wp:effectExtent l="0" t="0" r="0" b="0"/>
                  <wp:docPr id="74" name="Grafik 74" descr="\\home-pc.uni-bayreuth.de\group\vivaorg_10150105\ORG\W3Seiten\aktuell\umat\aminosaeuren\cyste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home-pc.uni-bayreuth.de\group\vivaorg_10150105\ORG\W3Seiten\aktuell\umat\aminosaeuren\cyste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2BE84B7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41F65273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21C5D175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3D013A83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C3C0F" w:rsidRPr="00EB64BC" w14:paraId="3EFFC79D" w14:textId="77777777" w:rsidTr="00B42AAC">
        <w:trPr>
          <w:trHeight w:val="20"/>
          <w:jc w:val="center"/>
        </w:trPr>
        <w:tc>
          <w:tcPr>
            <w:tcW w:w="0" w:type="auto"/>
            <w:vAlign w:val="center"/>
          </w:tcPr>
          <w:p w14:paraId="214FC29E" w14:textId="40C7AA80" w:rsidR="00BC3C0F" w:rsidRPr="00BC3C0F" w:rsidRDefault="00BC3C0F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  <w:r w:rsidRPr="00BC3C0F"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  <w:t>Tryptophan</w:t>
            </w:r>
          </w:p>
        </w:tc>
        <w:tc>
          <w:tcPr>
            <w:tcW w:w="0" w:type="auto"/>
            <w:vAlign w:val="center"/>
          </w:tcPr>
          <w:p w14:paraId="0BE9E119" w14:textId="17D73F59" w:rsidR="00BC3C0F" w:rsidRPr="00B06A35" w:rsidRDefault="00B06A35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  <w:r w:rsidRPr="00B06A35"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  <w:t>Cystein</w:t>
            </w:r>
          </w:p>
        </w:tc>
        <w:tc>
          <w:tcPr>
            <w:tcW w:w="0" w:type="auto"/>
            <w:vAlign w:val="center"/>
          </w:tcPr>
          <w:p w14:paraId="266D2A51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44FD1BAD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D1B82CE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6375F333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42AAC" w:rsidRPr="00EB64BC" w14:paraId="0A2EA589" w14:textId="77777777" w:rsidTr="00B42AAC">
        <w:trPr>
          <w:trHeight w:val="20"/>
          <w:jc w:val="center"/>
        </w:trPr>
        <w:tc>
          <w:tcPr>
            <w:tcW w:w="0" w:type="auto"/>
            <w:vAlign w:val="center"/>
          </w:tcPr>
          <w:p w14:paraId="1F27CAF7" w14:textId="77777777" w:rsidR="00B42AAC" w:rsidRPr="00BC3C0F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54A217EE" w14:textId="77777777" w:rsidR="00B42AAC" w:rsidRPr="00B06A35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697CFA1F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7A947058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2BA6CE31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940E8C5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C3C0F" w:rsidRPr="00EB64BC" w14:paraId="55D80004" w14:textId="77777777" w:rsidTr="00B42AAC">
        <w:trPr>
          <w:trHeight w:val="20"/>
          <w:jc w:val="center"/>
        </w:trPr>
        <w:tc>
          <w:tcPr>
            <w:tcW w:w="0" w:type="auto"/>
          </w:tcPr>
          <w:p w14:paraId="2FEE8FE1" w14:textId="12BDE8C7" w:rsidR="00BC3C0F" w:rsidRPr="00BC3C0F" w:rsidRDefault="00BC3C0F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1A97D9E9" wp14:editId="4E8F7B49">
                  <wp:extent cx="819150" cy="1476375"/>
                  <wp:effectExtent l="0" t="0" r="0" b="9525"/>
                  <wp:docPr id="66" name="Grafik 66" descr="\\home-pc.uni-bayreuth.de\group\vivaorg_10150105\ORG\W3Seiten\aktuell\umat\aminosaeuren\phenylalan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\home-pc.uni-bayreuth.de\group\vivaorg_10150105\ORG\W3Seiten\aktuell\umat\aminosaeuren\phenylalan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E126AF3" w14:textId="4CA21F89" w:rsidR="00BC3C0F" w:rsidRPr="00951A3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02A0BA91" wp14:editId="6B220ED6">
                  <wp:extent cx="819150" cy="1314450"/>
                  <wp:effectExtent l="0" t="0" r="0" b="0"/>
                  <wp:docPr id="75" name="Grafik 75" descr="\\home-pc.uni-bayreuth.de\group\vivaorg_10150105\ORG\W3Seiten\aktuell\umat\aminosaeuren\asparag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home-pc.uni-bayreuth.de\group\vivaorg_10150105\ORG\W3Seiten\aktuell\umat\aminosaeuren\asparag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39DDFAB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6A9A7278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42264D25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526A5F54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C3C0F" w:rsidRPr="00EB64BC" w14:paraId="1052779E" w14:textId="77777777" w:rsidTr="00B42AAC">
        <w:trPr>
          <w:trHeight w:val="20"/>
          <w:jc w:val="center"/>
        </w:trPr>
        <w:tc>
          <w:tcPr>
            <w:tcW w:w="0" w:type="auto"/>
          </w:tcPr>
          <w:p w14:paraId="12B0FE2F" w14:textId="1F1E05CA" w:rsidR="00BC3C0F" w:rsidRPr="00B06A35" w:rsidRDefault="00B06A35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</w:pPr>
            <w:r w:rsidRPr="00B06A35"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  <w:t>Phenylalanin</w:t>
            </w:r>
          </w:p>
        </w:tc>
        <w:tc>
          <w:tcPr>
            <w:tcW w:w="0" w:type="auto"/>
          </w:tcPr>
          <w:p w14:paraId="2B13FEC8" w14:textId="3BABCF3C" w:rsidR="00BC3C0F" w:rsidRPr="00B06A35" w:rsidRDefault="00B06A35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  <w:r w:rsidRPr="00B06A35"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  <w:t>Asparagin</w:t>
            </w:r>
          </w:p>
        </w:tc>
        <w:tc>
          <w:tcPr>
            <w:tcW w:w="0" w:type="auto"/>
          </w:tcPr>
          <w:p w14:paraId="392210DA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6AED5EFF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2F625ABE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6B3FF979" w14:textId="77777777" w:rsidR="00BC3C0F" w:rsidRPr="00EB64BC" w:rsidRDefault="00BC3C0F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42AAC" w:rsidRPr="00EB64BC" w14:paraId="6048B439" w14:textId="77777777" w:rsidTr="00B42AAC">
        <w:trPr>
          <w:trHeight w:val="20"/>
          <w:jc w:val="center"/>
        </w:trPr>
        <w:tc>
          <w:tcPr>
            <w:tcW w:w="0" w:type="auto"/>
          </w:tcPr>
          <w:p w14:paraId="6E66C799" w14:textId="77777777" w:rsidR="00B42AAC" w:rsidRPr="00B06A35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7804211B" w14:textId="77777777" w:rsidR="00B42AAC" w:rsidRPr="00B06A35" w:rsidRDefault="00B42AAC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5176F1A2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5B20B22F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1060A937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67486B49" w14:textId="77777777" w:rsidR="00B42AAC" w:rsidRPr="00EB64BC" w:rsidRDefault="00B42AAC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06A35" w:rsidRPr="00EB64BC" w14:paraId="3D2408C2" w14:textId="77777777" w:rsidTr="00B42AAC">
        <w:trPr>
          <w:trHeight w:val="20"/>
          <w:jc w:val="center"/>
        </w:trPr>
        <w:tc>
          <w:tcPr>
            <w:tcW w:w="0" w:type="auto"/>
          </w:tcPr>
          <w:p w14:paraId="751233D8" w14:textId="26EADC0E" w:rsidR="00B06A35" w:rsidRPr="00B06A35" w:rsidRDefault="00B06A35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</w:pPr>
            <w:r w:rsidRPr="00EB64BC"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  <w:drawing>
                <wp:inline distT="0" distB="0" distL="0" distR="0" wp14:anchorId="1B08C41A" wp14:editId="3A57EA12">
                  <wp:extent cx="990600" cy="1266825"/>
                  <wp:effectExtent l="0" t="0" r="0" b="9525"/>
                  <wp:docPr id="73" name="Grafik 73" descr="\\home-pc.uni-bayreuth.de\group\vivaorg_10150105\ORG\W3Seiten\aktuell\umat\aminosaeuren\isoleucinres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\home-pc.uni-bayreuth.de\group\vivaorg_10150105\ORG\W3Seiten\aktuell\umat\aminosaeuren\isoleucinres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65BD722" w14:textId="77777777" w:rsidR="00B06A35" w:rsidRPr="00951A3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1C592253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22867E01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1C9CBA84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43AC1EBD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B06A35" w:rsidRPr="00EB64BC" w14:paraId="36BCB202" w14:textId="77777777" w:rsidTr="00B42AAC">
        <w:trPr>
          <w:trHeight w:val="20"/>
          <w:jc w:val="center"/>
        </w:trPr>
        <w:tc>
          <w:tcPr>
            <w:tcW w:w="0" w:type="auto"/>
          </w:tcPr>
          <w:p w14:paraId="362ABC41" w14:textId="5C5D34AF" w:rsidR="00B06A35" w:rsidRPr="00B06A35" w:rsidRDefault="00B06A35" w:rsidP="00B42AAC">
            <w:pPr>
              <w:spacing w:before="0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de-DE"/>
              </w:rPr>
            </w:pPr>
            <w:r w:rsidRPr="00B06A35">
              <w:rPr>
                <w:rFonts w:asciiTheme="minorHAnsi" w:eastAsia="Times New Roman" w:hAnsiTheme="minorHAnsi" w:cstheme="minorHAnsi"/>
                <w:noProof/>
                <w:color w:val="008000" w:themeColor="accent3" w:themeShade="80"/>
                <w:szCs w:val="24"/>
                <w:lang w:eastAsia="de-DE"/>
              </w:rPr>
              <w:t>Isoleucin</w:t>
            </w:r>
          </w:p>
        </w:tc>
        <w:tc>
          <w:tcPr>
            <w:tcW w:w="0" w:type="auto"/>
          </w:tcPr>
          <w:p w14:paraId="2084D96A" w14:textId="77777777" w:rsidR="00B06A35" w:rsidRPr="00951A3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23957C25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38C8599B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792251B1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</w:tcPr>
          <w:p w14:paraId="34A4F0F5" w14:textId="77777777" w:rsidR="00B06A35" w:rsidRPr="00EB64BC" w:rsidRDefault="00B06A35" w:rsidP="00B42AAC">
            <w:pPr>
              <w:spacing w:before="0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</w:tbl>
    <w:p w14:paraId="1A960D12" w14:textId="49298324" w:rsidR="00D1454D" w:rsidRDefault="00D1454D" w:rsidP="00D1454D">
      <w:pPr>
        <w:pStyle w:val="Beschriftung"/>
      </w:pPr>
      <w:r>
        <w:t xml:space="preserve">Abb. 4: Aminosäuren mit </w:t>
      </w:r>
      <w:r w:rsidR="00243CE6">
        <w:t>differenzierten</w:t>
      </w:r>
      <w:r>
        <w:t xml:space="preserve"> Seiten-Ketten.</w:t>
      </w:r>
    </w:p>
    <w:p w14:paraId="36336626" w14:textId="6CE294D9" w:rsidR="00AC5E46" w:rsidRDefault="00AC5E46" w:rsidP="00AC5E46">
      <w:pPr>
        <w:pStyle w:val="berschrift1"/>
      </w:pPr>
      <w:bookmarkStart w:id="12" w:name="_Toc115623297"/>
      <w:r>
        <w:t>Säure-Base-Eigenschaften der Aminosäuren</w:t>
      </w:r>
      <w:bookmarkEnd w:id="12"/>
    </w:p>
    <w:p w14:paraId="3149CAE6" w14:textId="0A2C5835" w:rsidR="00AC5E46" w:rsidRDefault="00AC5E46" w:rsidP="00AC5E46">
      <w:r w:rsidRPr="00EB64BC">
        <w:t>Aminosäuren liegen in fester Form und in neutralen (pH</w:t>
      </w:r>
      <w:r>
        <w:t> </w:t>
      </w:r>
      <w:r w:rsidRPr="00EB64BC">
        <w:t>=</w:t>
      </w:r>
      <w:r>
        <w:t> </w:t>
      </w:r>
      <w:r w:rsidRPr="00EB64BC">
        <w:t>7), wässrigen Lösungen als Zwitter</w:t>
      </w:r>
      <w:r>
        <w:t>-I</w:t>
      </w:r>
      <w:r w:rsidRPr="00EB64BC">
        <w:t>on vor (</w:t>
      </w:r>
      <w:r>
        <w:rPr>
          <w:color w:val="FF00FF" w:themeColor="accent4"/>
        </w:rPr>
        <w:fldChar w:fldCharType="begin"/>
      </w:r>
      <w:r>
        <w:instrText xml:space="preserve"> REF _Ref46318782 \h </w:instrText>
      </w:r>
      <w:r>
        <w:rPr>
          <w:color w:val="FF00FF" w:themeColor="accent4"/>
        </w:rPr>
        <w:fldChar w:fldCharType="separate"/>
      </w:r>
      <w:r w:rsidR="00085661">
        <w:rPr>
          <w:b/>
          <w:bCs/>
          <w:color w:val="FF00FF" w:themeColor="accent4"/>
        </w:rPr>
        <w:t>Fehler! Verweisquelle konnte nicht gefunden werden.</w:t>
      </w:r>
      <w:r>
        <w:rPr>
          <w:color w:val="FF00FF" w:themeColor="accent4"/>
        </w:rPr>
        <w:fldChar w:fldCharType="end"/>
      </w:r>
      <w:r w:rsidR="00D31928">
        <w:t>5</w:t>
      </w:r>
      <w:r w:rsidRPr="00EB64BC">
        <w:t xml:space="preserve">). Das bedeutet, dass die </w:t>
      </w:r>
      <w:proofErr w:type="spellStart"/>
      <w:r w:rsidRPr="00EB64BC">
        <w:t>Amino</w:t>
      </w:r>
      <w:proofErr w:type="spellEnd"/>
      <w:r>
        <w:t>-G</w:t>
      </w:r>
      <w:r w:rsidRPr="00EB64BC">
        <w:t xml:space="preserve">ruppe </w:t>
      </w:r>
      <w:proofErr w:type="spellStart"/>
      <w:r w:rsidRPr="00EB64BC">
        <w:t>protoniert</w:t>
      </w:r>
      <w:proofErr w:type="spellEnd"/>
      <w:r w:rsidRPr="00EB64BC">
        <w:t xml:space="preserve"> (-NH</w:t>
      </w:r>
      <w:r w:rsidR="004A0CD5">
        <w:rPr>
          <w:vertAlign w:val="subscript"/>
        </w:rPr>
        <w:t>3</w:t>
      </w:r>
      <w:r w:rsidRPr="00EB64BC">
        <w:rPr>
          <w:vertAlign w:val="superscript"/>
        </w:rPr>
        <w:t>+</w:t>
      </w:r>
      <w:r w:rsidRPr="00EB64BC">
        <w:t xml:space="preserve">) und die </w:t>
      </w:r>
      <w:proofErr w:type="spellStart"/>
      <w:r w:rsidRPr="00EB64BC">
        <w:t>Carboxyl</w:t>
      </w:r>
      <w:proofErr w:type="spellEnd"/>
      <w:r>
        <w:t>-G</w:t>
      </w:r>
      <w:r w:rsidRPr="00EB64BC">
        <w:t>ruppe (-COO</w:t>
      </w:r>
      <w:r w:rsidRPr="00EB64BC">
        <w:rPr>
          <w:vertAlign w:val="superscript"/>
        </w:rPr>
        <w:t>-</w:t>
      </w:r>
      <w:r w:rsidRPr="00EB64BC">
        <w:t xml:space="preserve">) </w:t>
      </w:r>
      <w:proofErr w:type="spellStart"/>
      <w:r w:rsidRPr="00EB64BC">
        <w:t>deprotoniert</w:t>
      </w:r>
      <w:proofErr w:type="spellEnd"/>
      <w:r w:rsidRPr="00EB64BC">
        <w:t xml:space="preserve"> ist. Aufgrund dieser Tatsache sind die meisten Aminosäuren gut in Wasser löslich. Die </w:t>
      </w:r>
      <w:proofErr w:type="spellStart"/>
      <w:r w:rsidRPr="00EB64BC">
        <w:t>Amino</w:t>
      </w:r>
      <w:proofErr w:type="spellEnd"/>
      <w:r>
        <w:t>-G</w:t>
      </w:r>
      <w:r w:rsidRPr="00EB64BC">
        <w:t>ruppe fungiert hierbei als Base (Protonen</w:t>
      </w:r>
      <w:r>
        <w:t>-A</w:t>
      </w:r>
      <w:r w:rsidRPr="00EB64BC">
        <w:t xml:space="preserve">kzeptor) und die </w:t>
      </w:r>
      <w:proofErr w:type="spellStart"/>
      <w:r w:rsidRPr="00EB64BC">
        <w:t>Carboxyl</w:t>
      </w:r>
      <w:proofErr w:type="spellEnd"/>
      <w:r>
        <w:t>-G</w:t>
      </w:r>
      <w:r w:rsidRPr="00EB64BC">
        <w:t>ruppe als Säure (Protonen</w:t>
      </w:r>
      <w:r>
        <w:t>-</w:t>
      </w:r>
      <w:proofErr w:type="spellStart"/>
      <w:r>
        <w:t>D</w:t>
      </w:r>
      <w:r w:rsidRPr="00EB64BC">
        <w:t>onator</w:t>
      </w:r>
      <w:proofErr w:type="spellEnd"/>
      <w:r w:rsidRPr="00EB64BC">
        <w:t>).</w:t>
      </w:r>
    </w:p>
    <w:p w14:paraId="76F9B8EF" w14:textId="77777777" w:rsidR="00AC5E46" w:rsidRDefault="00AC5E46" w:rsidP="00AC5E46">
      <w:pPr>
        <w:pStyle w:val="Bilder"/>
      </w:pPr>
      <w:r>
        <w:rPr>
          <w:lang w:eastAsia="de-DE"/>
        </w:rPr>
        <w:drawing>
          <wp:inline distT="0" distB="0" distL="0" distR="0" wp14:anchorId="61205A62" wp14:editId="3138513F">
            <wp:extent cx="847725" cy="876300"/>
            <wp:effectExtent l="0" t="0" r="9525" b="0"/>
            <wp:docPr id="51" name="Grafik 51" descr="\\home-pc.uni-bayreuth.de\group\vivaorg_10150105\ORG\W3Seiten\aktuell\umat\aminosaeuren\sbeigenschaftglyc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\home-pc.uni-bayreuth.de\group\vivaorg_10150105\ORG\W3Seiten\aktuell\umat\aminosaeuren\sbeigenschaftglycin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lang w:eastAsia="de-DE"/>
        </w:rPr>
        <w:drawing>
          <wp:inline distT="0" distB="0" distL="0" distR="0" wp14:anchorId="5891AA16" wp14:editId="673703C7">
            <wp:extent cx="819150" cy="904875"/>
            <wp:effectExtent l="0" t="0" r="0" b="9525"/>
            <wp:docPr id="52" name="Grafik 52" descr="\\home-pc.uni-bayreuth.de\group\vivaorg_10150105\ORG\W3Seiten\aktuell\umat\aminosaeuren\zwitter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\home-pc.uni-bayreuth.de\group\vivaorg_10150105\ORG\W3Seiten\aktuell\umat\aminosaeuren\zwitterion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8B1CB" w14:textId="1154E853" w:rsidR="00AC5E46" w:rsidRDefault="00AC5E46" w:rsidP="00AC5E46">
      <w:pPr>
        <w:pStyle w:val="Beschriftung"/>
      </w:pPr>
      <w:r>
        <w:t xml:space="preserve">Abb. </w:t>
      </w:r>
      <w:r w:rsidR="00D31928">
        <w:t>5</w:t>
      </w:r>
      <w:r>
        <w:t xml:space="preserve">: </w:t>
      </w:r>
      <w:r w:rsidR="00371D2D">
        <w:t>Z</w:t>
      </w:r>
      <w:r>
        <w:t>witterionische Struktur am Beispiel von Glycin.</w:t>
      </w:r>
    </w:p>
    <w:p w14:paraId="4B099415" w14:textId="41C0196B" w:rsidR="00AC5E46" w:rsidRDefault="00AC5E46" w:rsidP="00AC5E46">
      <w:r w:rsidRPr="00EB64BC">
        <w:t>Die Säure-Base-Eigenschaften kann man anh</w:t>
      </w:r>
      <w:r>
        <w:t>and verschiedener Versuche nachweisen.</w:t>
      </w:r>
    </w:p>
    <w:p w14:paraId="4982D394" w14:textId="40563D82" w:rsidR="00AC5E46" w:rsidRPr="00D0181E" w:rsidRDefault="00AC5E46" w:rsidP="00AC5E46">
      <w:pPr>
        <w:rPr>
          <w:rStyle w:val="Fett"/>
          <w:sz w:val="36"/>
          <w:szCs w:val="36"/>
        </w:rPr>
      </w:pPr>
      <w:r w:rsidRPr="00D0181E">
        <w:rPr>
          <w:rStyle w:val="Fett"/>
          <w:sz w:val="36"/>
          <w:szCs w:val="36"/>
        </w:rPr>
        <w:t>Versuch 1:</w:t>
      </w:r>
    </w:p>
    <w:p w14:paraId="3AFBA876" w14:textId="77777777" w:rsidR="00AC5E46" w:rsidRDefault="00AC5E46" w:rsidP="00AC5E46">
      <w:r w:rsidRPr="000276B5">
        <w:rPr>
          <w:rStyle w:val="Fett"/>
        </w:rPr>
        <w:t>Zeitbedarf</w:t>
      </w:r>
      <w:r>
        <w:t>: ca. 30 Minuten</w:t>
      </w:r>
    </w:p>
    <w:p w14:paraId="637A8C95" w14:textId="77777777" w:rsidR="00AC5E46" w:rsidRDefault="00AC5E46" w:rsidP="00AC5E46">
      <w:r w:rsidRPr="000276B5">
        <w:rPr>
          <w:rStyle w:val="Fett"/>
        </w:rPr>
        <w:t>Ziel</w:t>
      </w:r>
      <w:r>
        <w:t>: Demonstration der Säure-Base-Eigenschaft einer Aminosäure</w:t>
      </w:r>
    </w:p>
    <w:p w14:paraId="6F702889" w14:textId="77777777" w:rsidR="00AC5E46" w:rsidRDefault="00AC5E46" w:rsidP="00AC5E46">
      <w:r w:rsidRPr="000276B5">
        <w:rPr>
          <w:rStyle w:val="Fett"/>
        </w:rPr>
        <w:t>Material</w:t>
      </w:r>
      <w:r>
        <w:t>:</w:t>
      </w:r>
    </w:p>
    <w:p w14:paraId="3CD00C00" w14:textId="77777777" w:rsidR="00AC5E46" w:rsidRDefault="00AC5E46" w:rsidP="00AC5E46">
      <w:pPr>
        <w:pStyle w:val="Liste1Aufzhlung"/>
        <w:sectPr w:rsidR="00AC5E46" w:rsidSect="00931B30">
          <w:footerReference w:type="default" r:id="rId41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14:paraId="14693C23" w14:textId="11777F84" w:rsidR="00AC5E46" w:rsidRDefault="00AC5E46" w:rsidP="00AC5E46">
      <w:pPr>
        <w:pStyle w:val="Liste1Aufzhlung"/>
      </w:pPr>
      <w:bookmarkStart w:id="13" w:name="_Hlk115957789"/>
      <w:r>
        <w:t>Computer</w:t>
      </w:r>
      <w:r w:rsidR="00133437">
        <w:tab/>
      </w:r>
      <w:r w:rsidR="00133437">
        <w:tab/>
      </w:r>
      <w:r w:rsidR="00133437">
        <w:tab/>
      </w:r>
      <w:r w:rsidR="00133437">
        <w:tab/>
      </w:r>
    </w:p>
    <w:p w14:paraId="2434BFEA" w14:textId="77777777" w:rsidR="00AC5E46" w:rsidRDefault="00AC5E46" w:rsidP="00AC5E46">
      <w:pPr>
        <w:pStyle w:val="Liste1Aufzhlung"/>
        <w:spacing w:before="0"/>
      </w:pPr>
      <w:r>
        <w:t xml:space="preserve">pH-Elektrode und </w:t>
      </w:r>
      <w:proofErr w:type="spellStart"/>
      <w:r>
        <w:t>ChemBox</w:t>
      </w:r>
      <w:proofErr w:type="spellEnd"/>
    </w:p>
    <w:p w14:paraId="16B34C80" w14:textId="77777777" w:rsidR="00AC5E46" w:rsidRDefault="00AC5E46" w:rsidP="00AC5E46">
      <w:pPr>
        <w:pStyle w:val="Liste1Aufzhlung"/>
        <w:spacing w:before="0"/>
      </w:pPr>
      <w:r>
        <w:t>Magnet-Rührer</w:t>
      </w:r>
    </w:p>
    <w:p w14:paraId="778A91D4" w14:textId="77777777" w:rsidR="00AC5E46" w:rsidRDefault="00AC5E46" w:rsidP="00AC5E46">
      <w:pPr>
        <w:pStyle w:val="Liste1Aufzhlung"/>
        <w:spacing w:before="0"/>
      </w:pPr>
      <w:r>
        <w:t>Magnet-Rührstäbchen</w:t>
      </w:r>
    </w:p>
    <w:p w14:paraId="1A096F39" w14:textId="4AA62663" w:rsidR="00AC5E46" w:rsidRDefault="00AC5E46" w:rsidP="00AC5E46">
      <w:pPr>
        <w:pStyle w:val="Liste1Aufzhlung"/>
        <w:spacing w:before="0"/>
      </w:pPr>
      <w:r>
        <w:t>Bürette, 50 m</w:t>
      </w:r>
      <w:r w:rsidR="005008EB">
        <w:t>l</w:t>
      </w:r>
    </w:p>
    <w:p w14:paraId="76FCA543" w14:textId="772E46AF" w:rsidR="00AC5E46" w:rsidRDefault="00AC5E46" w:rsidP="00AC5E46">
      <w:pPr>
        <w:pStyle w:val="Liste1Aufzhlung"/>
        <w:spacing w:before="0"/>
      </w:pPr>
      <w:r>
        <w:t>2 Bechergläser, 150 m</w:t>
      </w:r>
      <w:r w:rsidR="005008EB">
        <w:t>l</w:t>
      </w:r>
      <w:r>
        <w:t xml:space="preserve"> und 400 m</w:t>
      </w:r>
      <w:r w:rsidR="005008EB">
        <w:t>l</w:t>
      </w:r>
    </w:p>
    <w:p w14:paraId="555CE716" w14:textId="77777777" w:rsidR="00AC5E46" w:rsidRDefault="00AC5E46" w:rsidP="00AC5E46">
      <w:pPr>
        <w:pStyle w:val="Liste1Aufzhlung"/>
        <w:spacing w:before="0"/>
      </w:pPr>
      <w:r>
        <w:t>Büretten-Klemme</w:t>
      </w:r>
    </w:p>
    <w:p w14:paraId="681A189F" w14:textId="77777777" w:rsidR="00AC5E46" w:rsidRDefault="00AC5E46" w:rsidP="005C33AA">
      <w:pPr>
        <w:pStyle w:val="Liste1Aufzhlung"/>
        <w:spacing w:before="0"/>
      </w:pPr>
      <w:r>
        <w:t>Stativ, Muffen, Klammern</w:t>
      </w:r>
    </w:p>
    <w:p w14:paraId="4C2F7F9A" w14:textId="77777777" w:rsidR="00AC5E46" w:rsidRDefault="00AC5E46" w:rsidP="00AC5E46">
      <w:pPr>
        <w:pStyle w:val="Liste1Aufzhlung"/>
        <w:spacing w:before="0"/>
      </w:pPr>
      <w:r>
        <w:t>Trichter, d= 60 mm</w:t>
      </w:r>
    </w:p>
    <w:p w14:paraId="553F09BD" w14:textId="42A3E673" w:rsidR="00AC5E46" w:rsidRDefault="00AC5E46" w:rsidP="00AC5E46">
      <w:pPr>
        <w:pStyle w:val="Liste1Aufzhlung"/>
        <w:spacing w:before="0"/>
      </w:pPr>
      <w:r>
        <w:t>Pipette, 25 m</w:t>
      </w:r>
      <w:r w:rsidR="005008EB">
        <w:t>l</w:t>
      </w:r>
    </w:p>
    <w:p w14:paraId="6E658CD8" w14:textId="5A90CBDA" w:rsidR="00AC5E46" w:rsidRDefault="00AC5E46" w:rsidP="00AC5E46">
      <w:pPr>
        <w:pStyle w:val="Liste1Aufzhlung"/>
        <w:spacing w:before="0"/>
      </w:pPr>
      <w:r>
        <w:t>Mess-Kolben, 100 m</w:t>
      </w:r>
      <w:r w:rsidR="005008EB">
        <w:t>l</w:t>
      </w:r>
    </w:p>
    <w:p w14:paraId="48D93DF8" w14:textId="77777777" w:rsidR="00AC5E46" w:rsidRDefault="00AC5E46" w:rsidP="00AC5E46">
      <w:pPr>
        <w:pStyle w:val="Liste1Aufzhlung"/>
        <w:spacing w:before="0"/>
      </w:pPr>
      <w:r>
        <w:t>Waage</w:t>
      </w:r>
    </w:p>
    <w:bookmarkEnd w:id="13"/>
    <w:p w14:paraId="512B248A" w14:textId="77777777" w:rsidR="00AC5E46" w:rsidRDefault="00AC5E46" w:rsidP="00AC5E46">
      <w:pPr>
        <w:rPr>
          <w:rStyle w:val="Fett"/>
        </w:rPr>
        <w:sectPr w:rsidR="00AC5E46" w:rsidSect="000276B5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14:paraId="7F25ACFA" w14:textId="77777777" w:rsidR="00AC5E46" w:rsidRDefault="00AC5E46" w:rsidP="00AC5E46">
      <w:r w:rsidRPr="000276B5">
        <w:rPr>
          <w:rStyle w:val="Fett"/>
        </w:rPr>
        <w:t>Chemikalien</w:t>
      </w:r>
      <w:r>
        <w:t>:</w:t>
      </w:r>
    </w:p>
    <w:p w14:paraId="6369F3C5" w14:textId="77777777" w:rsidR="00AC5E46" w:rsidRDefault="00AC5E46" w:rsidP="00AC5E46">
      <w:pPr>
        <w:pStyle w:val="Liste1Aufzhlung"/>
        <w:rPr>
          <w:rStyle w:val="RotZchn"/>
        </w:rPr>
        <w:sectPr w:rsidR="00AC5E46" w:rsidSect="000276B5">
          <w:type w:val="continuous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14:paraId="72B9BDA1" w14:textId="31ADEB28" w:rsidR="00AC5E46" w:rsidRPr="000276B5" w:rsidRDefault="00AC5E46" w:rsidP="00AC5E46">
      <w:pPr>
        <w:pStyle w:val="Liste1Aufzhlung"/>
        <w:rPr>
          <w:lang w:val="en-US"/>
        </w:rPr>
      </w:pPr>
      <w:proofErr w:type="spellStart"/>
      <w:r w:rsidRPr="000276B5">
        <w:rPr>
          <w:rStyle w:val="RotZchn"/>
          <w:lang w:val="en-US"/>
        </w:rPr>
        <w:t>Salzsäure</w:t>
      </w:r>
      <w:proofErr w:type="spellEnd"/>
      <w:r w:rsidRPr="000276B5">
        <w:rPr>
          <w:lang w:val="en-US"/>
        </w:rPr>
        <w:br/>
        <w:t>c= 0,1mol/</w:t>
      </w:r>
      <w:r w:rsidR="005008EB">
        <w:rPr>
          <w:lang w:val="en-US"/>
        </w:rPr>
        <w:t>l</w:t>
      </w:r>
      <w:r w:rsidRPr="000276B5">
        <w:rPr>
          <w:lang w:val="en-US"/>
        </w:rPr>
        <w:tab/>
      </w:r>
      <w:r w:rsidRPr="000276B5">
        <w:rPr>
          <w:lang w:val="en-US"/>
        </w:rPr>
        <w:br/>
      </w:r>
      <w:r w:rsidRPr="000276B5">
        <w:rPr>
          <w:rStyle w:val="CASNrZchn"/>
          <w:lang w:val="en-US"/>
        </w:rPr>
        <w:t>CAS-</w:t>
      </w:r>
      <w:proofErr w:type="spellStart"/>
      <w:r w:rsidRPr="000276B5">
        <w:rPr>
          <w:rStyle w:val="CASNrZchn"/>
          <w:lang w:val="en-US"/>
        </w:rPr>
        <w:t>Nr</w:t>
      </w:r>
      <w:proofErr w:type="spellEnd"/>
      <w:r w:rsidRPr="000276B5">
        <w:rPr>
          <w:rStyle w:val="CASNrZchn"/>
          <w:lang w:val="en-US"/>
        </w:rPr>
        <w:t>.: 7647-01-0</w:t>
      </w:r>
    </w:p>
    <w:p w14:paraId="5AACCD5C" w14:textId="61ECFBC1" w:rsidR="00AC5E46" w:rsidRPr="00477AF4" w:rsidRDefault="00AC5E46" w:rsidP="005C33AA">
      <w:pPr>
        <w:pStyle w:val="Liste1Aufzhlung"/>
        <w:spacing w:before="0"/>
        <w:rPr>
          <w:lang w:val="en-US"/>
        </w:rPr>
      </w:pPr>
      <w:proofErr w:type="spellStart"/>
      <w:r w:rsidRPr="00477AF4">
        <w:rPr>
          <w:rStyle w:val="RotZchn"/>
          <w:lang w:val="en-US"/>
        </w:rPr>
        <w:t>Natronlauge</w:t>
      </w:r>
      <w:proofErr w:type="spellEnd"/>
      <w:r w:rsidRPr="00477AF4">
        <w:rPr>
          <w:lang w:val="en-US"/>
        </w:rPr>
        <w:br/>
        <w:t>c= 0,1mol/</w:t>
      </w:r>
      <w:r w:rsidR="005008EB">
        <w:rPr>
          <w:lang w:val="en-US"/>
        </w:rPr>
        <w:t>l</w:t>
      </w:r>
      <w:r w:rsidRPr="00477AF4">
        <w:rPr>
          <w:lang w:val="en-US"/>
        </w:rPr>
        <w:tab/>
      </w:r>
      <w:r w:rsidRPr="00477AF4">
        <w:rPr>
          <w:lang w:val="en-US"/>
        </w:rPr>
        <w:br/>
      </w:r>
      <w:r w:rsidRPr="00477AF4">
        <w:rPr>
          <w:rStyle w:val="CASNrZchn"/>
          <w:lang w:val="en-US"/>
        </w:rPr>
        <w:t>CAS-</w:t>
      </w:r>
      <w:proofErr w:type="spellStart"/>
      <w:r w:rsidRPr="00477AF4">
        <w:rPr>
          <w:rStyle w:val="CASNrZchn"/>
          <w:lang w:val="en-US"/>
        </w:rPr>
        <w:t>Nr</w:t>
      </w:r>
      <w:proofErr w:type="spellEnd"/>
      <w:r w:rsidRPr="00477AF4">
        <w:rPr>
          <w:rStyle w:val="CASNrZchn"/>
          <w:lang w:val="en-US"/>
        </w:rPr>
        <w:t>.: 1310-73-2</w:t>
      </w:r>
    </w:p>
    <w:p w14:paraId="324F36A3" w14:textId="77777777" w:rsidR="00AC5E46" w:rsidRPr="000276B5" w:rsidRDefault="00AC5E46" w:rsidP="00AC5E46">
      <w:pPr>
        <w:pStyle w:val="Liste1Aufzhlung"/>
      </w:pPr>
      <w:r w:rsidRPr="000276B5">
        <w:rPr>
          <w:rStyle w:val="RotZchn"/>
        </w:rPr>
        <w:t>Glycin</w:t>
      </w:r>
      <w:r w:rsidRPr="000276B5">
        <w:br/>
      </w:r>
      <w:r w:rsidRPr="000276B5">
        <w:rPr>
          <w:rStyle w:val="CASNrZchn"/>
        </w:rPr>
        <w:t>CAS-Nr.: 56-40-6</w:t>
      </w:r>
    </w:p>
    <w:p w14:paraId="439DCDFE" w14:textId="2EBDB099" w:rsidR="00AC5E46" w:rsidRDefault="00AC5E46" w:rsidP="005C33AA">
      <w:pPr>
        <w:pStyle w:val="Rot"/>
        <w:numPr>
          <w:ilvl w:val="2"/>
          <w:numId w:val="10"/>
        </w:numPr>
        <w:spacing w:before="0"/>
        <w:sectPr w:rsidR="00AC5E46" w:rsidSect="000276B5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  <w:r w:rsidRPr="000276B5">
        <w:t>VE-Wasse</w:t>
      </w:r>
      <w:r>
        <w:t>r</w:t>
      </w:r>
    </w:p>
    <w:p w14:paraId="60F8EB2B" w14:textId="77777777" w:rsidR="00561F0A" w:rsidRDefault="00561F0A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14:paraId="16517849" w14:textId="285F096A" w:rsidR="00AC5E46" w:rsidRDefault="00AC5E46" w:rsidP="00AC5E46">
      <w:r w:rsidRPr="00986D98">
        <w:rPr>
          <w:b/>
          <w:bCs/>
        </w:rPr>
        <w:t>Versuchsaufbau:</w:t>
      </w:r>
      <w:r>
        <w:t xml:space="preserve"> Titration von Glycin</w:t>
      </w:r>
    </w:p>
    <w:p w14:paraId="4E805219" w14:textId="77777777" w:rsidR="00AC5E46" w:rsidRDefault="00AC5E46" w:rsidP="00AC5E46">
      <w:pPr>
        <w:pStyle w:val="Bilder"/>
      </w:pPr>
      <w:r>
        <w:rPr>
          <w:lang w:eastAsia="de-DE"/>
        </w:rPr>
        <w:drawing>
          <wp:inline distT="0" distB="0" distL="0" distR="0" wp14:anchorId="4498D7D0" wp14:editId="175FCCEC">
            <wp:extent cx="3074670" cy="1792092"/>
            <wp:effectExtent l="0" t="0" r="0" b="0"/>
            <wp:docPr id="53" name="Grafik 53" descr="\\home-pc.uni-bayreuth.de\group\vivaorg_10150105\ORG\W3Seiten\aktuell\umat\aminosaeuren\versuchsauf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\home-pc.uni-bayreuth.de\group\vivaorg_10150105\ORG\W3Seiten\aktuell\umat\aminosaeuren\versuchsaufbau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62" cy="186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7129" w14:textId="28B4D486" w:rsidR="00AC5E46" w:rsidRDefault="00AC5E46" w:rsidP="00AC5E46">
      <w:pPr>
        <w:pStyle w:val="Beschriftung"/>
      </w:pPr>
      <w:r>
        <w:t xml:space="preserve">Abb. </w:t>
      </w:r>
      <w:r w:rsidR="00D31928">
        <w:t>6</w:t>
      </w:r>
      <w:r>
        <w:t>: Versuchsaufbau [</w:t>
      </w:r>
      <w:r>
        <w:fldChar w:fldCharType="begin"/>
      </w:r>
      <w:r>
        <w:instrText xml:space="preserve"> REF _Ref46319322 \r \h </w:instrText>
      </w:r>
      <w:r>
        <w:fldChar w:fldCharType="separate"/>
      </w:r>
      <w:r w:rsidR="00085661">
        <w:t>4</w:t>
      </w:r>
      <w:r>
        <w:fldChar w:fldCharType="end"/>
      </w:r>
      <w:r>
        <w:t>].</w:t>
      </w:r>
    </w:p>
    <w:p w14:paraId="7633F0D5" w14:textId="10F4D5CA" w:rsidR="00AC5E46" w:rsidRPr="000276B5" w:rsidRDefault="00AC5E46" w:rsidP="00AC5E46">
      <w:r w:rsidRPr="000276B5">
        <w:t xml:space="preserve">Den Versuch gemäß der Abbildung aufbauen. Es muss sichergestellt werden, dass die </w:t>
      </w:r>
      <w:proofErr w:type="spellStart"/>
      <w:r w:rsidRPr="000276B5">
        <w:t>Chembox</w:t>
      </w:r>
      <w:proofErr w:type="spellEnd"/>
      <w:r w:rsidRPr="000276B5">
        <w:t xml:space="preserve"> oder das pH-Meter mit dem Computer verbunden ist. Dann kann der Computer gestartet werden. Die pH-Me</w:t>
      </w:r>
      <w:r w:rsidR="005008EB">
        <w:t>ss</w:t>
      </w:r>
      <w:r w:rsidRPr="000276B5">
        <w:t xml:space="preserve">kette muss an den pH-Eingang (4) angeschlossen werden und anschließend kann die </w:t>
      </w:r>
      <w:proofErr w:type="spellStart"/>
      <w:r w:rsidRPr="000276B5">
        <w:t>Cembox</w:t>
      </w:r>
      <w:proofErr w:type="spellEnd"/>
      <w:r w:rsidRPr="000276B5">
        <w:t xml:space="preserve"> eingeschaltet werden. Die pH-Me</w:t>
      </w:r>
      <w:r w:rsidR="005008EB">
        <w:t>ss</w:t>
      </w:r>
      <w:r w:rsidRPr="000276B5">
        <w:t>kette muss noch vor der Messung kalibriert werden.</w:t>
      </w:r>
    </w:p>
    <w:p w14:paraId="41AB0B66" w14:textId="130552B9" w:rsidR="00AC5E46" w:rsidRPr="000276B5" w:rsidRDefault="00AC5E46" w:rsidP="00AC5E46">
      <w:r w:rsidRPr="000276B5">
        <w:rPr>
          <w:rStyle w:val="Fett"/>
        </w:rPr>
        <w:t>Durchführung</w:t>
      </w:r>
      <w:r w:rsidRPr="000276B5">
        <w:t>: Zuerst werden in einem Becherglas 0,375 g Glycin in 50 m</w:t>
      </w:r>
      <w:r w:rsidR="001D5802">
        <w:t>l</w:t>
      </w:r>
      <w:r w:rsidRPr="000276B5">
        <w:t xml:space="preserve"> Salzsäure</w:t>
      </w:r>
      <w:r w:rsidR="005008EB">
        <w:t xml:space="preserve"> </w:t>
      </w:r>
      <w:r w:rsidRPr="000276B5">
        <w:t>der Konzentration c(HCl)= 0,1 </w:t>
      </w:r>
      <w:proofErr w:type="spellStart"/>
      <w:r w:rsidRPr="000276B5">
        <w:t>mol</w:t>
      </w:r>
      <w:proofErr w:type="spellEnd"/>
      <w:r w:rsidRPr="000276B5">
        <w:t>/</w:t>
      </w:r>
      <w:r w:rsidR="005008EB">
        <w:t>l</w:t>
      </w:r>
      <w:r w:rsidRPr="000276B5">
        <w:t xml:space="preserve"> gelöst. 20 m</w:t>
      </w:r>
      <w:r w:rsidR="005008EB">
        <w:t>l</w:t>
      </w:r>
      <w:r w:rsidRPr="000276B5">
        <w:t xml:space="preserve"> der hergestellten Glycin-Lösung werden für die Titration entnommen und in ein neues Becherglas gegeben. Zum Bedecken der pH-Elektrode wird das Becherglas mit Wasser aufgefüllt. Anschließend wird mit Natronlauge der Konzentration c(</w:t>
      </w:r>
      <w:proofErr w:type="spellStart"/>
      <w:r w:rsidRPr="000276B5">
        <w:t>NaOH</w:t>
      </w:r>
      <w:proofErr w:type="spellEnd"/>
      <w:r w:rsidRPr="000276B5">
        <w:t>)= 0,1 </w:t>
      </w:r>
      <w:proofErr w:type="spellStart"/>
      <w:r w:rsidRPr="000276B5">
        <w:t>mol</w:t>
      </w:r>
      <w:proofErr w:type="spellEnd"/>
      <w:r w:rsidRPr="000276B5">
        <w:t>/</w:t>
      </w:r>
      <w:r w:rsidR="001D5802">
        <w:t>l</w:t>
      </w:r>
      <w:r w:rsidRPr="000276B5">
        <w:t xml:space="preserve"> titriert. </w:t>
      </w:r>
    </w:p>
    <w:p w14:paraId="59E110CF" w14:textId="77777777" w:rsidR="00AC5E46" w:rsidRPr="000276B5" w:rsidRDefault="00AC5E46" w:rsidP="00AC5E46">
      <w:r w:rsidRPr="000276B5">
        <w:t xml:space="preserve">Beim Starten der Titration muss darauf geachtet werden, dass der Beginn des </w:t>
      </w:r>
      <w:proofErr w:type="spellStart"/>
      <w:r w:rsidRPr="000276B5">
        <w:t>Zutropfens</w:t>
      </w:r>
      <w:proofErr w:type="spellEnd"/>
      <w:r w:rsidRPr="000276B5">
        <w:t xml:space="preserve"> und der Start der Messreihe am Computer (Button BEGINN), sowie auch später das Beenden der Titration, gleichzeitig vollzogen werden. </w:t>
      </w:r>
    </w:p>
    <w:p w14:paraId="2A4EBD5A" w14:textId="77777777" w:rsidR="00AC5E46" w:rsidRDefault="00AC5E46" w:rsidP="00AC5E46">
      <w:r w:rsidRPr="000276B5">
        <w:t>Die pH-Änderung wird über eine pH-Elektrode und dem daran angeschlossenen pH-Meter gemessen. Die daraus resultierende Titrationskurve lässt sich am Computer verfolgen.</w:t>
      </w:r>
    </w:p>
    <w:p w14:paraId="29C2EB9B" w14:textId="77777777" w:rsidR="00AC5E46" w:rsidRDefault="00AC5E46" w:rsidP="00AC5E46">
      <w:pPr>
        <w:rPr>
          <w:rFonts w:cs="Arial"/>
        </w:rPr>
      </w:pPr>
      <w:r w:rsidRPr="000276B5">
        <w:rPr>
          <w:rStyle w:val="Fett"/>
        </w:rPr>
        <w:t>Beobachtung</w:t>
      </w:r>
      <w:r>
        <w:t xml:space="preserve">: </w:t>
      </w:r>
      <w:r>
        <w:rPr>
          <w:rFonts w:cs="Arial"/>
        </w:rPr>
        <w:t>Im Laufe der Titration ergibt sich folgendes Diagramm:</w:t>
      </w:r>
    </w:p>
    <w:p w14:paraId="35D55ED8" w14:textId="77777777" w:rsidR="00AC5E46" w:rsidRDefault="00AC5E46" w:rsidP="00AC5E46">
      <w:pPr>
        <w:pStyle w:val="Bilder"/>
      </w:pPr>
      <w:r>
        <w:rPr>
          <w:lang w:eastAsia="de-DE"/>
        </w:rPr>
        <w:drawing>
          <wp:inline distT="0" distB="0" distL="0" distR="0" wp14:anchorId="1E1E0665" wp14:editId="00E8133B">
            <wp:extent cx="2676293" cy="2546302"/>
            <wp:effectExtent l="0" t="0" r="0" b="6985"/>
            <wp:docPr id="54" name="Grafik 54" descr="\\home-pc.uni-bayreuth.de\group\vivaorg_10150105\ORG\W3Seiten\aktuell\umat\aminosaeuren\ti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\home-pc.uni-bayreuth.de\group\vivaorg_10150105\ORG\W3Seiten\aktuell\umat\aminosaeuren\titration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79" cy="256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44D86" w14:textId="786BB235" w:rsidR="00AC5E46" w:rsidRDefault="00AC5E46" w:rsidP="00AC5E46">
      <w:pPr>
        <w:pStyle w:val="Beschriftung"/>
      </w:pPr>
      <w:r>
        <w:t xml:space="preserve">Abb. </w:t>
      </w:r>
      <w:r w:rsidR="00D31928">
        <w:t>7</w:t>
      </w:r>
      <w:r>
        <w:t>: Titrationskurve [</w:t>
      </w:r>
      <w:r>
        <w:fldChar w:fldCharType="begin"/>
      </w:r>
      <w:r>
        <w:instrText xml:space="preserve"> REF _Ref46318172 \r \h </w:instrText>
      </w:r>
      <w:r>
        <w:fldChar w:fldCharType="separate"/>
      </w:r>
      <w:r w:rsidR="00085661">
        <w:t>1</w:t>
      </w:r>
      <w:r>
        <w:fldChar w:fldCharType="end"/>
      </w:r>
      <w:r>
        <w:t>].</w:t>
      </w:r>
    </w:p>
    <w:p w14:paraId="1B3EEB58" w14:textId="77777777" w:rsidR="00AC5E46" w:rsidRPr="000276B5" w:rsidRDefault="00AC5E46" w:rsidP="00AC5E46">
      <w:r w:rsidRPr="000276B5">
        <w:t>In der Abbildung beispielhaft dargestellten Titrationskurve sind die beiden Puffer</w:t>
      </w:r>
      <w:r>
        <w:t>-B</w:t>
      </w:r>
      <w:r w:rsidRPr="000276B5">
        <w:t xml:space="preserve">ereiche (blaue Kästen) mit ihren </w:t>
      </w:r>
      <w:proofErr w:type="spellStart"/>
      <w:r w:rsidRPr="000276B5">
        <w:t>pK</w:t>
      </w:r>
      <w:r w:rsidRPr="000276B5">
        <w:rPr>
          <w:vertAlign w:val="subscript"/>
        </w:rPr>
        <w:t>s</w:t>
      </w:r>
      <w:proofErr w:type="spellEnd"/>
      <w:r w:rsidRPr="000276B5">
        <w:t>-Werten (pK</w:t>
      </w:r>
      <w:r w:rsidRPr="000276B5">
        <w:rPr>
          <w:vertAlign w:val="subscript"/>
        </w:rPr>
        <w:t>1</w:t>
      </w:r>
      <w:r w:rsidRPr="000276B5">
        <w:t>=</w:t>
      </w:r>
      <w:r>
        <w:t> </w:t>
      </w:r>
      <w:r w:rsidRPr="000276B5">
        <w:t>2,34 und pK</w:t>
      </w:r>
      <w:r w:rsidRPr="000276B5">
        <w:rPr>
          <w:vertAlign w:val="subscript"/>
        </w:rPr>
        <w:t>2</w:t>
      </w:r>
      <w:r w:rsidRPr="000276B5">
        <w:t>=</w:t>
      </w:r>
      <w:r>
        <w:t> </w:t>
      </w:r>
      <w:r w:rsidRPr="000276B5">
        <w:t>9,60), die sich jeweils in der Mitte dieser Puffer</w:t>
      </w:r>
      <w:r>
        <w:t>-B</w:t>
      </w:r>
      <w:r w:rsidRPr="000276B5">
        <w:t xml:space="preserve">ereiche befinden, zu erkennen. Außerdem kann man aus der Kurve den </w:t>
      </w:r>
      <w:proofErr w:type="spellStart"/>
      <w:r w:rsidRPr="000276B5">
        <w:t>isoelektrischen</w:t>
      </w:r>
      <w:proofErr w:type="spellEnd"/>
      <w:r w:rsidRPr="000276B5">
        <w:t xml:space="preserve"> Punkt (IP), auch Äquivalenz</w:t>
      </w:r>
      <w:r>
        <w:t>-P</w:t>
      </w:r>
      <w:r w:rsidRPr="000276B5">
        <w:t>unkt genannt, ablesen (IP=</w:t>
      </w:r>
      <w:r>
        <w:t> </w:t>
      </w:r>
      <w:r w:rsidRPr="000276B5">
        <w:t xml:space="preserve">5,97). Über der Kurve sind die in den verschiedenen pH-Bereichen vorliegenden Aminosäure-Ionen dargestellt. </w:t>
      </w:r>
    </w:p>
    <w:p w14:paraId="57D74464" w14:textId="4ED9BDCD" w:rsidR="00AC5E46" w:rsidRPr="000276B5" w:rsidRDefault="00AC5E46" w:rsidP="00AC5E46">
      <w:r w:rsidRPr="000276B5">
        <w:t>Bei der vom Computer aufgezeichneten Kurve lassen sich</w:t>
      </w:r>
      <w:r w:rsidR="00394BB1">
        <w:t xml:space="preserve"> jedoch nicht</w:t>
      </w:r>
      <w:r w:rsidRPr="000276B5">
        <w:t xml:space="preserve"> die </w:t>
      </w:r>
      <w:proofErr w:type="spellStart"/>
      <w:r w:rsidRPr="000276B5">
        <w:t>pK</w:t>
      </w:r>
      <w:r w:rsidRPr="000276B5">
        <w:rPr>
          <w:vertAlign w:val="subscript"/>
        </w:rPr>
        <w:t>s</w:t>
      </w:r>
      <w:proofErr w:type="spellEnd"/>
      <w:r w:rsidRPr="000276B5">
        <w:t>-Werte</w:t>
      </w:r>
      <w:r w:rsidR="00394BB1">
        <w:t xml:space="preserve"> </w:t>
      </w:r>
      <w:r w:rsidRPr="000276B5">
        <w:t>bestimmen.</w:t>
      </w:r>
    </w:p>
    <w:p w14:paraId="78679DB8" w14:textId="39D83E5D" w:rsidR="00AC5E46" w:rsidRDefault="00AC5E46" w:rsidP="00AC5E46">
      <w:r w:rsidRPr="002C25CE">
        <w:rPr>
          <w:rStyle w:val="Fett"/>
        </w:rPr>
        <w:t>Deutung</w:t>
      </w:r>
      <w:r w:rsidRPr="000276B5">
        <w:t xml:space="preserve">: Aminosäuren können mit Hilfe der </w:t>
      </w:r>
      <w:proofErr w:type="spellStart"/>
      <w:r w:rsidRPr="000276B5">
        <w:t>Carboxyl</w:t>
      </w:r>
      <w:proofErr w:type="spellEnd"/>
      <w:r w:rsidRPr="000276B5">
        <w:t xml:space="preserve">- und </w:t>
      </w:r>
      <w:proofErr w:type="spellStart"/>
      <w:r w:rsidRPr="000276B5">
        <w:t>Amino</w:t>
      </w:r>
      <w:proofErr w:type="spellEnd"/>
      <w:r>
        <w:t>-G</w:t>
      </w:r>
      <w:r w:rsidRPr="000276B5">
        <w:t>ruppe sowohl Protonen aufnehmen (</w:t>
      </w:r>
      <w:proofErr w:type="spellStart"/>
      <w:r>
        <w:t>Amino</w:t>
      </w:r>
      <w:proofErr w:type="spellEnd"/>
      <w:r>
        <w:t>-G</w:t>
      </w:r>
      <w:r w:rsidRPr="000276B5">
        <w:t>ruppe), als auch abgeben (</w:t>
      </w:r>
      <w:proofErr w:type="spellStart"/>
      <w:r>
        <w:t>Carboxyl</w:t>
      </w:r>
      <w:proofErr w:type="spellEnd"/>
      <w:r>
        <w:t>-G</w:t>
      </w:r>
      <w:r w:rsidRPr="000276B5">
        <w:t xml:space="preserve">ruppe). Aminosäuren sind also </w:t>
      </w:r>
      <w:proofErr w:type="spellStart"/>
      <w:r w:rsidRPr="000276B5">
        <w:t>Ampholyte</w:t>
      </w:r>
      <w:proofErr w:type="spellEnd"/>
      <w:r w:rsidRPr="000276B5">
        <w:t xml:space="preserve">. </w:t>
      </w:r>
      <w:r>
        <w:t>Aufgrund des P</w:t>
      </w:r>
      <w:r w:rsidRPr="000276B5">
        <w:t>rotonen</w:t>
      </w:r>
      <w:r>
        <w:t>-Ü</w:t>
      </w:r>
      <w:r w:rsidRPr="000276B5">
        <w:t>berschusses durch die Salzsäure liegen die Glycin</w:t>
      </w:r>
      <w:r>
        <w:t>-Moleküle</w:t>
      </w:r>
      <w:r w:rsidRPr="000276B5">
        <w:t xml:space="preserve"> am Anfang der Titration als </w:t>
      </w:r>
      <w:r w:rsidRPr="00714948">
        <w:rPr>
          <w:color w:val="00B050"/>
        </w:rPr>
        <w:t>Kationen</w:t>
      </w:r>
      <w:r w:rsidRPr="000276B5">
        <w:rPr>
          <w:color w:val="00BF00" w:themeColor="accent3" w:themeShade="BF"/>
        </w:rPr>
        <w:t xml:space="preserve"> </w:t>
      </w:r>
      <w:r w:rsidRPr="000276B5">
        <w:t>vor (grün umrahmt)</w:t>
      </w:r>
      <w:r>
        <w:t>.</w:t>
      </w:r>
      <w:r w:rsidRPr="000276B5">
        <w:t xml:space="preserve"> Wenn der Puffer</w:t>
      </w:r>
      <w:r>
        <w:t>-B</w:t>
      </w:r>
      <w:r w:rsidRPr="000276B5">
        <w:t xml:space="preserve">ereich überschritten wird, gibt die </w:t>
      </w:r>
      <w:proofErr w:type="spellStart"/>
      <w:r w:rsidRPr="000276B5">
        <w:t>Carboxyl</w:t>
      </w:r>
      <w:proofErr w:type="spellEnd"/>
      <w:r>
        <w:t>-G</w:t>
      </w:r>
      <w:r w:rsidRPr="000276B5">
        <w:t>ruppe ihr Proton an die Hydroxid</w:t>
      </w:r>
      <w:r>
        <w:t>-I</w:t>
      </w:r>
      <w:r w:rsidRPr="000276B5">
        <w:t xml:space="preserve">onen der Natronlauge ab. Dadurch entstehen die </w:t>
      </w:r>
      <w:r w:rsidRPr="000276B5">
        <w:rPr>
          <w:color w:val="FF00FF" w:themeColor="accent4"/>
        </w:rPr>
        <w:t>Zwitter-Ionen</w:t>
      </w:r>
      <w:r w:rsidRPr="000276B5">
        <w:t xml:space="preserve">, die an der </w:t>
      </w:r>
      <w:proofErr w:type="spellStart"/>
      <w:r w:rsidRPr="000276B5">
        <w:t>Amino</w:t>
      </w:r>
      <w:proofErr w:type="spellEnd"/>
      <w:r>
        <w:t>-G</w:t>
      </w:r>
      <w:r w:rsidRPr="000276B5">
        <w:t xml:space="preserve">ruppe positiv und der </w:t>
      </w:r>
      <w:proofErr w:type="spellStart"/>
      <w:r w:rsidRPr="000276B5">
        <w:t>Carboxyl</w:t>
      </w:r>
      <w:proofErr w:type="spellEnd"/>
      <w:r>
        <w:t>-Gruppe negativ geladen</w:t>
      </w:r>
      <w:r w:rsidRPr="000276B5">
        <w:t xml:space="preserve"> sind (</w:t>
      </w:r>
      <w:proofErr w:type="spellStart"/>
      <w:r>
        <w:t>magenta</w:t>
      </w:r>
      <w:proofErr w:type="spellEnd"/>
      <w:r w:rsidRPr="000276B5">
        <w:t xml:space="preserve"> umrahmt). Den Punkt, an dem </w:t>
      </w:r>
      <w:r>
        <w:t>die Moleküle in zwitterionischer Form</w:t>
      </w:r>
      <w:r w:rsidRPr="000276B5">
        <w:t xml:space="preserve"> vorliegen, bezeichnet man als den </w:t>
      </w:r>
      <w:proofErr w:type="spellStart"/>
      <w:r w:rsidRPr="000276B5">
        <w:rPr>
          <w:color w:val="FF00FF" w:themeColor="accent4"/>
        </w:rPr>
        <w:t>isoelektrischen</w:t>
      </w:r>
      <w:proofErr w:type="spellEnd"/>
      <w:r w:rsidRPr="000276B5">
        <w:rPr>
          <w:color w:val="FF00FF" w:themeColor="accent4"/>
        </w:rPr>
        <w:t xml:space="preserve"> Punkt </w:t>
      </w:r>
      <w:r w:rsidRPr="000276B5">
        <w:t>(IP). Die Gesamt</w:t>
      </w:r>
      <w:r>
        <w:t>-L</w:t>
      </w:r>
      <w:r w:rsidRPr="000276B5">
        <w:t xml:space="preserve">adung des Ions ist gleich null, da </w:t>
      </w:r>
      <w:r>
        <w:t xml:space="preserve">sich die positive Ladung der </w:t>
      </w:r>
      <w:proofErr w:type="spellStart"/>
      <w:r>
        <w:t>Amino</w:t>
      </w:r>
      <w:proofErr w:type="spellEnd"/>
      <w:r>
        <w:t xml:space="preserve">-Gruppe mit der negativen Ladung der </w:t>
      </w:r>
      <w:proofErr w:type="spellStart"/>
      <w:r>
        <w:t>Carboxyl</w:t>
      </w:r>
      <w:proofErr w:type="spellEnd"/>
      <w:r>
        <w:t>-Gruppe ausgleich</w:t>
      </w:r>
      <w:r w:rsidR="00394BB1">
        <w:t>t</w:t>
      </w:r>
      <w:r w:rsidRPr="000276B5">
        <w:t>. In einem elektrischen Feld würde die Aminosäure also nicht mehr wandern</w:t>
      </w:r>
      <w:r>
        <w:t xml:space="preserve">. </w:t>
      </w:r>
      <w:r w:rsidRPr="000276B5">
        <w:t>Bei weiterer Zugabe von Natronlauge herrscht im Aminosäure</w:t>
      </w:r>
      <w:r>
        <w:t>-M</w:t>
      </w:r>
      <w:r w:rsidRPr="000276B5">
        <w:t>olekül ein Protonen</w:t>
      </w:r>
      <w:r>
        <w:t>-Mangel</w:t>
      </w:r>
      <w:r w:rsidR="00394BB1">
        <w:t xml:space="preserve"> vor</w:t>
      </w:r>
      <w:r>
        <w:t>, denn</w:t>
      </w:r>
      <w:r w:rsidRPr="000276B5">
        <w:t xml:space="preserve"> auch die </w:t>
      </w:r>
      <w:proofErr w:type="spellStart"/>
      <w:r w:rsidRPr="000276B5">
        <w:t>Amino</w:t>
      </w:r>
      <w:proofErr w:type="spellEnd"/>
      <w:r>
        <w:t>-G</w:t>
      </w:r>
      <w:r w:rsidRPr="000276B5">
        <w:t>ruppe des Glycin</w:t>
      </w:r>
      <w:r>
        <w:t>-I</w:t>
      </w:r>
      <w:r w:rsidRPr="000276B5">
        <w:t xml:space="preserve">ons gibt </w:t>
      </w:r>
      <w:r>
        <w:t xml:space="preserve">nun </w:t>
      </w:r>
      <w:r w:rsidRPr="000276B5">
        <w:t>ein Proton ab. Im basischen Bereich, ab pH</w:t>
      </w:r>
      <w:r>
        <w:t> </w:t>
      </w:r>
      <w:r w:rsidRPr="000276B5">
        <w:t>=</w:t>
      </w:r>
      <w:r>
        <w:t> </w:t>
      </w:r>
      <w:r w:rsidRPr="000276B5">
        <w:t xml:space="preserve">12, liegen Aminosäuren folglich nur noch in </w:t>
      </w:r>
      <w:r w:rsidRPr="00C77936">
        <w:rPr>
          <w:color w:val="008080" w:themeColor="accent6" w:themeShade="80"/>
        </w:rPr>
        <w:t>anionischer</w:t>
      </w:r>
      <w:r w:rsidRPr="000276B5">
        <w:rPr>
          <w:color w:val="0000FF" w:themeColor="accent1"/>
        </w:rPr>
        <w:t xml:space="preserve"> </w:t>
      </w:r>
      <w:r w:rsidRPr="000276B5">
        <w:t>Form vor (blau umrahmt)</w:t>
      </w:r>
      <w:r>
        <w:t>.</w:t>
      </w:r>
    </w:p>
    <w:p w14:paraId="3A1AA38A" w14:textId="77777777" w:rsidR="00AC5E46" w:rsidRDefault="00AC5E46" w:rsidP="00AC5E46">
      <w:pPr>
        <w:rPr>
          <w:rFonts w:cs="Arial"/>
        </w:rPr>
      </w:pPr>
      <w:r>
        <w:rPr>
          <w:rFonts w:cs="Arial"/>
        </w:rPr>
        <w:t xml:space="preserve">In diesem Versuch kann man also anhand des Verlaufes der Titrationskurve nachweisen, dass Aminosäuren je nach pH-Wert auf Grund ihrer Eigenschaften der </w:t>
      </w:r>
      <w:proofErr w:type="spellStart"/>
      <w:r>
        <w:rPr>
          <w:rFonts w:cs="Arial"/>
        </w:rPr>
        <w:t>Carboxyl</w:t>
      </w:r>
      <w:proofErr w:type="spellEnd"/>
      <w:r>
        <w:rPr>
          <w:rFonts w:cs="Arial"/>
        </w:rPr>
        <w:t xml:space="preserve">- und </w:t>
      </w:r>
      <w:proofErr w:type="spellStart"/>
      <w:r>
        <w:rPr>
          <w:rFonts w:cs="Arial"/>
        </w:rPr>
        <w:t>Amino</w:t>
      </w:r>
      <w:proofErr w:type="spellEnd"/>
      <w:r>
        <w:rPr>
          <w:rFonts w:cs="Arial"/>
        </w:rPr>
        <w:t>-Gruppe in unterschiedlicher Form vorliegen. Die Ladung eines Aminosäure-Moleküls ist folglich abhängig vom pH-Wert der Lösung.</w:t>
      </w:r>
    </w:p>
    <w:p w14:paraId="56662B3B" w14:textId="77777777" w:rsidR="00AC5E46" w:rsidRPr="00D0181E" w:rsidRDefault="00AC5E46" w:rsidP="00AC5E46">
      <w:pPr>
        <w:rPr>
          <w:rFonts w:cs="Arial"/>
          <w:b/>
          <w:bCs/>
          <w:sz w:val="36"/>
          <w:szCs w:val="36"/>
        </w:rPr>
      </w:pPr>
      <w:r w:rsidRPr="00D0181E">
        <w:rPr>
          <w:rFonts w:cs="Arial"/>
          <w:b/>
          <w:bCs/>
          <w:sz w:val="36"/>
          <w:szCs w:val="36"/>
        </w:rPr>
        <w:t>Versuch 2:</w:t>
      </w:r>
    </w:p>
    <w:p w14:paraId="28956601" w14:textId="77777777" w:rsidR="00AC5E46" w:rsidRDefault="00AC5E46" w:rsidP="00AC5E46">
      <w:pPr>
        <w:rPr>
          <w:rFonts w:cs="Arial"/>
        </w:rPr>
      </w:pPr>
      <w:r w:rsidRPr="005163D0">
        <w:rPr>
          <w:rFonts w:cs="Arial"/>
          <w:b/>
          <w:bCs/>
        </w:rPr>
        <w:t>Zeitbedarf: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5 Minuten</w:t>
      </w:r>
    </w:p>
    <w:p w14:paraId="0676F99A" w14:textId="77777777" w:rsidR="00AC5E46" w:rsidRPr="005C5C92" w:rsidRDefault="00AC5E46" w:rsidP="00AC5E46">
      <w:pPr>
        <w:rPr>
          <w:rFonts w:cs="Arial"/>
        </w:rPr>
      </w:pPr>
      <w:r>
        <w:rPr>
          <w:rFonts w:cs="Arial"/>
          <w:b/>
          <w:bCs/>
        </w:rPr>
        <w:t xml:space="preserve">Ziel: </w:t>
      </w:r>
      <w:r>
        <w:rPr>
          <w:rFonts w:cs="Arial"/>
        </w:rPr>
        <w:t>Demonstration der Säure-Base-Eigenschaften anhand ausgewählter Aminosäuren</w:t>
      </w:r>
    </w:p>
    <w:p w14:paraId="1D523621" w14:textId="77777777" w:rsidR="00AC5E46" w:rsidRDefault="00AC5E46" w:rsidP="00AC5E46">
      <w:pPr>
        <w:rPr>
          <w:rFonts w:cs="Arial"/>
          <w:b/>
          <w:bCs/>
        </w:rPr>
      </w:pPr>
      <w:r w:rsidRPr="005C5C92">
        <w:rPr>
          <w:rFonts w:cs="Arial"/>
          <w:b/>
          <w:bCs/>
        </w:rPr>
        <w:t>Material:</w:t>
      </w:r>
    </w:p>
    <w:p w14:paraId="1B6F8CFF" w14:textId="77777777" w:rsidR="00AC50B4" w:rsidRDefault="00AC50B4" w:rsidP="00133437">
      <w:pPr>
        <w:pStyle w:val="Listenabsatz"/>
        <w:numPr>
          <w:ilvl w:val="0"/>
          <w:numId w:val="24"/>
        </w:numPr>
        <w:rPr>
          <w:rFonts w:cs="Arial"/>
        </w:rPr>
        <w:sectPr w:rsidR="00AC50B4" w:rsidSect="000276B5">
          <w:footerReference w:type="default" r:id="rId44"/>
          <w:type w:val="continuous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14:paraId="75F357C4" w14:textId="6BDDEBE3" w:rsidR="00AC5E46" w:rsidRPr="005C5C92" w:rsidRDefault="00AC5E46" w:rsidP="00133437">
      <w:pPr>
        <w:pStyle w:val="Listenabsatz"/>
        <w:numPr>
          <w:ilvl w:val="0"/>
          <w:numId w:val="24"/>
        </w:numPr>
        <w:rPr>
          <w:rFonts w:cs="Arial"/>
          <w:b/>
          <w:bCs/>
        </w:rPr>
      </w:pPr>
      <w:r>
        <w:rPr>
          <w:rFonts w:cs="Arial"/>
        </w:rPr>
        <w:t>Uhrengläser</w:t>
      </w:r>
    </w:p>
    <w:p w14:paraId="137AFADC" w14:textId="16A728F4" w:rsidR="00AC5E46" w:rsidRPr="005E17EB" w:rsidRDefault="00AE424B" w:rsidP="00AC5E46">
      <w:pPr>
        <w:pStyle w:val="Listenabsatz"/>
        <w:numPr>
          <w:ilvl w:val="0"/>
          <w:numId w:val="24"/>
        </w:numPr>
        <w:rPr>
          <w:rFonts w:cs="Arial"/>
          <w:b/>
          <w:bCs/>
        </w:rPr>
      </w:pPr>
      <w:r>
        <w:rPr>
          <w:rFonts w:cs="Arial"/>
        </w:rPr>
        <w:t>p</w:t>
      </w:r>
      <w:r w:rsidR="00AC5E46">
        <w:rPr>
          <w:rFonts w:cs="Arial"/>
        </w:rPr>
        <w:t>H-Papier</w:t>
      </w:r>
    </w:p>
    <w:p w14:paraId="6FF678C0" w14:textId="77777777" w:rsidR="00AC5E46" w:rsidRPr="005C5C92" w:rsidRDefault="00AC5E46" w:rsidP="00AC5E46">
      <w:pPr>
        <w:pStyle w:val="Listenabsatz"/>
        <w:numPr>
          <w:ilvl w:val="0"/>
          <w:numId w:val="24"/>
        </w:numPr>
        <w:rPr>
          <w:rFonts w:cs="Arial"/>
          <w:b/>
          <w:bCs/>
        </w:rPr>
      </w:pPr>
      <w:r>
        <w:rPr>
          <w:rFonts w:cs="Arial"/>
        </w:rPr>
        <w:t>Tiegelzange</w:t>
      </w:r>
    </w:p>
    <w:p w14:paraId="2180C9F0" w14:textId="77777777" w:rsidR="00AC50B4" w:rsidRDefault="00AC50B4" w:rsidP="00AC5E46">
      <w:pPr>
        <w:rPr>
          <w:rFonts w:cs="Arial"/>
          <w:b/>
          <w:bCs/>
        </w:rPr>
        <w:sectPr w:rsidR="00AC50B4" w:rsidSect="00AC50B4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14:paraId="5D834BBE" w14:textId="77777777" w:rsidR="00AC5E46" w:rsidRDefault="00AC5E46" w:rsidP="00AC5E46">
      <w:pPr>
        <w:rPr>
          <w:rFonts w:cs="Arial"/>
          <w:b/>
          <w:bCs/>
        </w:rPr>
      </w:pPr>
      <w:r>
        <w:rPr>
          <w:rFonts w:cs="Arial"/>
          <w:b/>
          <w:bCs/>
        </w:rPr>
        <w:t>Chemikalien:</w:t>
      </w:r>
    </w:p>
    <w:p w14:paraId="64CFB19C" w14:textId="77777777" w:rsidR="00AC50B4" w:rsidRDefault="00AC50B4" w:rsidP="00AC5E46">
      <w:pPr>
        <w:pStyle w:val="Listenabsatz"/>
        <w:numPr>
          <w:ilvl w:val="0"/>
          <w:numId w:val="27"/>
        </w:numPr>
        <w:rPr>
          <w:rFonts w:cs="Arial"/>
          <w:color w:val="FF0000" w:themeColor="accent2"/>
        </w:rPr>
        <w:sectPr w:rsidR="00AC50B4" w:rsidSect="000276B5">
          <w:type w:val="continuous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14:paraId="10FDAABE" w14:textId="3757F61D" w:rsidR="00AC5E46" w:rsidRDefault="00AC5E46" w:rsidP="00AC5E46">
      <w:pPr>
        <w:pStyle w:val="Listenabsatz"/>
        <w:numPr>
          <w:ilvl w:val="0"/>
          <w:numId w:val="27"/>
        </w:numPr>
        <w:rPr>
          <w:rFonts w:cs="Arial"/>
          <w:color w:val="FF0000" w:themeColor="accent2"/>
        </w:rPr>
      </w:pPr>
      <w:r w:rsidRPr="00AE424B">
        <w:rPr>
          <w:rFonts w:cs="Arial"/>
          <w:color w:val="FF0000" w:themeColor="accent2"/>
        </w:rPr>
        <w:t>VE-Wasser</w:t>
      </w:r>
    </w:p>
    <w:p w14:paraId="5DEEE20C" w14:textId="7D8CBCDB" w:rsidR="00AE424B" w:rsidRDefault="00AE424B" w:rsidP="00AC5E46">
      <w:pPr>
        <w:pStyle w:val="Listenabsatz"/>
        <w:numPr>
          <w:ilvl w:val="0"/>
          <w:numId w:val="27"/>
        </w:numPr>
        <w:rPr>
          <w:rFonts w:cs="Arial"/>
          <w:color w:val="FF0000" w:themeColor="accent2"/>
        </w:rPr>
      </w:pPr>
      <w:r>
        <w:rPr>
          <w:rFonts w:cs="Arial"/>
          <w:color w:val="FF0000" w:themeColor="accent2"/>
        </w:rPr>
        <w:t>L-Asparaginsäure</w:t>
      </w:r>
    </w:p>
    <w:p w14:paraId="1B3626C1" w14:textId="564B46DF" w:rsidR="00AE424B" w:rsidRPr="00AE424B" w:rsidRDefault="00AC50B4" w:rsidP="00AC50B4">
      <w:pPr>
        <w:pStyle w:val="Listenabsatz"/>
        <w:numPr>
          <w:ilvl w:val="0"/>
          <w:numId w:val="0"/>
        </w:numPr>
        <w:ind w:left="284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 </w:t>
      </w:r>
      <w:r w:rsidR="00AE424B">
        <w:rPr>
          <w:rFonts w:cs="Arial"/>
          <w:sz w:val="22"/>
          <w:szCs w:val="20"/>
        </w:rPr>
        <w:t>CAS-Nr.: 56-84-8</w:t>
      </w:r>
    </w:p>
    <w:p w14:paraId="50A8C844" w14:textId="77777777" w:rsidR="008A0424" w:rsidRPr="008A0424" w:rsidRDefault="008A0424" w:rsidP="008A0424">
      <w:pPr>
        <w:rPr>
          <w:rFonts w:cs="Arial"/>
          <w:color w:val="FF0000" w:themeColor="accent2"/>
        </w:rPr>
      </w:pPr>
    </w:p>
    <w:p w14:paraId="71F8513D" w14:textId="4E3B368E" w:rsidR="00AE424B" w:rsidRDefault="00AE424B" w:rsidP="00AC5E46">
      <w:pPr>
        <w:pStyle w:val="Listenabsatz"/>
        <w:numPr>
          <w:ilvl w:val="0"/>
          <w:numId w:val="27"/>
        </w:numPr>
        <w:rPr>
          <w:rFonts w:cs="Arial"/>
          <w:color w:val="FF0000" w:themeColor="accent2"/>
        </w:rPr>
      </w:pPr>
      <w:r>
        <w:rPr>
          <w:rFonts w:cs="Arial"/>
          <w:color w:val="FF0000" w:themeColor="accent2"/>
        </w:rPr>
        <w:t>L-Arginin</w:t>
      </w:r>
    </w:p>
    <w:p w14:paraId="4B36CDF6" w14:textId="20B26DBE" w:rsidR="00AE424B" w:rsidRPr="00AE424B" w:rsidRDefault="00AC50B4" w:rsidP="00AC50B4">
      <w:pPr>
        <w:pStyle w:val="Listenabsatz"/>
        <w:numPr>
          <w:ilvl w:val="0"/>
          <w:numId w:val="0"/>
        </w:numPr>
        <w:ind w:left="284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 </w:t>
      </w:r>
      <w:r w:rsidR="00AE424B">
        <w:rPr>
          <w:rFonts w:cs="Arial"/>
          <w:sz w:val="22"/>
          <w:szCs w:val="20"/>
        </w:rPr>
        <w:t>CAS-Nr.: 74-79-3</w:t>
      </w:r>
    </w:p>
    <w:p w14:paraId="2710F6B7" w14:textId="05166B80" w:rsidR="00AE424B" w:rsidRDefault="00AE424B" w:rsidP="00AC5E46">
      <w:pPr>
        <w:pStyle w:val="Listenabsatz"/>
        <w:numPr>
          <w:ilvl w:val="0"/>
          <w:numId w:val="27"/>
        </w:numPr>
        <w:rPr>
          <w:rFonts w:cs="Arial"/>
          <w:color w:val="FF0000" w:themeColor="accent2"/>
        </w:rPr>
      </w:pPr>
      <w:r>
        <w:rPr>
          <w:rFonts w:cs="Arial"/>
          <w:color w:val="FF0000" w:themeColor="accent2"/>
        </w:rPr>
        <w:t>L-Histidin</w:t>
      </w:r>
    </w:p>
    <w:p w14:paraId="4826C10D" w14:textId="1B38804C" w:rsidR="00AE424B" w:rsidRPr="00AE424B" w:rsidRDefault="00AC50B4" w:rsidP="00AC50B4">
      <w:pPr>
        <w:pStyle w:val="Listenabsatz"/>
        <w:numPr>
          <w:ilvl w:val="0"/>
          <w:numId w:val="0"/>
        </w:numPr>
        <w:ind w:left="284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 </w:t>
      </w:r>
      <w:r w:rsidR="00AE424B">
        <w:rPr>
          <w:rFonts w:cs="Arial"/>
          <w:sz w:val="22"/>
          <w:szCs w:val="20"/>
        </w:rPr>
        <w:t xml:space="preserve">CAS-Nr.: </w:t>
      </w:r>
      <w:r w:rsidR="00F70FC7">
        <w:rPr>
          <w:rFonts w:cs="Arial"/>
          <w:sz w:val="22"/>
          <w:szCs w:val="20"/>
        </w:rPr>
        <w:t>71-00-1</w:t>
      </w:r>
    </w:p>
    <w:p w14:paraId="0EDD9B12" w14:textId="77777777" w:rsidR="00AC50B4" w:rsidRDefault="00AC50B4" w:rsidP="00AC5E46">
      <w:pPr>
        <w:rPr>
          <w:rFonts w:cs="Arial"/>
          <w:b/>
          <w:bCs/>
        </w:rPr>
        <w:sectPr w:rsidR="00AC50B4" w:rsidSect="00AC50B4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14:paraId="09D09019" w14:textId="58D48DE6" w:rsidR="00AC5E46" w:rsidRDefault="00AC5E46" w:rsidP="00AC5E46">
      <w:pPr>
        <w:rPr>
          <w:rFonts w:cs="Arial"/>
        </w:rPr>
      </w:pPr>
      <w:r>
        <w:rPr>
          <w:rFonts w:cs="Arial"/>
          <w:b/>
          <w:bCs/>
        </w:rPr>
        <w:t xml:space="preserve">Durchführung: </w:t>
      </w:r>
      <w:r w:rsidR="00F70FC7">
        <w:rPr>
          <w:rFonts w:cs="Arial"/>
        </w:rPr>
        <w:t>Ein paar Krümel jeder</w:t>
      </w:r>
      <w:r>
        <w:rPr>
          <w:rFonts w:cs="Arial"/>
        </w:rPr>
        <w:t xml:space="preserve"> Aminosäure werden jeweils auf ein Uhrenglas ge</w:t>
      </w:r>
      <w:r w:rsidR="00F70FC7">
        <w:rPr>
          <w:rFonts w:cs="Arial"/>
        </w:rPr>
        <w:t>geben</w:t>
      </w:r>
      <w:r>
        <w:rPr>
          <w:rFonts w:cs="Arial"/>
        </w:rPr>
        <w:t xml:space="preserve"> und mit etwas VE-Wasser gelöst. Anschließend wird mithilfe einer Tiegelzange und </w:t>
      </w:r>
      <w:r w:rsidR="00F70FC7">
        <w:rPr>
          <w:rFonts w:cs="Arial"/>
        </w:rPr>
        <w:t>p</w:t>
      </w:r>
      <w:r>
        <w:rPr>
          <w:rFonts w:cs="Arial"/>
        </w:rPr>
        <w:t xml:space="preserve">H-Papier der </w:t>
      </w:r>
      <w:r w:rsidR="00F70FC7">
        <w:rPr>
          <w:rFonts w:cs="Arial"/>
        </w:rPr>
        <w:t>p</w:t>
      </w:r>
      <w:r>
        <w:rPr>
          <w:rFonts w:cs="Arial"/>
        </w:rPr>
        <w:t xml:space="preserve">H-Wert der verschiedenen ausgewählten Aminosäuren </w:t>
      </w:r>
      <w:r w:rsidR="00F70FC7">
        <w:rPr>
          <w:rFonts w:cs="Arial"/>
        </w:rPr>
        <w:t>bestimmt</w:t>
      </w:r>
      <w:r>
        <w:rPr>
          <w:rFonts w:cs="Arial"/>
        </w:rPr>
        <w:t>.</w:t>
      </w:r>
    </w:p>
    <w:p w14:paraId="7FC27D7F" w14:textId="61E01A40" w:rsidR="00AC5E46" w:rsidRDefault="00AC5E46" w:rsidP="00AC5E46">
      <w:pPr>
        <w:rPr>
          <w:rFonts w:cs="Arial"/>
        </w:rPr>
      </w:pPr>
      <w:r>
        <w:rPr>
          <w:rFonts w:cs="Arial"/>
          <w:b/>
          <w:bCs/>
        </w:rPr>
        <w:t xml:space="preserve">Beobachtung und Deutung: </w:t>
      </w:r>
      <w:r>
        <w:rPr>
          <w:rFonts w:cs="Arial"/>
        </w:rPr>
        <w:t>Bei de</w:t>
      </w:r>
      <w:r w:rsidR="00F70FC7">
        <w:rPr>
          <w:rFonts w:cs="Arial"/>
        </w:rPr>
        <w:t>n</w:t>
      </w:r>
      <w:r>
        <w:rPr>
          <w:rFonts w:cs="Arial"/>
        </w:rPr>
        <w:t xml:space="preserve"> Aminosäure</w:t>
      </w:r>
      <w:r w:rsidR="00F70FC7">
        <w:rPr>
          <w:rFonts w:cs="Arial"/>
        </w:rPr>
        <w:t xml:space="preserve">n L-Arginin und L-Histidin </w:t>
      </w:r>
      <w:r>
        <w:rPr>
          <w:rFonts w:cs="Arial"/>
        </w:rPr>
        <w:t>erkennt man eine eindeutige</w:t>
      </w:r>
      <w:r w:rsidR="00F70FC7">
        <w:rPr>
          <w:rFonts w:cs="Arial"/>
        </w:rPr>
        <w:t xml:space="preserve"> Blau</w:t>
      </w:r>
      <w:r>
        <w:rPr>
          <w:rFonts w:cs="Arial"/>
        </w:rPr>
        <w:t xml:space="preserve">färbung des </w:t>
      </w:r>
      <w:r w:rsidR="00F70FC7">
        <w:rPr>
          <w:rFonts w:cs="Arial"/>
        </w:rPr>
        <w:t>p</w:t>
      </w:r>
      <w:r>
        <w:rPr>
          <w:rFonts w:cs="Arial"/>
        </w:rPr>
        <w:t>H-Papiers.</w:t>
      </w:r>
      <w:r w:rsidR="00F70FC7">
        <w:rPr>
          <w:rFonts w:cs="Arial"/>
        </w:rPr>
        <w:t xml:space="preserve"> Der pH-Wert von Arginin beträgt 10, während Histidin einen pH-Wert zwischen 7 und 8 aufweist. Beide </w:t>
      </w:r>
      <w:r>
        <w:rPr>
          <w:rFonts w:cs="Arial"/>
        </w:rPr>
        <w:t xml:space="preserve">Aminosäuren sind also </w:t>
      </w:r>
      <w:r w:rsidR="00F70FC7">
        <w:rPr>
          <w:rFonts w:cs="Arial"/>
        </w:rPr>
        <w:t xml:space="preserve">basisch, </w:t>
      </w:r>
      <w:r w:rsidR="00F06AE7">
        <w:rPr>
          <w:rFonts w:cs="Arial"/>
        </w:rPr>
        <w:t xml:space="preserve">bei Histidin aufgrund des </w:t>
      </w:r>
      <w:proofErr w:type="spellStart"/>
      <w:r w:rsidR="00F06AE7">
        <w:rPr>
          <w:rFonts w:cs="Arial"/>
        </w:rPr>
        <w:t>heterozyclischen</w:t>
      </w:r>
      <w:proofErr w:type="spellEnd"/>
      <w:r w:rsidR="00F06AE7">
        <w:rPr>
          <w:rFonts w:cs="Arial"/>
        </w:rPr>
        <w:t xml:space="preserve"> Amins </w:t>
      </w:r>
      <w:proofErr w:type="spellStart"/>
      <w:r w:rsidR="00F06AE7">
        <w:rPr>
          <w:rFonts w:cs="Arial"/>
        </w:rPr>
        <w:t>Imidazol</w:t>
      </w:r>
      <w:proofErr w:type="spellEnd"/>
      <w:r w:rsidR="00F06AE7">
        <w:rPr>
          <w:rFonts w:cs="Arial"/>
        </w:rPr>
        <w:t xml:space="preserve"> als zusätzliche basische Gruppe und bei Arginin a</w:t>
      </w:r>
      <w:r w:rsidR="00F70FC7">
        <w:rPr>
          <w:rFonts w:cs="Arial"/>
        </w:rPr>
        <w:t>ufgrund der basischen Eigenschaft der</w:t>
      </w:r>
      <w:r w:rsidR="00F06AE7">
        <w:rPr>
          <w:rFonts w:cs="Arial"/>
        </w:rPr>
        <w:t xml:space="preserve"> </w:t>
      </w:r>
      <w:proofErr w:type="spellStart"/>
      <w:r w:rsidR="00F06AE7">
        <w:rPr>
          <w:rFonts w:cs="Arial"/>
        </w:rPr>
        <w:t>Guanindinogruppe</w:t>
      </w:r>
      <w:proofErr w:type="spellEnd"/>
      <w:r w:rsidR="00F70FC7">
        <w:rPr>
          <w:rFonts w:cs="Arial"/>
        </w:rPr>
        <w:t xml:space="preserve"> im Molekül</w:t>
      </w:r>
      <w:r>
        <w:rPr>
          <w:rFonts w:cs="Arial"/>
        </w:rPr>
        <w:t>. Bei de</w:t>
      </w:r>
      <w:r w:rsidR="00F06AE7">
        <w:rPr>
          <w:rFonts w:cs="Arial"/>
        </w:rPr>
        <w:t>r</w:t>
      </w:r>
      <w:r>
        <w:rPr>
          <w:rFonts w:cs="Arial"/>
        </w:rPr>
        <w:t xml:space="preserve"> Aminosäure</w:t>
      </w:r>
      <w:r w:rsidR="00F06AE7">
        <w:rPr>
          <w:rFonts w:cs="Arial"/>
        </w:rPr>
        <w:t xml:space="preserve"> L-Asparaginsäure</w:t>
      </w:r>
      <w:r w:rsidR="000B598C">
        <w:rPr>
          <w:rFonts w:cs="Arial"/>
        </w:rPr>
        <w:t xml:space="preserve"> färbt</w:t>
      </w:r>
      <w:r>
        <w:rPr>
          <w:rFonts w:cs="Arial"/>
        </w:rPr>
        <w:t xml:space="preserve"> sich das </w:t>
      </w:r>
      <w:r w:rsidR="00F06AE7">
        <w:rPr>
          <w:rFonts w:cs="Arial"/>
        </w:rPr>
        <w:t>p</w:t>
      </w:r>
      <w:r>
        <w:rPr>
          <w:rFonts w:cs="Arial"/>
        </w:rPr>
        <w:t>H-Papier</w:t>
      </w:r>
      <w:r w:rsidR="00F06AE7">
        <w:rPr>
          <w:rFonts w:cs="Arial"/>
        </w:rPr>
        <w:t xml:space="preserve"> dagegen tiefrot, man kann einen pH-Wert </w:t>
      </w:r>
      <w:r w:rsidR="000B598C">
        <w:rPr>
          <w:rFonts w:cs="Arial"/>
        </w:rPr>
        <w:t xml:space="preserve">zwischen </w:t>
      </w:r>
      <w:r w:rsidR="00F06AE7">
        <w:rPr>
          <w:rFonts w:cs="Arial"/>
        </w:rPr>
        <w:t>3 und 4 ablesen</w:t>
      </w:r>
      <w:r>
        <w:rPr>
          <w:rFonts w:cs="Arial"/>
        </w:rPr>
        <w:t>, diese Aminosäure</w:t>
      </w:r>
      <w:r w:rsidR="00F06AE7">
        <w:rPr>
          <w:rFonts w:cs="Arial"/>
        </w:rPr>
        <w:t xml:space="preserve"> ist</w:t>
      </w:r>
      <w:r>
        <w:rPr>
          <w:rFonts w:cs="Arial"/>
        </w:rPr>
        <w:t xml:space="preserve"> also </w:t>
      </w:r>
      <w:r w:rsidR="00F06AE7">
        <w:rPr>
          <w:rFonts w:cs="Arial"/>
        </w:rPr>
        <w:t>sauer</w:t>
      </w:r>
      <w:r>
        <w:rPr>
          <w:rFonts w:cs="Arial"/>
        </w:rPr>
        <w:t xml:space="preserve">. Die zusätzliche </w:t>
      </w:r>
      <w:proofErr w:type="spellStart"/>
      <w:r w:rsidR="00A06364">
        <w:rPr>
          <w:rFonts w:cs="Arial"/>
        </w:rPr>
        <w:t>Carboxygruppe</w:t>
      </w:r>
      <w:proofErr w:type="spellEnd"/>
      <w:r>
        <w:rPr>
          <w:rFonts w:cs="Arial"/>
        </w:rPr>
        <w:t xml:space="preserve"> in de</w:t>
      </w:r>
      <w:r w:rsidR="00A06364">
        <w:rPr>
          <w:rFonts w:cs="Arial"/>
        </w:rPr>
        <w:t>m</w:t>
      </w:r>
      <w:r>
        <w:rPr>
          <w:rFonts w:cs="Arial"/>
        </w:rPr>
        <w:t xml:space="preserve"> Molekül hat </w:t>
      </w:r>
      <w:r w:rsidR="00A06364">
        <w:rPr>
          <w:rFonts w:cs="Arial"/>
        </w:rPr>
        <w:t>sauren</w:t>
      </w:r>
      <w:r>
        <w:rPr>
          <w:rFonts w:cs="Arial"/>
        </w:rPr>
        <w:t xml:space="preserve"> Charakter und somit l</w:t>
      </w:r>
      <w:r w:rsidR="00A06364">
        <w:rPr>
          <w:rFonts w:cs="Arial"/>
        </w:rPr>
        <w:t>ässt</w:t>
      </w:r>
      <w:r>
        <w:rPr>
          <w:rFonts w:cs="Arial"/>
        </w:rPr>
        <w:t xml:space="preserve"> sich</w:t>
      </w:r>
      <w:r w:rsidR="00A06364">
        <w:rPr>
          <w:rFonts w:cs="Arial"/>
        </w:rPr>
        <w:t xml:space="preserve"> Asparaginsäure, wie der Name schon verrät,</w:t>
      </w:r>
      <w:r>
        <w:rPr>
          <w:rFonts w:cs="Arial"/>
        </w:rPr>
        <w:t xml:space="preserve"> in die Liste der </w:t>
      </w:r>
      <w:r w:rsidR="00A06364">
        <w:rPr>
          <w:rFonts w:cs="Arial"/>
        </w:rPr>
        <w:t>sauren</w:t>
      </w:r>
      <w:r>
        <w:rPr>
          <w:rFonts w:cs="Arial"/>
        </w:rPr>
        <w:t xml:space="preserve"> Aminosäuren einordnen.</w:t>
      </w:r>
    </w:p>
    <w:p w14:paraId="79384697" w14:textId="1D04CD95" w:rsidR="00AC5E46" w:rsidRDefault="00AC5E46" w:rsidP="00AC5E46">
      <w:pPr>
        <w:pStyle w:val="berschrift1"/>
      </w:pPr>
      <w:bookmarkStart w:id="14" w:name="_Toc115623298"/>
      <w:r>
        <w:t>Die Dauerwelle bzw. dauerhafte Glättung</w:t>
      </w:r>
      <w:bookmarkEnd w:id="14"/>
    </w:p>
    <w:p w14:paraId="258F9468" w14:textId="23FD76C5" w:rsidR="005E17EB" w:rsidRPr="000D3ED2" w:rsidRDefault="00AC5E46" w:rsidP="005C5C92">
      <w:pPr>
        <w:rPr>
          <w:rFonts w:cs="Arial"/>
        </w:rPr>
      </w:pPr>
      <w:r>
        <w:rPr>
          <w:rFonts w:cs="Arial"/>
        </w:rPr>
        <w:t xml:space="preserve">Bei einer Dauerwelle beziehungsweise einer dauerhaften Glättung spielt der Schwefel in der Aminosäure </w:t>
      </w:r>
      <w:proofErr w:type="spellStart"/>
      <w:r>
        <w:rPr>
          <w:rFonts w:cs="Arial"/>
        </w:rPr>
        <w:t>Cystein</w:t>
      </w:r>
      <w:proofErr w:type="spellEnd"/>
      <w:r>
        <w:rPr>
          <w:rFonts w:cs="Arial"/>
        </w:rPr>
        <w:t xml:space="preserve"> eine entscheidende Rolle. </w:t>
      </w:r>
      <w:r w:rsidR="000D3ED2">
        <w:rPr>
          <w:rFonts w:cs="Arial"/>
        </w:rPr>
        <w:t xml:space="preserve">In einer Redoxreaktion wird dabei </w:t>
      </w:r>
      <w:proofErr w:type="spellStart"/>
      <w:r w:rsidR="000D3ED2">
        <w:rPr>
          <w:rFonts w:cs="Arial"/>
        </w:rPr>
        <w:t>Cystein</w:t>
      </w:r>
      <w:proofErr w:type="spellEnd"/>
      <w:r w:rsidR="000D3ED2">
        <w:rPr>
          <w:rFonts w:cs="Arial"/>
        </w:rPr>
        <w:t xml:space="preserve"> zu </w:t>
      </w:r>
      <w:proofErr w:type="spellStart"/>
      <w:r w:rsidR="000D3ED2">
        <w:rPr>
          <w:rFonts w:cs="Arial"/>
        </w:rPr>
        <w:t>Cystin</w:t>
      </w:r>
      <w:proofErr w:type="spellEnd"/>
      <w:r w:rsidR="000D3ED2">
        <w:rPr>
          <w:rFonts w:cs="Arial"/>
        </w:rPr>
        <w:t xml:space="preserve"> (</w:t>
      </w:r>
      <w:r w:rsidR="000D3ED2" w:rsidRPr="000D3ED2">
        <w:rPr>
          <w:rFonts w:cs="Arial"/>
          <w:color w:val="FF0000" w:themeColor="accent2"/>
        </w:rPr>
        <w:t>nicht verwechseln!</w:t>
      </w:r>
      <w:r w:rsidR="000D3ED2">
        <w:rPr>
          <w:rFonts w:cs="Arial"/>
        </w:rPr>
        <w:t xml:space="preserve">) oxidiert. Dabei bilden sich </w:t>
      </w:r>
      <w:proofErr w:type="spellStart"/>
      <w:r w:rsidR="000D3ED2" w:rsidRPr="000D3ED2">
        <w:rPr>
          <w:rFonts w:cs="Arial"/>
          <w:color w:val="0000BF" w:themeColor="accent1" w:themeShade="BF"/>
        </w:rPr>
        <w:t>Disulfidbrücken</w:t>
      </w:r>
      <w:proofErr w:type="spellEnd"/>
      <w:r w:rsidR="000D3ED2">
        <w:rPr>
          <w:rFonts w:cs="Arial"/>
        </w:rPr>
        <w:t xml:space="preserve">, welche äußerst stabil sind. Bei dem </w:t>
      </w:r>
      <w:r w:rsidR="00A06364">
        <w:rPr>
          <w:rFonts w:cs="Arial"/>
        </w:rPr>
        <w:t>Fertigen</w:t>
      </w:r>
      <w:r w:rsidR="000D3ED2">
        <w:rPr>
          <w:rFonts w:cs="Arial"/>
        </w:rPr>
        <w:t xml:space="preserve"> einer Dauerwelle beziehungsweise einer dauerhaften Glättung werden nun die S-S-Brücken mithilfe eines Reduktionsmittels getrennt</w:t>
      </w:r>
      <w:r w:rsidR="00A06364">
        <w:rPr>
          <w:rFonts w:cs="Arial"/>
        </w:rPr>
        <w:t xml:space="preserve"> </w:t>
      </w:r>
      <w:r w:rsidR="000D3ED2">
        <w:rPr>
          <w:rFonts w:cs="Arial"/>
        </w:rPr>
        <w:t>und dann anschließend mit einem Oxidationsmittel wieder neu geknüpft. Die neu geknüpfte S-S-Brücke fixiert nun die Locke beziehungsweise die Glättung</w:t>
      </w:r>
      <w:r w:rsidR="005614DC">
        <w:rPr>
          <w:rFonts w:cs="Arial"/>
        </w:rPr>
        <w:t xml:space="preserve">. </w:t>
      </w:r>
    </w:p>
    <w:p w14:paraId="454540A8" w14:textId="2547300D" w:rsidR="005163D0" w:rsidRDefault="00D06F2B" w:rsidP="00E2610C">
      <w:pPr>
        <w:jc w:val="center"/>
      </w:pPr>
      <w:r>
        <w:object w:dxaOrig="2421" w:dyaOrig="941" w14:anchorId="49D124F8">
          <v:shape id="_x0000_i1028" type="#_x0000_t75" style="width:164.25pt;height:63.75pt" o:ole="">
            <v:imagedata r:id="rId45" o:title=""/>
          </v:shape>
          <o:OLEObject Type="Embed" ProgID="ACD.ChemSketch.20" ShapeID="_x0000_i1028" DrawAspect="Content" ObjectID="_1727504444" r:id="rId46"/>
        </w:object>
      </w:r>
    </w:p>
    <w:p w14:paraId="194F5C6C" w14:textId="7AACADC7" w:rsidR="00A27178" w:rsidRDefault="00A27178" w:rsidP="00A27178">
      <w:pPr>
        <w:pStyle w:val="Beschriftung"/>
        <w:spacing w:after="0"/>
      </w:pPr>
      <w:r>
        <w:t xml:space="preserve">Abb. </w:t>
      </w:r>
      <w:r w:rsidR="00373EBA">
        <w:t>8</w:t>
      </w:r>
      <w:r>
        <w:t xml:space="preserve">: Strukturformel von </w:t>
      </w:r>
      <w:proofErr w:type="spellStart"/>
      <w:r>
        <w:t>Cystin</w:t>
      </w:r>
      <w:proofErr w:type="spellEnd"/>
      <w:r>
        <w:t xml:space="preserve">, </w:t>
      </w:r>
    </w:p>
    <w:p w14:paraId="14996A10" w14:textId="77777777" w:rsidR="00A27178" w:rsidRDefault="00A27178" w:rsidP="00A27178">
      <w:pPr>
        <w:pStyle w:val="Beschriftung"/>
      </w:pPr>
      <w:r>
        <w:t xml:space="preserve">blaue Markierung der </w:t>
      </w:r>
      <w:proofErr w:type="spellStart"/>
      <w:r>
        <w:t>Disulfidbrücke</w:t>
      </w:r>
      <w:proofErr w:type="spellEnd"/>
    </w:p>
    <w:p w14:paraId="7256D610" w14:textId="2A878DEB" w:rsidR="00875D6F" w:rsidRDefault="002C25CE" w:rsidP="00693415">
      <w:pPr>
        <w:pStyle w:val="Zusammenfassung"/>
      </w:pPr>
      <w:r w:rsidRPr="002C25CE">
        <w:rPr>
          <w:rStyle w:val="Fett"/>
        </w:rPr>
        <w:t>Zusammenfassung</w:t>
      </w:r>
      <w:r>
        <w:t xml:space="preserve">: </w:t>
      </w:r>
      <w:r w:rsidR="00875D6F">
        <w:t xml:space="preserve">Es gibt 20 kanonische, also für den menschlichen Organismus </w:t>
      </w:r>
      <w:r w:rsidR="00AA0BEE">
        <w:t>wesentliche</w:t>
      </w:r>
      <w:r w:rsidR="00875D6F">
        <w:t xml:space="preserve"> Aminosäuren</w:t>
      </w:r>
      <w:r w:rsidR="000902E2">
        <w:t xml:space="preserve">. Als Bausteine der Proteine werden Aminosäuren auch als „Bausteine des Lebens“ [7] bezeichnet. Bis auf Glycin sind alle Aminosäuren </w:t>
      </w:r>
      <w:proofErr w:type="spellStart"/>
      <w:r w:rsidR="000902E2">
        <w:t>chiral</w:t>
      </w:r>
      <w:proofErr w:type="spellEnd"/>
      <w:r w:rsidR="000902E2">
        <w:t xml:space="preserve">, in Proteinen sind jedoch immer nur die L-Formen der </w:t>
      </w:r>
      <w:proofErr w:type="spellStart"/>
      <w:r w:rsidR="000902E2">
        <w:t>Enantiomere</w:t>
      </w:r>
      <w:proofErr w:type="spellEnd"/>
      <w:r w:rsidR="000902E2">
        <w:t xml:space="preserve"> zu finden. Die </w:t>
      </w:r>
      <w:proofErr w:type="spellStart"/>
      <w:r w:rsidR="000902E2">
        <w:t>proteinogenen</w:t>
      </w:r>
      <w:proofErr w:type="spellEnd"/>
      <w:r w:rsidR="000902E2">
        <w:t xml:space="preserve"> Aminosäuren sind immer sogenannte </w:t>
      </w:r>
      <w:r w:rsidR="000902E2">
        <w:rPr>
          <w:rFonts w:cs="Arial"/>
        </w:rPr>
        <w:t xml:space="preserve">α-Aminosäuren, bei welchen die </w:t>
      </w:r>
      <w:proofErr w:type="spellStart"/>
      <w:r w:rsidR="000902E2">
        <w:rPr>
          <w:rFonts w:cs="Arial"/>
        </w:rPr>
        <w:t>Amino</w:t>
      </w:r>
      <w:proofErr w:type="spellEnd"/>
      <w:r w:rsidR="00C6128D">
        <w:rPr>
          <w:rFonts w:cs="Arial"/>
        </w:rPr>
        <w:t xml:space="preserve">- und die </w:t>
      </w:r>
      <w:proofErr w:type="spellStart"/>
      <w:r w:rsidR="00C6128D">
        <w:rPr>
          <w:rFonts w:cs="Arial"/>
        </w:rPr>
        <w:t>Carboxy</w:t>
      </w:r>
      <w:proofErr w:type="spellEnd"/>
      <w:r w:rsidR="00C6128D">
        <w:rPr>
          <w:rFonts w:cs="Arial"/>
        </w:rPr>
        <w:t>-Gruppe jeweils an das α-C-Atom gebunden sind. Die einzelnen Aminosäuren unterscheiden sich in ihrer Seiten-Kette (Rest), welche für die charakteristische Eigenschaft der jeweiligen Aminosäure verantwortlich ist. Aminosäuren liegen in wässriger Lösung – abhängig vom pH-Wert – in verschiedenen Formen vor: in kationischer Form im Sauren, als Zwitter-Ion im Neutralen und im Basischen als Anion.</w:t>
      </w:r>
    </w:p>
    <w:p w14:paraId="131FFD80" w14:textId="19E64A70" w:rsidR="002C25CE" w:rsidRDefault="005614DC" w:rsidP="00C6128D">
      <w:pPr>
        <w:pStyle w:val="Zusammenfassung"/>
      </w:pPr>
      <w:r>
        <w:t xml:space="preserve">Bei einer Dauerwelle bzw. dauerhaften Glättung werden die </w:t>
      </w:r>
      <w:proofErr w:type="spellStart"/>
      <w:r>
        <w:t>Disulfidbrücken</w:t>
      </w:r>
      <w:proofErr w:type="spellEnd"/>
      <w:r>
        <w:t xml:space="preserve"> erst gespalten und dann neu in ihrer geänderten Form geknüpft. Die </w:t>
      </w:r>
      <w:proofErr w:type="spellStart"/>
      <w:r>
        <w:t>Disulfidbrücken</w:t>
      </w:r>
      <w:proofErr w:type="spellEnd"/>
      <w:r>
        <w:t xml:space="preserve"> entstehen in einer Redoxreaktion aus</w:t>
      </w:r>
      <w:r w:rsidR="00A27178">
        <w:t xml:space="preserve"> der Aminosäure</w:t>
      </w:r>
      <w:r>
        <w:t xml:space="preserve"> </w:t>
      </w:r>
      <w:proofErr w:type="spellStart"/>
      <w:r>
        <w:t>Cystein</w:t>
      </w:r>
      <w:proofErr w:type="spellEnd"/>
      <w:r>
        <w:t xml:space="preserve">. </w:t>
      </w:r>
    </w:p>
    <w:p w14:paraId="4D4CCA60" w14:textId="6648660F" w:rsidR="005A49C9" w:rsidRPr="002C25CE" w:rsidRDefault="005A49C9" w:rsidP="00790982">
      <w:pPr>
        <w:pStyle w:val="EinstiegAbschluss"/>
        <w:numPr>
          <w:ilvl w:val="0"/>
          <w:numId w:val="0"/>
        </w:numPr>
      </w:pPr>
      <w:r w:rsidRPr="00D0181E">
        <w:rPr>
          <w:b/>
        </w:rPr>
        <w:t>Abschluss</w:t>
      </w:r>
      <w:r>
        <w:t xml:space="preserve">: </w:t>
      </w:r>
      <w:r w:rsidR="005614DC">
        <w:t>Mit dieser Technik</w:t>
      </w:r>
      <w:r w:rsidR="00A27178">
        <w:t xml:space="preserve"> ist es also möglich, seine Haare so zu </w:t>
      </w:r>
      <w:r w:rsidR="005614DC">
        <w:t xml:space="preserve">verändern, wie </w:t>
      </w:r>
      <w:r w:rsidR="00A27178">
        <w:t>gewünscht ist. Was jedoch zu beachten ist, ist, dass</w:t>
      </w:r>
      <w:r w:rsidR="005614DC">
        <w:t xml:space="preserve"> die Dauerwelle bzw. die dauerhafte Glättung ein chem</w:t>
      </w:r>
      <w:r w:rsidR="00AA0BEE">
        <w:t>ischer</w:t>
      </w:r>
      <w:r w:rsidR="005614DC">
        <w:t xml:space="preserve"> Eingriff in die Haarstruktur ist und diese eben dauerhaft hält – naja</w:t>
      </w:r>
      <w:r w:rsidR="00D0181E">
        <w:t>,</w:t>
      </w:r>
      <w:r w:rsidR="005614DC">
        <w:t xml:space="preserve"> bis sie </w:t>
      </w:r>
      <w:r w:rsidR="00D0181E">
        <w:t xml:space="preserve">eben </w:t>
      </w:r>
      <w:r w:rsidR="005614DC">
        <w:t xml:space="preserve">wieder herauswächst </w:t>
      </w:r>
      <w:r w:rsidR="005614DC" w:rsidRPr="00C14395">
        <w:rPr>
          <w:i w:val="0"/>
        </w:rPr>
        <w:sym w:font="Wingdings" w:char="F04A"/>
      </w:r>
      <w:r w:rsidR="005614DC" w:rsidRPr="00C14395">
        <w:rPr>
          <w:i w:val="0"/>
        </w:rPr>
        <w:t xml:space="preserve"> </w:t>
      </w:r>
    </w:p>
    <w:p w14:paraId="15FCAB88" w14:textId="77777777" w:rsidR="00931B30" w:rsidRPr="000E61E0" w:rsidRDefault="00931B30" w:rsidP="00561F0A">
      <w:pPr>
        <w:spacing w:before="0"/>
        <w:rPr>
          <w:b/>
          <w:bCs/>
        </w:rPr>
      </w:pPr>
      <w:r w:rsidRPr="000E61E0">
        <w:rPr>
          <w:b/>
          <w:bCs/>
        </w:rPr>
        <w:t>Quellen:</w:t>
      </w:r>
    </w:p>
    <w:p w14:paraId="2ED3F141" w14:textId="13DB0CEE" w:rsidR="0097119C" w:rsidRPr="00561F0A" w:rsidRDefault="0097119C" w:rsidP="00561F0A">
      <w:pPr>
        <w:pStyle w:val="AufzhlungStandard"/>
        <w:spacing w:before="0"/>
        <w:rPr>
          <w:lang w:val="en-US"/>
        </w:rPr>
      </w:pPr>
      <w:bookmarkStart w:id="15" w:name="_Ref46318172"/>
      <w:r w:rsidRPr="00561F0A">
        <w:rPr>
          <w:rFonts w:cs="Arial"/>
          <w:lang w:val="en-US"/>
        </w:rPr>
        <w:t xml:space="preserve">Nelson, D.L.: </w:t>
      </w:r>
      <w:proofErr w:type="spellStart"/>
      <w:r w:rsidRPr="00561F0A">
        <w:rPr>
          <w:rFonts w:cs="Arial"/>
          <w:lang w:val="en-US"/>
        </w:rPr>
        <w:t>Lehninger</w:t>
      </w:r>
      <w:proofErr w:type="spellEnd"/>
      <w:r w:rsidRPr="00561F0A">
        <w:rPr>
          <w:rFonts w:cs="Arial"/>
          <w:lang w:val="en-US"/>
        </w:rPr>
        <w:t xml:space="preserve"> principles of biochemistry, Freeman, New York, 2008.</w:t>
      </w:r>
      <w:bookmarkEnd w:id="15"/>
    </w:p>
    <w:p w14:paraId="40EC00DC" w14:textId="08158F8F" w:rsidR="004273A5" w:rsidRPr="004273A5" w:rsidRDefault="0097119C" w:rsidP="00561F0A">
      <w:pPr>
        <w:pStyle w:val="AufzhlungStandard"/>
        <w:spacing w:before="0"/>
      </w:pPr>
      <w:r>
        <w:rPr>
          <w:rFonts w:cs="Arial"/>
        </w:rPr>
        <w:t>Vollhardt, K.P.C.: Organische Chemie</w:t>
      </w:r>
      <w:r w:rsidR="00421B18">
        <w:rPr>
          <w:rFonts w:cs="Arial"/>
        </w:rPr>
        <w:t>, WILEY-VCH, Weinheim, 2005.</w:t>
      </w:r>
    </w:p>
    <w:p w14:paraId="38E9DFD9" w14:textId="7023A2F9" w:rsidR="004273A5" w:rsidRPr="00421B18" w:rsidRDefault="004273A5" w:rsidP="00561F0A">
      <w:pPr>
        <w:pStyle w:val="AufzhlungStandard"/>
        <w:spacing w:before="0"/>
      </w:pPr>
      <w:r w:rsidRPr="00421B18">
        <w:rPr>
          <w:rFonts w:cs="Arial"/>
        </w:rPr>
        <w:t xml:space="preserve">http://www.chemieunterricht.de/dc2/essig/hac-19.htm, </w:t>
      </w:r>
      <w:r w:rsidR="00421B18" w:rsidRPr="00421B18">
        <w:rPr>
          <w:rFonts w:cs="Arial"/>
        </w:rPr>
        <w:t>15.10.2022</w:t>
      </w:r>
      <w:r w:rsidR="00421B18">
        <w:rPr>
          <w:rFonts w:cs="Arial"/>
        </w:rPr>
        <w:t>.</w:t>
      </w:r>
    </w:p>
    <w:p w14:paraId="7F3D5F32" w14:textId="321400EB" w:rsidR="004273A5" w:rsidRPr="004273A5" w:rsidRDefault="004273A5" w:rsidP="00561F0A">
      <w:pPr>
        <w:pStyle w:val="AufzhlungStandard"/>
        <w:spacing w:before="0"/>
      </w:pPr>
      <w:bookmarkStart w:id="16" w:name="_Ref46319322"/>
      <w:r w:rsidRPr="00F24392">
        <w:rPr>
          <w:rFonts w:cs="Arial"/>
        </w:rPr>
        <w:t>http://www.multimediachemieunterricht.uni-erlangen.de/versuche/v44.shtml</w:t>
      </w:r>
      <w:r>
        <w:rPr>
          <w:rFonts w:cs="Arial"/>
        </w:rPr>
        <w:t>, 28.10.</w:t>
      </w:r>
      <w:r w:rsidR="00AA0BEE">
        <w:rPr>
          <w:rFonts w:cs="Arial"/>
        </w:rPr>
        <w:t>20</w:t>
      </w:r>
      <w:r>
        <w:rPr>
          <w:rFonts w:cs="Arial"/>
        </w:rPr>
        <w:t>10</w:t>
      </w:r>
      <w:r w:rsidR="00AA0BEE">
        <w:rPr>
          <w:rFonts w:cs="Arial"/>
        </w:rPr>
        <w:t>.</w:t>
      </w:r>
      <w:r>
        <w:rPr>
          <w:rFonts w:cs="Arial"/>
        </w:rPr>
        <w:t xml:space="preserve"> (verschollen)</w:t>
      </w:r>
      <w:bookmarkEnd w:id="16"/>
    </w:p>
    <w:p w14:paraId="7079F96C" w14:textId="7D3D41D8" w:rsidR="004273A5" w:rsidRPr="00875D6F" w:rsidRDefault="004273A5" w:rsidP="00561F0A">
      <w:pPr>
        <w:pStyle w:val="AufzhlungStandard"/>
        <w:spacing w:before="0"/>
      </w:pPr>
      <w:r w:rsidRPr="00790982">
        <w:rPr>
          <w:rFonts w:cs="Arial"/>
        </w:rPr>
        <w:t>http://www.flechsig-kamen.de/bilder/fleisch_links.jpg</w:t>
      </w:r>
      <w:r w:rsidRPr="004273A5">
        <w:rPr>
          <w:rFonts w:cs="Arial"/>
        </w:rPr>
        <w:t>, 8.11.</w:t>
      </w:r>
      <w:r w:rsidR="00AA0BEE">
        <w:rPr>
          <w:rFonts w:cs="Arial"/>
        </w:rPr>
        <w:t>20</w:t>
      </w:r>
      <w:r w:rsidRPr="004273A5">
        <w:rPr>
          <w:rFonts w:cs="Arial"/>
        </w:rPr>
        <w:t>10</w:t>
      </w:r>
      <w:r w:rsidR="00AA0BEE">
        <w:rPr>
          <w:rFonts w:cs="Arial"/>
        </w:rPr>
        <w:t>.</w:t>
      </w:r>
      <w:r w:rsidRPr="00477AF4">
        <w:rPr>
          <w:rFonts w:cs="Arial"/>
        </w:rPr>
        <w:t xml:space="preserve"> </w:t>
      </w:r>
      <w:r w:rsidR="00AA0BEE">
        <w:rPr>
          <w:rFonts w:cs="Arial"/>
        </w:rPr>
        <w:t>(v</w:t>
      </w:r>
      <w:r w:rsidRPr="00477AF4">
        <w:rPr>
          <w:rFonts w:cs="Arial"/>
        </w:rPr>
        <w:t>erschollen</w:t>
      </w:r>
      <w:r w:rsidR="00AA0BEE">
        <w:rPr>
          <w:rFonts w:cs="Arial"/>
        </w:rPr>
        <w:t>)</w:t>
      </w:r>
    </w:p>
    <w:p w14:paraId="1CFBCC1A" w14:textId="1C9603F1" w:rsidR="00875D6F" w:rsidRDefault="00882B70" w:rsidP="00561F0A">
      <w:pPr>
        <w:pStyle w:val="AufzhlungStandard"/>
        <w:spacing w:before="0"/>
      </w:pPr>
      <w:r>
        <w:t>Hoppe, B.; Martens, J.:</w:t>
      </w:r>
      <w:r w:rsidR="00875D6F">
        <w:t xml:space="preserve"> Aminosäuren - Herstellung und Gewinnung. Chemie in unserer Zeit, Heft 18, 1984, 73-86.</w:t>
      </w:r>
    </w:p>
    <w:p w14:paraId="02D1C376" w14:textId="24742F42" w:rsidR="00875D6F" w:rsidRDefault="00882B70" w:rsidP="00561F0A">
      <w:pPr>
        <w:pStyle w:val="AufzhlungStandard"/>
        <w:spacing w:before="0"/>
      </w:pPr>
      <w:r>
        <w:t xml:space="preserve">Hoppe, B.; Martens, J.: </w:t>
      </w:r>
      <w:r w:rsidR="00875D6F">
        <w:t>Aminosäuren – Bausteine des Lebens. Chemie in unserer Zeit, Heft 17, 1983, 41-53.</w:t>
      </w:r>
    </w:p>
    <w:p w14:paraId="44443A51" w14:textId="4AD12221" w:rsidR="00875D6F" w:rsidRDefault="00F923B2" w:rsidP="00561F0A">
      <w:pPr>
        <w:pStyle w:val="AufzhlungStandard"/>
        <w:spacing w:before="0"/>
      </w:pPr>
      <w:r>
        <w:rPr>
          <w:lang w:val="en-US"/>
        </w:rPr>
        <w:t>Hoppe-</w:t>
      </w:r>
      <w:proofErr w:type="spellStart"/>
      <w:r>
        <w:rPr>
          <w:lang w:val="en-US"/>
        </w:rPr>
        <w:t>Seyler</w:t>
      </w:r>
      <w:proofErr w:type="spellEnd"/>
      <w:r>
        <w:rPr>
          <w:lang w:val="en-US"/>
        </w:rPr>
        <w:t>, E.F.I.:</w:t>
      </w:r>
      <w:r w:rsidR="00875D6F" w:rsidRPr="001C34C2">
        <w:rPr>
          <w:lang w:val="en-US"/>
        </w:rPr>
        <w:t xml:space="preserve"> The Biochemistry of Vitamin B6 is Basic to the Cause of the Chinese Restaurant Syndrome. </w:t>
      </w:r>
      <w:r w:rsidR="00875D6F">
        <w:t>Hoppe-</w:t>
      </w:r>
      <w:proofErr w:type="spellStart"/>
      <w:r w:rsidR="00875D6F">
        <w:t>Seyle</w:t>
      </w:r>
      <w:r w:rsidR="00875D6F" w:rsidRPr="00D46E01">
        <w:t>r's</w:t>
      </w:r>
      <w:proofErr w:type="spellEnd"/>
      <w:r w:rsidR="00875D6F" w:rsidRPr="00D46E01">
        <w:t xml:space="preserve"> Zeitschrift für Physiologische Chemie</w:t>
      </w:r>
      <w:r w:rsidR="00875D6F">
        <w:t>, Heft 365, 1984, 405-414</w:t>
      </w:r>
      <w:r w:rsidR="008F34E7">
        <w:t>.</w:t>
      </w:r>
    </w:p>
    <w:p w14:paraId="087E14F7" w14:textId="010E59FF" w:rsidR="00875D6F" w:rsidRPr="00F923B2" w:rsidRDefault="00875D6F" w:rsidP="00561F0A">
      <w:pPr>
        <w:pStyle w:val="AufzhlungStandard"/>
        <w:spacing w:before="0"/>
      </w:pPr>
      <w:r w:rsidRPr="00F923B2">
        <w:t xml:space="preserve">https://chids.online.uni-marburg.de/dachs/expvortr/644/Haardateien/Deckblatt.htm, </w:t>
      </w:r>
      <w:r w:rsidR="00F923B2" w:rsidRPr="00F923B2">
        <w:t>15.10.2022</w:t>
      </w:r>
      <w:r w:rsidRPr="00F923B2">
        <w:t xml:space="preserve">. </w:t>
      </w:r>
    </w:p>
    <w:p w14:paraId="1176FE05" w14:textId="77777777" w:rsidR="00875D6F" w:rsidRPr="00F923B2" w:rsidRDefault="00875D6F" w:rsidP="00561F0A">
      <w:pPr>
        <w:pStyle w:val="AufzhlungStandard"/>
        <w:numPr>
          <w:ilvl w:val="0"/>
          <w:numId w:val="0"/>
        </w:numPr>
      </w:pPr>
      <w:bookmarkStart w:id="17" w:name="_GoBack"/>
      <w:bookmarkEnd w:id="17"/>
    </w:p>
    <w:sectPr w:rsidR="00875D6F" w:rsidRPr="00F923B2" w:rsidSect="000276B5"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60D8" w14:textId="77777777" w:rsidR="00EF7315" w:rsidRDefault="00EF7315" w:rsidP="005A7DCE">
      <w:pPr>
        <w:spacing w:before="0"/>
      </w:pPr>
      <w:r>
        <w:separator/>
      </w:r>
    </w:p>
  </w:endnote>
  <w:endnote w:type="continuationSeparator" w:id="0">
    <w:p w14:paraId="774C0833" w14:textId="77777777" w:rsidR="00EF7315" w:rsidRDefault="00EF7315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506206"/>
      <w:docPartObj>
        <w:docPartGallery w:val="Page Numbers (Bottom of Page)"/>
        <w:docPartUnique/>
      </w:docPartObj>
    </w:sdtPr>
    <w:sdtEndPr/>
    <w:sdtContent>
      <w:p w14:paraId="2852ECA9" w14:textId="77777777" w:rsidR="00AC5E46" w:rsidRDefault="00AC5E46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643146EE" wp14:editId="517B1584">
                  <wp:extent cx="5467350" cy="45085"/>
                  <wp:effectExtent l="9525" t="9525" r="0" b="2540"/>
                  <wp:docPr id="50" name="Flussdiagramm: Verzweigung 5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11026E7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5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4DE830" w14:textId="7979E8F3" w:rsidR="00AC5E46" w:rsidRDefault="00AC5E46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85661">
          <w:rPr>
            <w:noProof/>
          </w:rPr>
          <w:t>6</w:t>
        </w:r>
        <w:r>
          <w:fldChar w:fldCharType="end"/>
        </w:r>
      </w:p>
    </w:sdtContent>
  </w:sdt>
  <w:p w14:paraId="17D13648" w14:textId="77777777" w:rsidR="00AC5E46" w:rsidRDefault="00AC5E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15423B4E" w14:textId="77777777" w:rsidR="00693415" w:rsidRDefault="00693415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08F02EB5" wp14:editId="013C8291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880FE0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8E9D06A" w14:textId="4C49595C" w:rsidR="00693415" w:rsidRDefault="00693415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85661">
          <w:rPr>
            <w:noProof/>
          </w:rPr>
          <w:t>7</w:t>
        </w:r>
        <w:r>
          <w:fldChar w:fldCharType="end"/>
        </w:r>
      </w:p>
    </w:sdtContent>
  </w:sdt>
  <w:p w14:paraId="2CED4B60" w14:textId="77777777" w:rsidR="00693415" w:rsidRDefault="006934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E213" w14:textId="77777777" w:rsidR="00EF7315" w:rsidRDefault="00EF7315" w:rsidP="005A7DCE">
      <w:pPr>
        <w:spacing w:before="0"/>
      </w:pPr>
      <w:r>
        <w:separator/>
      </w:r>
    </w:p>
  </w:footnote>
  <w:footnote w:type="continuationSeparator" w:id="0">
    <w:p w14:paraId="3890448E" w14:textId="77777777" w:rsidR="00EF7315" w:rsidRDefault="00EF7315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B8D3356"/>
    <w:multiLevelType w:val="hybridMultilevel"/>
    <w:tmpl w:val="6D28F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245C0B3A"/>
    <w:multiLevelType w:val="multilevel"/>
    <w:tmpl w:val="ACF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8" w15:restartNumberingAfterBreak="0">
    <w:nsid w:val="2F465241"/>
    <w:multiLevelType w:val="multilevel"/>
    <w:tmpl w:val="A2C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31276AE2"/>
    <w:multiLevelType w:val="multilevel"/>
    <w:tmpl w:val="FB6A9E6C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3" w15:restartNumberingAfterBreak="0">
    <w:nsid w:val="3ECF4C82"/>
    <w:multiLevelType w:val="multilevel"/>
    <w:tmpl w:val="A52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6" w15:restartNumberingAfterBreak="0">
    <w:nsid w:val="65245EDF"/>
    <w:multiLevelType w:val="hybridMultilevel"/>
    <w:tmpl w:val="7EC6132E"/>
    <w:lvl w:ilvl="0" w:tplc="28968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8B0E13"/>
    <w:multiLevelType w:val="hybridMultilevel"/>
    <w:tmpl w:val="567EB69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220FFC"/>
    <w:multiLevelType w:val="hybridMultilevel"/>
    <w:tmpl w:val="AF4A5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4"/>
  </w:num>
  <w:num w:numId="7">
    <w:abstractNumId w:val="9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2"/>
  </w:num>
  <w:num w:numId="13">
    <w:abstractNumId w:val="11"/>
  </w:num>
  <w:num w:numId="14">
    <w:abstractNumId w:val="0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7"/>
  </w:num>
  <w:num w:numId="20">
    <w:abstractNumId w:val="19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  <w:num w:numId="21">
    <w:abstractNumId w:val="13"/>
  </w:num>
  <w:num w:numId="22">
    <w:abstractNumId w:val="8"/>
  </w:num>
  <w:num w:numId="23">
    <w:abstractNumId w:val="6"/>
  </w:num>
  <w:num w:numId="24">
    <w:abstractNumId w:val="18"/>
  </w:num>
  <w:num w:numId="25">
    <w:abstractNumId w:val="4"/>
  </w:num>
  <w:num w:numId="26">
    <w:abstractNumId w:val="17"/>
  </w:num>
  <w:num w:numId="27">
    <w:abstractNumId w:val="16"/>
  </w:num>
  <w:num w:numId="28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054DF"/>
    <w:rsid w:val="000256A8"/>
    <w:rsid w:val="000276B5"/>
    <w:rsid w:val="00045EDE"/>
    <w:rsid w:val="00057F58"/>
    <w:rsid w:val="000622D6"/>
    <w:rsid w:val="000712A2"/>
    <w:rsid w:val="00071564"/>
    <w:rsid w:val="00074491"/>
    <w:rsid w:val="00085661"/>
    <w:rsid w:val="000902E2"/>
    <w:rsid w:val="000B598C"/>
    <w:rsid w:val="000D3ED2"/>
    <w:rsid w:val="000D4A1C"/>
    <w:rsid w:val="000E61E0"/>
    <w:rsid w:val="00102851"/>
    <w:rsid w:val="00117B11"/>
    <w:rsid w:val="00133437"/>
    <w:rsid w:val="0015543D"/>
    <w:rsid w:val="001B12FD"/>
    <w:rsid w:val="001B5008"/>
    <w:rsid w:val="001B63DF"/>
    <w:rsid w:val="001C34C2"/>
    <w:rsid w:val="001C7BAE"/>
    <w:rsid w:val="001D0EF8"/>
    <w:rsid w:val="001D5802"/>
    <w:rsid w:val="001D6942"/>
    <w:rsid w:val="001F05AC"/>
    <w:rsid w:val="002005EF"/>
    <w:rsid w:val="00243CE6"/>
    <w:rsid w:val="00273F38"/>
    <w:rsid w:val="002C25CE"/>
    <w:rsid w:val="002D287D"/>
    <w:rsid w:val="002F22E8"/>
    <w:rsid w:val="0031129B"/>
    <w:rsid w:val="0033663A"/>
    <w:rsid w:val="003437B0"/>
    <w:rsid w:val="0034752C"/>
    <w:rsid w:val="00347CE2"/>
    <w:rsid w:val="0036111E"/>
    <w:rsid w:val="0036483B"/>
    <w:rsid w:val="00371D2D"/>
    <w:rsid w:val="00373EBA"/>
    <w:rsid w:val="00394BB1"/>
    <w:rsid w:val="003A0036"/>
    <w:rsid w:val="003E5580"/>
    <w:rsid w:val="003E6DDF"/>
    <w:rsid w:val="00421B18"/>
    <w:rsid w:val="004273A5"/>
    <w:rsid w:val="00477AF4"/>
    <w:rsid w:val="004A0CD5"/>
    <w:rsid w:val="004A5C4F"/>
    <w:rsid w:val="004C2DC9"/>
    <w:rsid w:val="004D0FAE"/>
    <w:rsid w:val="004E6C30"/>
    <w:rsid w:val="005008EB"/>
    <w:rsid w:val="005163D0"/>
    <w:rsid w:val="005614DC"/>
    <w:rsid w:val="00561F0A"/>
    <w:rsid w:val="005633FE"/>
    <w:rsid w:val="0058690D"/>
    <w:rsid w:val="005A340D"/>
    <w:rsid w:val="005A49C9"/>
    <w:rsid w:val="005A7DCE"/>
    <w:rsid w:val="005C33AA"/>
    <w:rsid w:val="005C4A32"/>
    <w:rsid w:val="005C5C92"/>
    <w:rsid w:val="005E17EB"/>
    <w:rsid w:val="00620382"/>
    <w:rsid w:val="0064236D"/>
    <w:rsid w:val="0065289D"/>
    <w:rsid w:val="00693415"/>
    <w:rsid w:val="00694735"/>
    <w:rsid w:val="006C46BC"/>
    <w:rsid w:val="00714948"/>
    <w:rsid w:val="007161D1"/>
    <w:rsid w:val="0073702D"/>
    <w:rsid w:val="00783295"/>
    <w:rsid w:val="00790982"/>
    <w:rsid w:val="007B2C80"/>
    <w:rsid w:val="007B5970"/>
    <w:rsid w:val="007D5463"/>
    <w:rsid w:val="007F18E1"/>
    <w:rsid w:val="008053F4"/>
    <w:rsid w:val="008117E4"/>
    <w:rsid w:val="00825BFE"/>
    <w:rsid w:val="00835020"/>
    <w:rsid w:val="00850560"/>
    <w:rsid w:val="00870415"/>
    <w:rsid w:val="00875D6F"/>
    <w:rsid w:val="00882B70"/>
    <w:rsid w:val="00883728"/>
    <w:rsid w:val="00884836"/>
    <w:rsid w:val="008A0424"/>
    <w:rsid w:val="008A2687"/>
    <w:rsid w:val="008A524D"/>
    <w:rsid w:val="008B1C95"/>
    <w:rsid w:val="008D099B"/>
    <w:rsid w:val="008E0A42"/>
    <w:rsid w:val="008F34E7"/>
    <w:rsid w:val="008F4AE0"/>
    <w:rsid w:val="00912A74"/>
    <w:rsid w:val="00931B30"/>
    <w:rsid w:val="00945ED7"/>
    <w:rsid w:val="00951A3C"/>
    <w:rsid w:val="009710A6"/>
    <w:rsid w:val="0097119C"/>
    <w:rsid w:val="00986D98"/>
    <w:rsid w:val="00992E30"/>
    <w:rsid w:val="009D6845"/>
    <w:rsid w:val="009D7F88"/>
    <w:rsid w:val="009E623C"/>
    <w:rsid w:val="00A00E19"/>
    <w:rsid w:val="00A06364"/>
    <w:rsid w:val="00A21130"/>
    <w:rsid w:val="00A27178"/>
    <w:rsid w:val="00A44398"/>
    <w:rsid w:val="00A5383F"/>
    <w:rsid w:val="00A82DEF"/>
    <w:rsid w:val="00AA0BEE"/>
    <w:rsid w:val="00AA5678"/>
    <w:rsid w:val="00AA5D66"/>
    <w:rsid w:val="00AB7E4B"/>
    <w:rsid w:val="00AC50B4"/>
    <w:rsid w:val="00AC5E46"/>
    <w:rsid w:val="00AD0FF9"/>
    <w:rsid w:val="00AD2328"/>
    <w:rsid w:val="00AE424B"/>
    <w:rsid w:val="00AE53F0"/>
    <w:rsid w:val="00AE756A"/>
    <w:rsid w:val="00AF7672"/>
    <w:rsid w:val="00B06505"/>
    <w:rsid w:val="00B06A35"/>
    <w:rsid w:val="00B14A95"/>
    <w:rsid w:val="00B42AAC"/>
    <w:rsid w:val="00B551F4"/>
    <w:rsid w:val="00B619CA"/>
    <w:rsid w:val="00BB5BB4"/>
    <w:rsid w:val="00BC3C0F"/>
    <w:rsid w:val="00BD7FF4"/>
    <w:rsid w:val="00C47CC6"/>
    <w:rsid w:val="00C6128D"/>
    <w:rsid w:val="00C62B6A"/>
    <w:rsid w:val="00C6611D"/>
    <w:rsid w:val="00C77936"/>
    <w:rsid w:val="00C94CCB"/>
    <w:rsid w:val="00CA66CF"/>
    <w:rsid w:val="00CB3E34"/>
    <w:rsid w:val="00CE365C"/>
    <w:rsid w:val="00D0181E"/>
    <w:rsid w:val="00D05697"/>
    <w:rsid w:val="00D06F2B"/>
    <w:rsid w:val="00D1137B"/>
    <w:rsid w:val="00D1454D"/>
    <w:rsid w:val="00D31928"/>
    <w:rsid w:val="00D70328"/>
    <w:rsid w:val="00D71ACB"/>
    <w:rsid w:val="00D750AD"/>
    <w:rsid w:val="00D97908"/>
    <w:rsid w:val="00DA22D6"/>
    <w:rsid w:val="00DB7964"/>
    <w:rsid w:val="00DC16CB"/>
    <w:rsid w:val="00E14DE1"/>
    <w:rsid w:val="00E20AF3"/>
    <w:rsid w:val="00E2610C"/>
    <w:rsid w:val="00E37534"/>
    <w:rsid w:val="00E43323"/>
    <w:rsid w:val="00E46BE8"/>
    <w:rsid w:val="00E54A99"/>
    <w:rsid w:val="00E74D86"/>
    <w:rsid w:val="00E8473B"/>
    <w:rsid w:val="00EB64BC"/>
    <w:rsid w:val="00EE6093"/>
    <w:rsid w:val="00EF30C4"/>
    <w:rsid w:val="00EF7315"/>
    <w:rsid w:val="00F0263F"/>
    <w:rsid w:val="00F06AE7"/>
    <w:rsid w:val="00F24392"/>
    <w:rsid w:val="00F2799B"/>
    <w:rsid w:val="00F45AC0"/>
    <w:rsid w:val="00F54A42"/>
    <w:rsid w:val="00F664B2"/>
    <w:rsid w:val="00F70FC7"/>
    <w:rsid w:val="00F76D18"/>
    <w:rsid w:val="00F82514"/>
    <w:rsid w:val="00F923B2"/>
    <w:rsid w:val="00FC6512"/>
    <w:rsid w:val="00FD7888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BF39022"/>
  <w15:docId w15:val="{4F7D6B2F-511B-4807-830B-630F28FC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0276B5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0276B5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4273A5"/>
    <w:rPr>
      <w:color w:val="0000FF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415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41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2328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5D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5D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75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6.gif"/><Relationship Id="rId39" Type="http://schemas.openxmlformats.org/officeDocument/2006/relationships/image" Target="media/image29.gif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34" Type="http://schemas.openxmlformats.org/officeDocument/2006/relationships/image" Target="media/image24.gif"/><Relationship Id="rId42" Type="http://schemas.openxmlformats.org/officeDocument/2006/relationships/image" Target="media/image31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gif"/><Relationship Id="rId25" Type="http://schemas.openxmlformats.org/officeDocument/2006/relationships/oleObject" Target="embeddings/oleObject3.bin"/><Relationship Id="rId33" Type="http://schemas.openxmlformats.org/officeDocument/2006/relationships/image" Target="media/image23.gif"/><Relationship Id="rId38" Type="http://schemas.openxmlformats.org/officeDocument/2006/relationships/image" Target="media/image28.gif"/><Relationship Id="rId46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19.gi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32" Type="http://schemas.openxmlformats.org/officeDocument/2006/relationships/image" Target="media/image22.gif"/><Relationship Id="rId37" Type="http://schemas.openxmlformats.org/officeDocument/2006/relationships/image" Target="media/image27.gif"/><Relationship Id="rId40" Type="http://schemas.openxmlformats.org/officeDocument/2006/relationships/image" Target="media/image30.gif"/><Relationship Id="rId45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8.gif"/><Relationship Id="rId36" Type="http://schemas.openxmlformats.org/officeDocument/2006/relationships/image" Target="media/image26.gif"/><Relationship Id="rId10" Type="http://schemas.openxmlformats.org/officeDocument/2006/relationships/oleObject" Target="embeddings/oleObject1.bin"/><Relationship Id="rId19" Type="http://schemas.openxmlformats.org/officeDocument/2006/relationships/image" Target="media/image10.gif"/><Relationship Id="rId31" Type="http://schemas.openxmlformats.org/officeDocument/2006/relationships/image" Target="media/image21.gif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image" Target="media/image25.gif"/><Relationship Id="rId43" Type="http://schemas.openxmlformats.org/officeDocument/2006/relationships/image" Target="media/image32.jpeg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9148-F049-4B43-AF1D-84502F76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2268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cp:lastModifiedBy>Walter Wagner</cp:lastModifiedBy>
  <cp:revision>5</cp:revision>
  <cp:lastPrinted>2022-10-17T07:33:00Z</cp:lastPrinted>
  <dcterms:created xsi:type="dcterms:W3CDTF">2022-10-15T18:25:00Z</dcterms:created>
  <dcterms:modified xsi:type="dcterms:W3CDTF">2022-10-17T07:34:00Z</dcterms:modified>
</cp:coreProperties>
</file>