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E96A3" w14:textId="77777777" w:rsidR="00E8473B" w:rsidRDefault="00E8473B" w:rsidP="00E8473B">
      <w:pPr>
        <w:pStyle w:val="Bilder"/>
      </w:pPr>
      <w:r w:rsidRPr="00716CB6">
        <w:rPr>
          <w:lang w:eastAsia="de-DE"/>
        </w:rPr>
        <mc:AlternateContent>
          <mc:Choice Requires="wpg">
            <w:drawing>
              <wp:inline distT="0" distB="0" distL="0" distR="0" wp14:anchorId="522411AC" wp14:editId="4CC6C289">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8881"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0021CD74" wp14:editId="2BD379C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25B40C" w14:textId="77777777" w:rsidR="00AE53F0" w:rsidRPr="001D6942" w:rsidRDefault="00E8473B" w:rsidP="001D6942">
      <w:pPr>
        <w:pStyle w:val="Seminar"/>
      </w:pPr>
      <w:r w:rsidRPr="001D6942">
        <w:t>Seminar</w:t>
      </w:r>
      <w:r w:rsidR="00FD7888">
        <w:t xml:space="preserve"> „Übungen im </w:t>
      </w:r>
      <w:r w:rsidR="00FD7888" w:rsidRPr="00086A99">
        <w:t>Vortragen –PC</w:t>
      </w:r>
      <w:r w:rsidR="00FD7888">
        <w:t>“</w:t>
      </w:r>
    </w:p>
    <w:p w14:paraId="4878F91D" w14:textId="77777777" w:rsidR="00E8473B" w:rsidRPr="00E47D77" w:rsidRDefault="00086A99" w:rsidP="005633FE">
      <w:pPr>
        <w:pStyle w:val="Titel"/>
        <w:rPr>
          <w:lang w:val="it-IT"/>
        </w:rPr>
      </w:pPr>
      <w:r w:rsidRPr="00E47D77">
        <w:rPr>
          <w:lang w:val="it-IT"/>
        </w:rPr>
        <w:t>Adsorption I</w:t>
      </w:r>
    </w:p>
    <w:p w14:paraId="63F9B5AF" w14:textId="77777777" w:rsidR="00E8473B" w:rsidRDefault="00086A99" w:rsidP="00E8473B">
      <w:pPr>
        <w:pStyle w:val="Autor"/>
        <w:rPr>
          <w:lang w:val="it-IT"/>
        </w:rPr>
      </w:pPr>
      <w:r w:rsidRPr="00E47D77">
        <w:rPr>
          <w:lang w:val="it-IT"/>
        </w:rPr>
        <w:t xml:space="preserve">Tamara </w:t>
      </w:r>
      <w:proofErr w:type="spellStart"/>
      <w:r w:rsidRPr="00E47D77">
        <w:rPr>
          <w:lang w:val="it-IT"/>
        </w:rPr>
        <w:t>Fösel</w:t>
      </w:r>
      <w:proofErr w:type="spellEnd"/>
      <w:r w:rsidR="00FD7888" w:rsidRPr="00E47D77">
        <w:rPr>
          <w:lang w:val="it-IT"/>
        </w:rPr>
        <w:t xml:space="preserve">, WS </w:t>
      </w:r>
      <w:r w:rsidRPr="00E47D77">
        <w:rPr>
          <w:lang w:val="it-IT"/>
        </w:rPr>
        <w:t>13/14</w:t>
      </w:r>
    </w:p>
    <w:sdt>
      <w:sdtPr>
        <w:rPr>
          <w:rFonts w:ascii="Arial" w:eastAsiaTheme="minorHAnsi" w:hAnsi="Arial" w:cstheme="minorBidi"/>
          <w:color w:val="auto"/>
          <w:sz w:val="24"/>
          <w:szCs w:val="22"/>
          <w:lang w:eastAsia="en-US"/>
        </w:rPr>
        <w:id w:val="-589317519"/>
        <w:docPartObj>
          <w:docPartGallery w:val="Table of Contents"/>
          <w:docPartUnique/>
        </w:docPartObj>
      </w:sdtPr>
      <w:sdtEndPr>
        <w:rPr>
          <w:b/>
          <w:bCs/>
        </w:rPr>
      </w:sdtEndPr>
      <w:sdtContent>
        <w:p w14:paraId="7DBBE6D8" w14:textId="77777777" w:rsidR="007F6431" w:rsidRDefault="007F6431">
          <w:pPr>
            <w:pStyle w:val="Inhaltsverzeichnisberschrift"/>
          </w:pPr>
          <w:r>
            <w:t>Gliederung</w:t>
          </w:r>
        </w:p>
        <w:p w14:paraId="2C93D85E" w14:textId="2A9B227A" w:rsidR="006725FB" w:rsidRDefault="007F6431">
          <w:pPr>
            <w:pStyle w:val="Verzeichnis1"/>
            <w:tabs>
              <w:tab w:val="left" w:pos="44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37075478" w:history="1">
            <w:r w:rsidR="006725FB" w:rsidRPr="00C813F2">
              <w:rPr>
                <w:rStyle w:val="Hyperlink"/>
                <w:noProof/>
              </w:rPr>
              <w:t>1</w:t>
            </w:r>
            <w:r w:rsidR="006725FB">
              <w:rPr>
                <w:rFonts w:asciiTheme="minorHAnsi" w:eastAsiaTheme="minorEastAsia" w:hAnsiTheme="minorHAnsi"/>
                <w:noProof/>
                <w:sz w:val="22"/>
                <w:lang w:eastAsia="de-DE"/>
              </w:rPr>
              <w:tab/>
            </w:r>
            <w:r w:rsidR="006725FB" w:rsidRPr="00C813F2">
              <w:rPr>
                <w:rStyle w:val="Hyperlink"/>
                <w:noProof/>
              </w:rPr>
              <w:t>Physisorption und Chemisorption im Vergleich</w:t>
            </w:r>
            <w:r w:rsidR="006725FB">
              <w:rPr>
                <w:noProof/>
                <w:webHidden/>
              </w:rPr>
              <w:tab/>
            </w:r>
            <w:r w:rsidR="006725FB">
              <w:rPr>
                <w:noProof/>
                <w:webHidden/>
              </w:rPr>
              <w:fldChar w:fldCharType="begin"/>
            </w:r>
            <w:r w:rsidR="006725FB">
              <w:rPr>
                <w:noProof/>
                <w:webHidden/>
              </w:rPr>
              <w:instrText xml:space="preserve"> PAGEREF _Toc37075478 \h </w:instrText>
            </w:r>
            <w:r w:rsidR="006725FB">
              <w:rPr>
                <w:noProof/>
                <w:webHidden/>
              </w:rPr>
            </w:r>
            <w:r w:rsidR="006725FB">
              <w:rPr>
                <w:noProof/>
                <w:webHidden/>
              </w:rPr>
              <w:fldChar w:fldCharType="separate"/>
            </w:r>
            <w:r w:rsidR="000861B0">
              <w:rPr>
                <w:noProof/>
                <w:webHidden/>
              </w:rPr>
              <w:t>2</w:t>
            </w:r>
            <w:r w:rsidR="006725FB">
              <w:rPr>
                <w:noProof/>
                <w:webHidden/>
              </w:rPr>
              <w:fldChar w:fldCharType="end"/>
            </w:r>
          </w:hyperlink>
        </w:p>
        <w:p w14:paraId="3EE05734" w14:textId="15D0E418" w:rsidR="006725FB" w:rsidRDefault="000861B0">
          <w:pPr>
            <w:pStyle w:val="Verzeichnis2"/>
            <w:tabs>
              <w:tab w:val="left" w:pos="880"/>
              <w:tab w:val="right" w:leader="dot" w:pos="9344"/>
            </w:tabs>
            <w:rPr>
              <w:rFonts w:asciiTheme="minorHAnsi" w:eastAsiaTheme="minorEastAsia" w:hAnsiTheme="minorHAnsi"/>
              <w:noProof/>
              <w:sz w:val="22"/>
              <w:lang w:eastAsia="de-DE"/>
            </w:rPr>
          </w:pPr>
          <w:hyperlink w:anchor="_Toc37075479" w:history="1">
            <w:r w:rsidR="006725FB" w:rsidRPr="00C813F2">
              <w:rPr>
                <w:rStyle w:val="Hyperlink"/>
                <w:noProof/>
              </w:rPr>
              <w:t>1.1</w:t>
            </w:r>
            <w:r w:rsidR="006725FB">
              <w:rPr>
                <w:rFonts w:asciiTheme="minorHAnsi" w:eastAsiaTheme="minorEastAsia" w:hAnsiTheme="minorHAnsi"/>
                <w:noProof/>
                <w:sz w:val="22"/>
                <w:lang w:eastAsia="de-DE"/>
              </w:rPr>
              <w:tab/>
            </w:r>
            <w:r w:rsidR="006725FB" w:rsidRPr="00C813F2">
              <w:rPr>
                <w:rStyle w:val="Hyperlink"/>
                <w:noProof/>
              </w:rPr>
              <w:t>Lennard-Jones-Potential der Physisorption</w:t>
            </w:r>
            <w:r w:rsidR="006725FB">
              <w:rPr>
                <w:noProof/>
                <w:webHidden/>
              </w:rPr>
              <w:tab/>
            </w:r>
            <w:r w:rsidR="006725FB">
              <w:rPr>
                <w:noProof/>
                <w:webHidden/>
              </w:rPr>
              <w:fldChar w:fldCharType="begin"/>
            </w:r>
            <w:r w:rsidR="006725FB">
              <w:rPr>
                <w:noProof/>
                <w:webHidden/>
              </w:rPr>
              <w:instrText xml:space="preserve"> PAGEREF _Toc37075479 \h </w:instrText>
            </w:r>
            <w:r w:rsidR="006725FB">
              <w:rPr>
                <w:noProof/>
                <w:webHidden/>
              </w:rPr>
            </w:r>
            <w:r w:rsidR="006725FB">
              <w:rPr>
                <w:noProof/>
                <w:webHidden/>
              </w:rPr>
              <w:fldChar w:fldCharType="separate"/>
            </w:r>
            <w:r>
              <w:rPr>
                <w:noProof/>
                <w:webHidden/>
              </w:rPr>
              <w:t>2</w:t>
            </w:r>
            <w:r w:rsidR="006725FB">
              <w:rPr>
                <w:noProof/>
                <w:webHidden/>
              </w:rPr>
              <w:fldChar w:fldCharType="end"/>
            </w:r>
          </w:hyperlink>
        </w:p>
        <w:p w14:paraId="3F7E438D" w14:textId="5281DA1C" w:rsidR="006725FB" w:rsidRDefault="000861B0">
          <w:pPr>
            <w:pStyle w:val="Verzeichnis2"/>
            <w:tabs>
              <w:tab w:val="left" w:pos="880"/>
              <w:tab w:val="right" w:leader="dot" w:pos="9344"/>
            </w:tabs>
            <w:rPr>
              <w:rFonts w:asciiTheme="minorHAnsi" w:eastAsiaTheme="minorEastAsia" w:hAnsiTheme="minorHAnsi"/>
              <w:noProof/>
              <w:sz w:val="22"/>
              <w:lang w:eastAsia="de-DE"/>
            </w:rPr>
          </w:pPr>
          <w:hyperlink w:anchor="_Toc37075480" w:history="1">
            <w:r w:rsidR="006725FB" w:rsidRPr="00C813F2">
              <w:rPr>
                <w:rStyle w:val="Hyperlink"/>
                <w:noProof/>
              </w:rPr>
              <w:t>1.2</w:t>
            </w:r>
            <w:r w:rsidR="006725FB">
              <w:rPr>
                <w:rFonts w:asciiTheme="minorHAnsi" w:eastAsiaTheme="minorEastAsia" w:hAnsiTheme="minorHAnsi"/>
                <w:noProof/>
                <w:sz w:val="22"/>
                <w:lang w:eastAsia="de-DE"/>
              </w:rPr>
              <w:tab/>
            </w:r>
            <w:r w:rsidR="006725FB" w:rsidRPr="00C813F2">
              <w:rPr>
                <w:rStyle w:val="Hyperlink"/>
                <w:noProof/>
              </w:rPr>
              <w:t>Morse-Potential der Chemisorption</w:t>
            </w:r>
            <w:r w:rsidR="006725FB">
              <w:rPr>
                <w:noProof/>
                <w:webHidden/>
              </w:rPr>
              <w:tab/>
            </w:r>
            <w:r w:rsidR="006725FB">
              <w:rPr>
                <w:noProof/>
                <w:webHidden/>
              </w:rPr>
              <w:fldChar w:fldCharType="begin"/>
            </w:r>
            <w:r w:rsidR="006725FB">
              <w:rPr>
                <w:noProof/>
                <w:webHidden/>
              </w:rPr>
              <w:instrText xml:space="preserve"> PAGEREF _Toc37075480 \h </w:instrText>
            </w:r>
            <w:r w:rsidR="006725FB">
              <w:rPr>
                <w:noProof/>
                <w:webHidden/>
              </w:rPr>
            </w:r>
            <w:r w:rsidR="006725FB">
              <w:rPr>
                <w:noProof/>
                <w:webHidden/>
              </w:rPr>
              <w:fldChar w:fldCharType="separate"/>
            </w:r>
            <w:r>
              <w:rPr>
                <w:noProof/>
                <w:webHidden/>
              </w:rPr>
              <w:t>2</w:t>
            </w:r>
            <w:r w:rsidR="006725FB">
              <w:rPr>
                <w:noProof/>
                <w:webHidden/>
              </w:rPr>
              <w:fldChar w:fldCharType="end"/>
            </w:r>
          </w:hyperlink>
        </w:p>
        <w:p w14:paraId="69F25402" w14:textId="43968EA4" w:rsidR="006725FB" w:rsidRDefault="000861B0">
          <w:pPr>
            <w:pStyle w:val="Verzeichnis2"/>
            <w:tabs>
              <w:tab w:val="left" w:pos="880"/>
              <w:tab w:val="right" w:leader="dot" w:pos="9344"/>
            </w:tabs>
            <w:rPr>
              <w:rFonts w:asciiTheme="minorHAnsi" w:eastAsiaTheme="minorEastAsia" w:hAnsiTheme="minorHAnsi"/>
              <w:noProof/>
              <w:sz w:val="22"/>
              <w:lang w:eastAsia="de-DE"/>
            </w:rPr>
          </w:pPr>
          <w:hyperlink w:anchor="_Toc37075481" w:history="1">
            <w:r w:rsidR="006725FB" w:rsidRPr="00C813F2">
              <w:rPr>
                <w:rStyle w:val="Hyperlink"/>
                <w:noProof/>
              </w:rPr>
              <w:t>1.3</w:t>
            </w:r>
            <w:r w:rsidR="006725FB">
              <w:rPr>
                <w:rFonts w:asciiTheme="minorHAnsi" w:eastAsiaTheme="minorEastAsia" w:hAnsiTheme="minorHAnsi"/>
                <w:noProof/>
                <w:sz w:val="22"/>
                <w:lang w:eastAsia="de-DE"/>
              </w:rPr>
              <w:tab/>
            </w:r>
            <w:r w:rsidR="006725FB" w:rsidRPr="00C813F2">
              <w:rPr>
                <w:rStyle w:val="Hyperlink"/>
                <w:noProof/>
              </w:rPr>
              <w:t>Die Potentiale im Diagramm</w:t>
            </w:r>
            <w:r w:rsidR="006725FB">
              <w:rPr>
                <w:noProof/>
                <w:webHidden/>
              </w:rPr>
              <w:tab/>
            </w:r>
            <w:r w:rsidR="006725FB">
              <w:rPr>
                <w:noProof/>
                <w:webHidden/>
              </w:rPr>
              <w:fldChar w:fldCharType="begin"/>
            </w:r>
            <w:r w:rsidR="006725FB">
              <w:rPr>
                <w:noProof/>
                <w:webHidden/>
              </w:rPr>
              <w:instrText xml:space="preserve"> PAGEREF _Toc37075481 \h </w:instrText>
            </w:r>
            <w:r w:rsidR="006725FB">
              <w:rPr>
                <w:noProof/>
                <w:webHidden/>
              </w:rPr>
            </w:r>
            <w:r w:rsidR="006725FB">
              <w:rPr>
                <w:noProof/>
                <w:webHidden/>
              </w:rPr>
              <w:fldChar w:fldCharType="separate"/>
            </w:r>
            <w:r>
              <w:rPr>
                <w:noProof/>
                <w:webHidden/>
              </w:rPr>
              <w:t>3</w:t>
            </w:r>
            <w:r w:rsidR="006725FB">
              <w:rPr>
                <w:noProof/>
                <w:webHidden/>
              </w:rPr>
              <w:fldChar w:fldCharType="end"/>
            </w:r>
          </w:hyperlink>
        </w:p>
        <w:p w14:paraId="108DBE20" w14:textId="31256394" w:rsidR="006725FB" w:rsidRDefault="000861B0">
          <w:pPr>
            <w:pStyle w:val="Verzeichnis1"/>
            <w:tabs>
              <w:tab w:val="left" w:pos="440"/>
              <w:tab w:val="right" w:leader="dot" w:pos="9344"/>
            </w:tabs>
            <w:rPr>
              <w:rFonts w:asciiTheme="minorHAnsi" w:eastAsiaTheme="minorEastAsia" w:hAnsiTheme="minorHAnsi"/>
              <w:noProof/>
              <w:sz w:val="22"/>
              <w:lang w:eastAsia="de-DE"/>
            </w:rPr>
          </w:pPr>
          <w:hyperlink w:anchor="_Toc37075482" w:history="1">
            <w:r w:rsidR="006725FB" w:rsidRPr="00C813F2">
              <w:rPr>
                <w:rStyle w:val="Hyperlink"/>
                <w:noProof/>
              </w:rPr>
              <w:t>2</w:t>
            </w:r>
            <w:r w:rsidR="006725FB">
              <w:rPr>
                <w:rFonts w:asciiTheme="minorHAnsi" w:eastAsiaTheme="minorEastAsia" w:hAnsiTheme="minorHAnsi"/>
                <w:noProof/>
                <w:sz w:val="22"/>
                <w:lang w:eastAsia="de-DE"/>
              </w:rPr>
              <w:tab/>
            </w:r>
            <w:r w:rsidR="006725FB" w:rsidRPr="00C813F2">
              <w:rPr>
                <w:rStyle w:val="Hyperlink"/>
                <w:noProof/>
              </w:rPr>
              <w:t>Experiment: Silicagel als Trockenmittel</w:t>
            </w:r>
            <w:r w:rsidR="006725FB">
              <w:rPr>
                <w:noProof/>
                <w:webHidden/>
              </w:rPr>
              <w:tab/>
            </w:r>
            <w:r w:rsidR="006725FB">
              <w:rPr>
                <w:noProof/>
                <w:webHidden/>
              </w:rPr>
              <w:fldChar w:fldCharType="begin"/>
            </w:r>
            <w:r w:rsidR="006725FB">
              <w:rPr>
                <w:noProof/>
                <w:webHidden/>
              </w:rPr>
              <w:instrText xml:space="preserve"> PAGEREF _Toc37075482 \h </w:instrText>
            </w:r>
            <w:r w:rsidR="006725FB">
              <w:rPr>
                <w:noProof/>
                <w:webHidden/>
              </w:rPr>
            </w:r>
            <w:r w:rsidR="006725FB">
              <w:rPr>
                <w:noProof/>
                <w:webHidden/>
              </w:rPr>
              <w:fldChar w:fldCharType="separate"/>
            </w:r>
            <w:r>
              <w:rPr>
                <w:noProof/>
                <w:webHidden/>
              </w:rPr>
              <w:t>3</w:t>
            </w:r>
            <w:r w:rsidR="006725FB">
              <w:rPr>
                <w:noProof/>
                <w:webHidden/>
              </w:rPr>
              <w:fldChar w:fldCharType="end"/>
            </w:r>
          </w:hyperlink>
        </w:p>
        <w:p w14:paraId="28C38C98" w14:textId="33D2D198" w:rsidR="006725FB" w:rsidRDefault="000861B0">
          <w:pPr>
            <w:pStyle w:val="Verzeichnis1"/>
            <w:tabs>
              <w:tab w:val="left" w:pos="440"/>
              <w:tab w:val="right" w:leader="dot" w:pos="9344"/>
            </w:tabs>
            <w:rPr>
              <w:rFonts w:asciiTheme="minorHAnsi" w:eastAsiaTheme="minorEastAsia" w:hAnsiTheme="minorHAnsi"/>
              <w:noProof/>
              <w:sz w:val="22"/>
              <w:lang w:eastAsia="de-DE"/>
            </w:rPr>
          </w:pPr>
          <w:hyperlink w:anchor="_Toc37075483" w:history="1">
            <w:r w:rsidR="006725FB" w:rsidRPr="00C813F2">
              <w:rPr>
                <w:rStyle w:val="Hyperlink"/>
                <w:noProof/>
              </w:rPr>
              <w:t>3</w:t>
            </w:r>
            <w:r w:rsidR="006725FB">
              <w:rPr>
                <w:rFonts w:asciiTheme="minorHAnsi" w:eastAsiaTheme="minorEastAsia" w:hAnsiTheme="minorHAnsi"/>
                <w:noProof/>
                <w:sz w:val="22"/>
                <w:lang w:eastAsia="de-DE"/>
              </w:rPr>
              <w:tab/>
            </w:r>
            <w:r w:rsidR="006725FB" w:rsidRPr="00C813F2">
              <w:rPr>
                <w:rStyle w:val="Hyperlink"/>
                <w:noProof/>
              </w:rPr>
              <w:t>Beschreibung der Adsorption durch ausgewählte Parameter</w:t>
            </w:r>
            <w:r w:rsidR="006725FB">
              <w:rPr>
                <w:noProof/>
                <w:webHidden/>
              </w:rPr>
              <w:tab/>
            </w:r>
            <w:r w:rsidR="006725FB">
              <w:rPr>
                <w:noProof/>
                <w:webHidden/>
              </w:rPr>
              <w:fldChar w:fldCharType="begin"/>
            </w:r>
            <w:r w:rsidR="006725FB">
              <w:rPr>
                <w:noProof/>
                <w:webHidden/>
              </w:rPr>
              <w:instrText xml:space="preserve"> PAGEREF _Toc37075483 \h </w:instrText>
            </w:r>
            <w:r w:rsidR="006725FB">
              <w:rPr>
                <w:noProof/>
                <w:webHidden/>
              </w:rPr>
            </w:r>
            <w:r w:rsidR="006725FB">
              <w:rPr>
                <w:noProof/>
                <w:webHidden/>
              </w:rPr>
              <w:fldChar w:fldCharType="separate"/>
            </w:r>
            <w:r>
              <w:rPr>
                <w:noProof/>
                <w:webHidden/>
              </w:rPr>
              <w:t>4</w:t>
            </w:r>
            <w:r w:rsidR="006725FB">
              <w:rPr>
                <w:noProof/>
                <w:webHidden/>
              </w:rPr>
              <w:fldChar w:fldCharType="end"/>
            </w:r>
          </w:hyperlink>
        </w:p>
        <w:p w14:paraId="70F57B2F" w14:textId="01C00066" w:rsidR="006725FB" w:rsidRDefault="000861B0">
          <w:pPr>
            <w:pStyle w:val="Verzeichnis2"/>
            <w:tabs>
              <w:tab w:val="left" w:pos="880"/>
              <w:tab w:val="right" w:leader="dot" w:pos="9344"/>
            </w:tabs>
            <w:rPr>
              <w:rFonts w:asciiTheme="minorHAnsi" w:eastAsiaTheme="minorEastAsia" w:hAnsiTheme="minorHAnsi"/>
              <w:noProof/>
              <w:sz w:val="22"/>
              <w:lang w:eastAsia="de-DE"/>
            </w:rPr>
          </w:pPr>
          <w:hyperlink w:anchor="_Toc37075484" w:history="1">
            <w:r w:rsidR="006725FB" w:rsidRPr="00C813F2">
              <w:rPr>
                <w:rStyle w:val="Hyperlink"/>
                <w:noProof/>
              </w:rPr>
              <w:t>3.1</w:t>
            </w:r>
            <w:r w:rsidR="006725FB">
              <w:rPr>
                <w:rFonts w:asciiTheme="minorHAnsi" w:eastAsiaTheme="minorEastAsia" w:hAnsiTheme="minorHAnsi"/>
                <w:noProof/>
                <w:sz w:val="22"/>
                <w:lang w:eastAsia="de-DE"/>
              </w:rPr>
              <w:tab/>
            </w:r>
            <w:r w:rsidR="006725FB" w:rsidRPr="00C813F2">
              <w:rPr>
                <w:rStyle w:val="Hyperlink"/>
                <w:noProof/>
              </w:rPr>
              <w:t>Adsorptionswahrscheinlichkeit A</w:t>
            </w:r>
            <w:r w:rsidR="006725FB">
              <w:rPr>
                <w:noProof/>
                <w:webHidden/>
              </w:rPr>
              <w:tab/>
            </w:r>
            <w:r w:rsidR="006725FB">
              <w:rPr>
                <w:noProof/>
                <w:webHidden/>
              </w:rPr>
              <w:fldChar w:fldCharType="begin"/>
            </w:r>
            <w:r w:rsidR="006725FB">
              <w:rPr>
                <w:noProof/>
                <w:webHidden/>
              </w:rPr>
              <w:instrText xml:space="preserve"> PAGEREF _Toc37075484 \h </w:instrText>
            </w:r>
            <w:r w:rsidR="006725FB">
              <w:rPr>
                <w:noProof/>
                <w:webHidden/>
              </w:rPr>
            </w:r>
            <w:r w:rsidR="006725FB">
              <w:rPr>
                <w:noProof/>
                <w:webHidden/>
              </w:rPr>
              <w:fldChar w:fldCharType="separate"/>
            </w:r>
            <w:r>
              <w:rPr>
                <w:noProof/>
                <w:webHidden/>
              </w:rPr>
              <w:t>4</w:t>
            </w:r>
            <w:r w:rsidR="006725FB">
              <w:rPr>
                <w:noProof/>
                <w:webHidden/>
              </w:rPr>
              <w:fldChar w:fldCharType="end"/>
            </w:r>
          </w:hyperlink>
        </w:p>
        <w:p w14:paraId="14839D5B" w14:textId="3CB5B099" w:rsidR="006725FB" w:rsidRDefault="000861B0">
          <w:pPr>
            <w:pStyle w:val="Verzeichnis2"/>
            <w:tabs>
              <w:tab w:val="left" w:pos="880"/>
              <w:tab w:val="right" w:leader="dot" w:pos="9344"/>
            </w:tabs>
            <w:rPr>
              <w:rFonts w:asciiTheme="minorHAnsi" w:eastAsiaTheme="minorEastAsia" w:hAnsiTheme="minorHAnsi"/>
              <w:noProof/>
              <w:sz w:val="22"/>
              <w:lang w:eastAsia="de-DE"/>
            </w:rPr>
          </w:pPr>
          <w:hyperlink w:anchor="_Toc37075485" w:history="1">
            <w:r w:rsidR="006725FB" w:rsidRPr="00C813F2">
              <w:rPr>
                <w:rStyle w:val="Hyperlink"/>
                <w:noProof/>
              </w:rPr>
              <w:t>3.2</w:t>
            </w:r>
            <w:r w:rsidR="006725FB">
              <w:rPr>
                <w:rFonts w:asciiTheme="minorHAnsi" w:eastAsiaTheme="minorEastAsia" w:hAnsiTheme="minorHAnsi"/>
                <w:noProof/>
                <w:sz w:val="22"/>
                <w:lang w:eastAsia="de-DE"/>
              </w:rPr>
              <w:tab/>
            </w:r>
            <w:r w:rsidR="006725FB" w:rsidRPr="00C813F2">
              <w:rPr>
                <w:rStyle w:val="Hyperlink"/>
                <w:noProof/>
              </w:rPr>
              <w:t xml:space="preserve">Bedeckungsgrad </w:t>
            </w:r>
            <w:r w:rsidR="006725FB" w:rsidRPr="00C813F2">
              <w:rPr>
                <w:rStyle w:val="Hyperlink"/>
                <w:rFonts w:cstheme="majorHAnsi"/>
                <w:noProof/>
              </w:rPr>
              <w:t>θ</w:t>
            </w:r>
            <w:r w:rsidR="006725FB">
              <w:rPr>
                <w:noProof/>
                <w:webHidden/>
              </w:rPr>
              <w:tab/>
            </w:r>
            <w:r w:rsidR="006725FB">
              <w:rPr>
                <w:noProof/>
                <w:webHidden/>
              </w:rPr>
              <w:fldChar w:fldCharType="begin"/>
            </w:r>
            <w:r w:rsidR="006725FB">
              <w:rPr>
                <w:noProof/>
                <w:webHidden/>
              </w:rPr>
              <w:instrText xml:space="preserve"> PAGEREF _Toc37075485 \h </w:instrText>
            </w:r>
            <w:r w:rsidR="006725FB">
              <w:rPr>
                <w:noProof/>
                <w:webHidden/>
              </w:rPr>
            </w:r>
            <w:r w:rsidR="006725FB">
              <w:rPr>
                <w:noProof/>
                <w:webHidden/>
              </w:rPr>
              <w:fldChar w:fldCharType="separate"/>
            </w:r>
            <w:r>
              <w:rPr>
                <w:noProof/>
                <w:webHidden/>
              </w:rPr>
              <w:t>5</w:t>
            </w:r>
            <w:r w:rsidR="006725FB">
              <w:rPr>
                <w:noProof/>
                <w:webHidden/>
              </w:rPr>
              <w:fldChar w:fldCharType="end"/>
            </w:r>
          </w:hyperlink>
        </w:p>
        <w:p w14:paraId="18387976" w14:textId="61B0F943" w:rsidR="006725FB" w:rsidRDefault="000861B0">
          <w:pPr>
            <w:pStyle w:val="Verzeichnis1"/>
            <w:tabs>
              <w:tab w:val="left" w:pos="440"/>
              <w:tab w:val="right" w:leader="dot" w:pos="9344"/>
            </w:tabs>
            <w:rPr>
              <w:rFonts w:asciiTheme="minorHAnsi" w:eastAsiaTheme="minorEastAsia" w:hAnsiTheme="minorHAnsi"/>
              <w:noProof/>
              <w:sz w:val="22"/>
              <w:lang w:eastAsia="de-DE"/>
            </w:rPr>
          </w:pPr>
          <w:hyperlink w:anchor="_Toc37075486" w:history="1">
            <w:r w:rsidR="006725FB" w:rsidRPr="00C813F2">
              <w:rPr>
                <w:rStyle w:val="Hyperlink"/>
                <w:noProof/>
              </w:rPr>
              <w:t>4</w:t>
            </w:r>
            <w:r w:rsidR="006725FB">
              <w:rPr>
                <w:rFonts w:asciiTheme="minorHAnsi" w:eastAsiaTheme="minorEastAsia" w:hAnsiTheme="minorHAnsi"/>
                <w:noProof/>
                <w:sz w:val="22"/>
                <w:lang w:eastAsia="de-DE"/>
              </w:rPr>
              <w:tab/>
            </w:r>
            <w:r w:rsidR="006725FB" w:rsidRPr="00C813F2">
              <w:rPr>
                <w:rStyle w:val="Hyperlink"/>
                <w:noProof/>
              </w:rPr>
              <w:t>Nachteile von Adsorption zu Trocken</w:t>
            </w:r>
            <w:r w:rsidR="006725FB">
              <w:rPr>
                <w:noProof/>
                <w:webHidden/>
              </w:rPr>
              <w:tab/>
            </w:r>
            <w:r w:rsidR="006725FB">
              <w:rPr>
                <w:noProof/>
                <w:webHidden/>
              </w:rPr>
              <w:fldChar w:fldCharType="begin"/>
            </w:r>
            <w:r w:rsidR="006725FB">
              <w:rPr>
                <w:noProof/>
                <w:webHidden/>
              </w:rPr>
              <w:instrText xml:space="preserve"> PAGEREF _Toc37075486 \h </w:instrText>
            </w:r>
            <w:r w:rsidR="006725FB">
              <w:rPr>
                <w:noProof/>
                <w:webHidden/>
              </w:rPr>
            </w:r>
            <w:r w:rsidR="006725FB">
              <w:rPr>
                <w:noProof/>
                <w:webHidden/>
              </w:rPr>
              <w:fldChar w:fldCharType="separate"/>
            </w:r>
            <w:r>
              <w:rPr>
                <w:noProof/>
                <w:webHidden/>
              </w:rPr>
              <w:t>5</w:t>
            </w:r>
            <w:r w:rsidR="006725FB">
              <w:rPr>
                <w:noProof/>
                <w:webHidden/>
              </w:rPr>
              <w:fldChar w:fldCharType="end"/>
            </w:r>
          </w:hyperlink>
        </w:p>
        <w:p w14:paraId="49986FB2" w14:textId="77777777" w:rsidR="007F6431" w:rsidRDefault="007F6431">
          <w:r>
            <w:rPr>
              <w:b/>
              <w:bCs/>
            </w:rPr>
            <w:fldChar w:fldCharType="end"/>
          </w:r>
        </w:p>
      </w:sdtContent>
    </w:sdt>
    <w:p w14:paraId="7801D29B" w14:textId="77777777" w:rsidR="006C1A62" w:rsidRDefault="006C1A62" w:rsidP="00E47D77">
      <w:pPr>
        <w:pStyle w:val="Bilder"/>
      </w:pPr>
      <w:bookmarkStart w:id="0" w:name="_Überschrift_1"/>
      <w:bookmarkEnd w:id="0"/>
      <w:r>
        <w:drawing>
          <wp:inline distT="0" distB="0" distL="0" distR="0" wp14:anchorId="6AF3F906" wp14:editId="2CA53DB6">
            <wp:extent cx="2870199" cy="2152650"/>
            <wp:effectExtent l="0" t="0" r="698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0359" cy="2175270"/>
                    </a:xfrm>
                    <a:prstGeom prst="rect">
                      <a:avLst/>
                    </a:prstGeom>
                    <a:noFill/>
                    <a:ln>
                      <a:noFill/>
                    </a:ln>
                  </pic:spPr>
                </pic:pic>
              </a:graphicData>
            </a:graphic>
          </wp:inline>
        </w:drawing>
      </w:r>
    </w:p>
    <w:p w14:paraId="78F9876E" w14:textId="6C54945C" w:rsidR="00086A99" w:rsidRDefault="00086A99" w:rsidP="006C1A62">
      <w:pPr>
        <w:pStyle w:val="Beschriftung"/>
      </w:pPr>
      <w:bookmarkStart w:id="1" w:name="_Ref37052381"/>
      <w:r>
        <w:t xml:space="preserve">Abb. </w:t>
      </w:r>
      <w:fldSimple w:instr=" SEQ Abb. \* ARABIC ">
        <w:r w:rsidR="000861B0">
          <w:rPr>
            <w:noProof/>
          </w:rPr>
          <w:t>1</w:t>
        </w:r>
      </w:fldSimple>
      <w:bookmarkEnd w:id="1"/>
      <w:r>
        <w:t>: Luftaufnahme des Hochwassers in Passau [3]</w:t>
      </w:r>
      <w:r w:rsidR="006725FB">
        <w:br/>
      </w:r>
      <w:r w:rsidR="006725FB" w:rsidRPr="006725FB">
        <w:t>https://commons.wikimedia.org/wiki/User:High_Contrast/Created_by_me?uselang=de</w:t>
      </w:r>
    </w:p>
    <w:p w14:paraId="17CD825F" w14:textId="77777777" w:rsidR="00086A99" w:rsidRDefault="00086A99" w:rsidP="006725FB">
      <w:pPr>
        <w:pStyle w:val="EinstiegAbschluss"/>
        <w:spacing w:before="0"/>
      </w:pPr>
      <w:r>
        <w:t>Passau, Juni 2013 – Bilder von schockierendem Hochwasser gehen durch die Medien. Wochen später sind die ersten Wasser-Massen wieder weg; die Gebäude sind durchnässt und sie trocken zu heizen kostet Unmengen an Heizöl und Zeit…</w:t>
      </w:r>
      <w:r>
        <w:br/>
        <w:t>Man sieht oft, vor allem im Winter, angelaufene Scheiben. Wenn nun das Wasser an kalten Oberflächen kondensiert, kann man es von dieser Oberfläche entfernen. Doch niemand baut zu diesem Zweck Fenster aus und wieder ein, noch dazu wäre die Oberfläche für die Wasser-Mengen viel zu klein. Wenn man also eine sehr große Oberfläche braucht, hat man als Chemikerin von großen inneren Oberflächen zumindest schon gehört und weiß, man bindet diese in Zeolithen und Silicagel (=Kieselgel). Dabei lagert sich das Wasser-Molekül in die Lücken des Gerüsts ein, Wasser und Gerüst bleiben unverändert. Das Wasser hat dadurch einen Vorteil – es adsorbiert.</w:t>
      </w:r>
    </w:p>
    <w:p w14:paraId="420F3048" w14:textId="77777777" w:rsidR="009F1C6B" w:rsidRPr="009F1C6B" w:rsidRDefault="009F1C6B" w:rsidP="009F1C6B">
      <w:r w:rsidRPr="009F1C6B">
        <w:br w:type="page"/>
      </w:r>
    </w:p>
    <w:p w14:paraId="5BBC15B8" w14:textId="77777777" w:rsidR="00086A99" w:rsidRDefault="00086A99" w:rsidP="00086A99">
      <w:pPr>
        <w:pStyle w:val="berschrift1"/>
      </w:pPr>
      <w:bookmarkStart w:id="2" w:name="_Toc37075478"/>
      <w:r>
        <w:lastRenderedPageBreak/>
        <w:t>Physisorption und Chemisorption im Vergleich</w:t>
      </w:r>
      <w:bookmarkEnd w:id="2"/>
    </w:p>
    <w:p w14:paraId="599A0C55" w14:textId="77777777" w:rsidR="00086A99" w:rsidRDefault="00086A99" w:rsidP="00086A99">
      <w:r>
        <w:t>Adsorption fasst bei genauerer Analyse zwei unterschiedliche Vorgänge zusammen:</w:t>
      </w:r>
    </w:p>
    <w:tbl>
      <w:tblPr>
        <w:tblStyle w:val="Tabellenraster"/>
        <w:tblW w:w="5000" w:type="pct"/>
        <w:tblLook w:val="04A0" w:firstRow="1" w:lastRow="0" w:firstColumn="1" w:lastColumn="0" w:noHBand="0" w:noVBand="1"/>
      </w:tblPr>
      <w:tblGrid>
        <w:gridCol w:w="3008"/>
        <w:gridCol w:w="3553"/>
        <w:gridCol w:w="2783"/>
      </w:tblGrid>
      <w:tr w:rsidR="00086A99" w14:paraId="40ABBEED" w14:textId="77777777" w:rsidTr="002504C3">
        <w:tc>
          <w:tcPr>
            <w:tcW w:w="1610" w:type="pct"/>
            <w:vAlign w:val="center"/>
          </w:tcPr>
          <w:p w14:paraId="05D80694" w14:textId="77777777" w:rsidR="00086A99" w:rsidRDefault="00086A99" w:rsidP="006725FB">
            <w:pPr>
              <w:jc w:val="left"/>
            </w:pPr>
          </w:p>
        </w:tc>
        <w:tc>
          <w:tcPr>
            <w:tcW w:w="1901" w:type="pct"/>
            <w:shd w:val="clear" w:color="auto" w:fill="D0CECE" w:themeFill="background2" w:themeFillShade="E6"/>
            <w:vAlign w:val="center"/>
          </w:tcPr>
          <w:p w14:paraId="4B810C3E" w14:textId="77777777" w:rsidR="00086A99" w:rsidRPr="002504C3" w:rsidRDefault="00086A99" w:rsidP="002504C3">
            <w:pPr>
              <w:pStyle w:val="Blau"/>
              <w:jc w:val="center"/>
              <w:rPr>
                <w:rStyle w:val="Fett"/>
              </w:rPr>
            </w:pPr>
            <w:r w:rsidRPr="002504C3">
              <w:rPr>
                <w:rStyle w:val="Fett"/>
              </w:rPr>
              <w:t>Physisorption</w:t>
            </w:r>
          </w:p>
        </w:tc>
        <w:tc>
          <w:tcPr>
            <w:tcW w:w="1489" w:type="pct"/>
            <w:shd w:val="clear" w:color="auto" w:fill="D0CECE" w:themeFill="background2" w:themeFillShade="E6"/>
            <w:vAlign w:val="center"/>
          </w:tcPr>
          <w:p w14:paraId="30BF945F" w14:textId="77777777" w:rsidR="00086A99" w:rsidRPr="002504C3" w:rsidRDefault="00086A99" w:rsidP="002504C3">
            <w:pPr>
              <w:pStyle w:val="Grn"/>
              <w:jc w:val="center"/>
              <w:rPr>
                <w:rStyle w:val="Fett"/>
              </w:rPr>
            </w:pPr>
            <w:r w:rsidRPr="002504C3">
              <w:rPr>
                <w:rStyle w:val="Fett"/>
              </w:rPr>
              <w:t>Chemisorption</w:t>
            </w:r>
          </w:p>
        </w:tc>
      </w:tr>
      <w:tr w:rsidR="00086A99" w14:paraId="7FC7DF45" w14:textId="77777777" w:rsidTr="002504C3">
        <w:tc>
          <w:tcPr>
            <w:tcW w:w="1610" w:type="pct"/>
            <w:shd w:val="clear" w:color="auto" w:fill="D0CECE" w:themeFill="background2" w:themeFillShade="E6"/>
            <w:vAlign w:val="center"/>
          </w:tcPr>
          <w:p w14:paraId="17C86FB4" w14:textId="77777777" w:rsidR="00086A99" w:rsidRDefault="00086A99" w:rsidP="006725FB">
            <w:pPr>
              <w:jc w:val="left"/>
            </w:pPr>
            <w:r>
              <w:t>Kinetik der Aktivierung</w:t>
            </w:r>
          </w:p>
        </w:tc>
        <w:tc>
          <w:tcPr>
            <w:tcW w:w="1901" w:type="pct"/>
            <w:vAlign w:val="center"/>
          </w:tcPr>
          <w:p w14:paraId="7F720B8D" w14:textId="77777777" w:rsidR="00086A99" w:rsidRDefault="00086A99" w:rsidP="002504C3">
            <w:pPr>
              <w:pStyle w:val="Blau"/>
              <w:jc w:val="center"/>
            </w:pPr>
            <w:r>
              <w:t>nicht aktiviert</w:t>
            </w:r>
          </w:p>
        </w:tc>
        <w:tc>
          <w:tcPr>
            <w:tcW w:w="1489" w:type="pct"/>
            <w:vAlign w:val="center"/>
          </w:tcPr>
          <w:p w14:paraId="55322525" w14:textId="77777777" w:rsidR="00086A99" w:rsidRDefault="00086A99" w:rsidP="002504C3">
            <w:pPr>
              <w:pStyle w:val="Grn"/>
              <w:jc w:val="center"/>
            </w:pPr>
            <w:r>
              <w:t>aktiviert</w:t>
            </w:r>
          </w:p>
        </w:tc>
      </w:tr>
      <w:tr w:rsidR="00086A99" w14:paraId="7EA2FF89" w14:textId="77777777" w:rsidTr="002504C3">
        <w:tc>
          <w:tcPr>
            <w:tcW w:w="1610" w:type="pct"/>
            <w:shd w:val="clear" w:color="auto" w:fill="D0CECE" w:themeFill="background2" w:themeFillShade="E6"/>
            <w:vAlign w:val="center"/>
          </w:tcPr>
          <w:p w14:paraId="31CD4A4F" w14:textId="77777777" w:rsidR="00086A99" w:rsidRDefault="00086A99" w:rsidP="006725FB">
            <w:pPr>
              <w:jc w:val="left"/>
            </w:pPr>
            <w:r>
              <w:t>Mögliche Schichten</w:t>
            </w:r>
          </w:p>
        </w:tc>
        <w:tc>
          <w:tcPr>
            <w:tcW w:w="1901" w:type="pct"/>
            <w:vAlign w:val="center"/>
          </w:tcPr>
          <w:p w14:paraId="2BA89670" w14:textId="77777777" w:rsidR="00086A99" w:rsidRDefault="00086A99" w:rsidP="002504C3">
            <w:pPr>
              <w:pStyle w:val="Blau"/>
              <w:jc w:val="center"/>
            </w:pPr>
            <w:r>
              <w:t>Mono-/Multi-Schichten</w:t>
            </w:r>
          </w:p>
        </w:tc>
        <w:tc>
          <w:tcPr>
            <w:tcW w:w="1489" w:type="pct"/>
            <w:vAlign w:val="center"/>
          </w:tcPr>
          <w:p w14:paraId="7DA00314" w14:textId="77777777" w:rsidR="00086A99" w:rsidRDefault="00086A99" w:rsidP="002504C3">
            <w:pPr>
              <w:pStyle w:val="Grn"/>
              <w:jc w:val="center"/>
            </w:pPr>
            <w:r>
              <w:t>Mono-Schichten</w:t>
            </w:r>
          </w:p>
        </w:tc>
      </w:tr>
      <w:tr w:rsidR="00086A99" w14:paraId="71D539D8" w14:textId="77777777" w:rsidTr="002504C3">
        <w:tc>
          <w:tcPr>
            <w:tcW w:w="1610" w:type="pct"/>
            <w:shd w:val="clear" w:color="auto" w:fill="D0CECE" w:themeFill="background2" w:themeFillShade="E6"/>
            <w:vAlign w:val="center"/>
          </w:tcPr>
          <w:p w14:paraId="4E3232EA" w14:textId="77777777" w:rsidR="00086A99" w:rsidRDefault="00086A99" w:rsidP="006725FB">
            <w:pPr>
              <w:jc w:val="left"/>
            </w:pPr>
            <w:r>
              <w:t>Intermolekulare Kräfte</w:t>
            </w:r>
          </w:p>
        </w:tc>
        <w:tc>
          <w:tcPr>
            <w:tcW w:w="1901" w:type="pct"/>
            <w:vAlign w:val="center"/>
          </w:tcPr>
          <w:p w14:paraId="76D8167E" w14:textId="77777777" w:rsidR="00086A99" w:rsidRDefault="00086A99" w:rsidP="002504C3">
            <w:pPr>
              <w:pStyle w:val="Blau"/>
              <w:jc w:val="center"/>
            </w:pPr>
            <w:r>
              <w:t>Van-der-Waal / Dipol-WW</w:t>
            </w:r>
          </w:p>
        </w:tc>
        <w:tc>
          <w:tcPr>
            <w:tcW w:w="1489" w:type="pct"/>
            <w:vAlign w:val="center"/>
          </w:tcPr>
          <w:p w14:paraId="5AE3D7A8" w14:textId="77777777" w:rsidR="00086A99" w:rsidRDefault="002504C3" w:rsidP="002504C3">
            <w:pPr>
              <w:pStyle w:val="Grn"/>
              <w:jc w:val="center"/>
            </w:pPr>
            <w:r>
              <w:t>ionisch / kovalent</w:t>
            </w:r>
          </w:p>
        </w:tc>
      </w:tr>
      <w:tr w:rsidR="00086A99" w14:paraId="08EFB89F" w14:textId="77777777" w:rsidTr="002504C3">
        <w:tc>
          <w:tcPr>
            <w:tcW w:w="1610" w:type="pct"/>
            <w:shd w:val="clear" w:color="auto" w:fill="D0CECE" w:themeFill="background2" w:themeFillShade="E6"/>
            <w:vAlign w:val="center"/>
          </w:tcPr>
          <w:p w14:paraId="1C19104D" w14:textId="77777777" w:rsidR="00086A99" w:rsidRDefault="002504C3" w:rsidP="006725FB">
            <w:pPr>
              <w:jc w:val="left"/>
            </w:pPr>
            <w:r>
              <w:t>Spezifische Wirksamkeit</w:t>
            </w:r>
          </w:p>
        </w:tc>
        <w:tc>
          <w:tcPr>
            <w:tcW w:w="1901" w:type="pct"/>
            <w:vAlign w:val="center"/>
          </w:tcPr>
          <w:p w14:paraId="08932521" w14:textId="77777777" w:rsidR="00086A99" w:rsidRDefault="002504C3" w:rsidP="002504C3">
            <w:pPr>
              <w:pStyle w:val="Blau"/>
              <w:jc w:val="center"/>
            </w:pPr>
            <w:r>
              <w:t>Nicht spezifisch</w:t>
            </w:r>
            <w:r>
              <w:br/>
              <w:t>(bei niedrigen Temperaturen)</w:t>
            </w:r>
          </w:p>
        </w:tc>
        <w:tc>
          <w:tcPr>
            <w:tcW w:w="1489" w:type="pct"/>
            <w:vAlign w:val="center"/>
          </w:tcPr>
          <w:p w14:paraId="10041D96" w14:textId="77777777" w:rsidR="00086A99" w:rsidRDefault="002504C3" w:rsidP="002504C3">
            <w:pPr>
              <w:pStyle w:val="Grn"/>
              <w:jc w:val="center"/>
            </w:pPr>
            <w:r>
              <w:t>Abhängig von</w:t>
            </w:r>
            <w:r>
              <w:br/>
              <w:t>Adsorptionsoberfläche</w:t>
            </w:r>
          </w:p>
        </w:tc>
      </w:tr>
      <w:tr w:rsidR="002504C3" w14:paraId="0B7BD929" w14:textId="77777777" w:rsidTr="00545130">
        <w:tc>
          <w:tcPr>
            <w:tcW w:w="1610" w:type="pct"/>
            <w:shd w:val="clear" w:color="auto" w:fill="D0CECE" w:themeFill="background2" w:themeFillShade="E6"/>
            <w:vAlign w:val="center"/>
          </w:tcPr>
          <w:p w14:paraId="6F8A56EB" w14:textId="77777777" w:rsidR="002504C3" w:rsidRDefault="002504C3" w:rsidP="006725FB">
            <w:pPr>
              <w:jc w:val="left"/>
            </w:pPr>
            <w:r>
              <w:t>-</w:t>
            </w:r>
            <w:r w:rsidR="00545130">
              <w:t> </w:t>
            </w:r>
            <w:proofErr w:type="spellStart"/>
            <w:r>
              <w:rPr>
                <w:rFonts w:cs="Arial"/>
              </w:rPr>
              <w:t>Δ</w:t>
            </w:r>
            <w:r>
              <w:t>H</w:t>
            </w:r>
            <w:r w:rsidRPr="002504C3">
              <w:rPr>
                <w:vertAlign w:val="subscript"/>
              </w:rPr>
              <w:t>Adsorption</w:t>
            </w:r>
            <w:proofErr w:type="spellEnd"/>
          </w:p>
        </w:tc>
        <w:tc>
          <w:tcPr>
            <w:tcW w:w="1901" w:type="pct"/>
            <w:vAlign w:val="center"/>
          </w:tcPr>
          <w:p w14:paraId="29356730" w14:textId="77777777" w:rsidR="002504C3" w:rsidRDefault="002504C3" w:rsidP="002504C3">
            <w:pPr>
              <w:pStyle w:val="Blau"/>
              <w:jc w:val="center"/>
            </w:pPr>
            <w:r>
              <w:t>~ 10 – 40 kJ/mol</w:t>
            </w:r>
          </w:p>
        </w:tc>
        <w:tc>
          <w:tcPr>
            <w:tcW w:w="1489" w:type="pct"/>
            <w:vAlign w:val="center"/>
          </w:tcPr>
          <w:p w14:paraId="00C472FC" w14:textId="77777777" w:rsidR="002504C3" w:rsidRDefault="002504C3" w:rsidP="002504C3">
            <w:pPr>
              <w:pStyle w:val="Grn"/>
              <w:jc w:val="center"/>
            </w:pPr>
            <w:r>
              <w:t>~ 40 – 1000 kJ/mol</w:t>
            </w:r>
          </w:p>
        </w:tc>
      </w:tr>
    </w:tbl>
    <w:p w14:paraId="2946A26F" w14:textId="77777777" w:rsidR="00086A99" w:rsidRDefault="002504C3" w:rsidP="00086A99">
      <w:r>
        <w:t>Beide wurden auf eine abstrakte und allgemeine Formel-Basis gestellt und deren Potential nach ihren Entdeckern benannt.</w:t>
      </w:r>
    </w:p>
    <w:p w14:paraId="15D24592" w14:textId="77777777" w:rsidR="002504C3" w:rsidRDefault="002504C3" w:rsidP="002504C3">
      <w:pPr>
        <w:pStyle w:val="berschrift2"/>
      </w:pPr>
      <w:bookmarkStart w:id="3" w:name="_Toc37075479"/>
      <w:r>
        <w:t>Lennard-Jones-Potential der Physisorption</w:t>
      </w:r>
      <w:bookmarkEnd w:id="3"/>
    </w:p>
    <w:p w14:paraId="3EC3A793" w14:textId="77777777" w:rsidR="002504C3" w:rsidRDefault="002504C3" w:rsidP="002504C3">
      <w:pPr>
        <w:pStyle w:val="Liste1Aufzhlung"/>
      </w:pPr>
      <w:r>
        <w:t>Wechsel-Wirkung zweier Moleküle in Abhängigkeit von ihrem Abstand r</w:t>
      </w:r>
    </w:p>
    <w:p w14:paraId="73009711" w14:textId="77777777" w:rsidR="002504C3" w:rsidRDefault="002504C3" w:rsidP="002504C3">
      <w:pPr>
        <w:pStyle w:val="Liste1Aufzhlung"/>
      </w:pPr>
      <w:r>
        <w:t>Abstoßende, repulsive Kraft (1/r)</w:t>
      </w:r>
      <w:r w:rsidRPr="002504C3">
        <w:rPr>
          <w:position w:val="6"/>
          <w:vertAlign w:val="superscript"/>
        </w:rPr>
        <w:t>12</w:t>
      </w:r>
      <w:r w:rsidRPr="002504C3">
        <w:t xml:space="preserve"> und</w:t>
      </w:r>
      <w:r>
        <w:t xml:space="preserve"> anziehende, attraktive Kraft (1/r)</w:t>
      </w:r>
      <w:r>
        <w:rPr>
          <w:position w:val="6"/>
          <w:vertAlign w:val="superscript"/>
        </w:rPr>
        <w:t>6</w:t>
      </w:r>
    </w:p>
    <w:p w14:paraId="78B05578" w14:textId="77777777" w:rsidR="002504C3" w:rsidRDefault="002504C3" w:rsidP="002504C3">
      <w:pPr>
        <w:pStyle w:val="Liste1Aufzhlung"/>
      </w:pPr>
      <w:r>
        <w:t>Lennard-Jones-Potential für die Physisorption:</w:t>
      </w:r>
    </w:p>
    <w:p w14:paraId="1FCBC4D2" w14:textId="77777777" w:rsidR="002504C3" w:rsidRPr="00CF4A2E" w:rsidRDefault="000861B0" w:rsidP="00545130">
      <w:pPr>
        <w:pStyle w:val="Bilder"/>
        <w:rPr>
          <w:rFonts w:asciiTheme="minorHAnsi" w:eastAsiaTheme="minorEastAsia" w:hAnsiTheme="minorHAnsi"/>
          <w:szCs w:val="28"/>
        </w:rPr>
      </w:pPr>
      <m:oMathPara>
        <m:oMath>
          <m:sSub>
            <m:sSubPr>
              <m:ctrlPr>
                <w:rPr>
                  <w:rFonts w:ascii="Cambria Math" w:hAnsi="Cambria Math"/>
                  <w:noProof w:val="0"/>
                  <w:szCs w:val="28"/>
                </w:rPr>
              </m:ctrlPr>
            </m:sSubPr>
            <m:e>
              <m:r>
                <m:rPr>
                  <m:nor/>
                </m:rPr>
                <w:rPr>
                  <w:rFonts w:asciiTheme="minorHAnsi" w:hAnsiTheme="minorHAnsi"/>
                  <w:szCs w:val="28"/>
                </w:rPr>
                <m:t>V</m:t>
              </m:r>
            </m:e>
            <m:sub>
              <m:r>
                <m:rPr>
                  <m:nor/>
                </m:rPr>
                <w:rPr>
                  <w:rFonts w:asciiTheme="minorHAnsi" w:hAnsiTheme="minorHAnsi"/>
                  <w:szCs w:val="28"/>
                </w:rPr>
                <m:t>P</m:t>
              </m:r>
            </m:sub>
          </m:sSub>
          <m:d>
            <m:dPr>
              <m:ctrlPr>
                <w:rPr>
                  <w:rFonts w:ascii="Cambria Math" w:hAnsi="Cambria Math"/>
                  <w:szCs w:val="28"/>
                </w:rPr>
              </m:ctrlPr>
            </m:dPr>
            <m:e>
              <m:r>
                <m:rPr>
                  <m:nor/>
                </m:rPr>
                <w:rPr>
                  <w:rFonts w:asciiTheme="minorHAnsi" w:hAnsiTheme="minorHAnsi"/>
                  <w:szCs w:val="28"/>
                </w:rPr>
                <m:t>r</m:t>
              </m:r>
            </m:e>
          </m:d>
          <m:r>
            <m:rPr>
              <m:nor/>
            </m:rPr>
            <w:rPr>
              <w:rFonts w:ascii="Cambria Math" w:hAnsiTheme="minorHAnsi"/>
              <w:szCs w:val="28"/>
            </w:rPr>
            <m:t xml:space="preserve"> </m:t>
          </m:r>
          <m:r>
            <m:rPr>
              <m:nor/>
            </m:rPr>
            <w:rPr>
              <w:rFonts w:asciiTheme="minorHAnsi" w:hAnsiTheme="minorHAnsi"/>
              <w:szCs w:val="28"/>
            </w:rPr>
            <m:t>=</m:t>
          </m:r>
          <m:r>
            <m:rPr>
              <m:nor/>
            </m:rPr>
            <w:rPr>
              <w:rFonts w:ascii="Cambria Math" w:hAnsiTheme="minorHAnsi"/>
              <w:szCs w:val="28"/>
            </w:rPr>
            <m:t xml:space="preserve"> </m:t>
          </m:r>
          <m:r>
            <m:rPr>
              <m:nor/>
            </m:rPr>
            <w:rPr>
              <w:rFonts w:asciiTheme="minorHAnsi" w:hAnsiTheme="minorHAnsi"/>
              <w:szCs w:val="28"/>
            </w:rPr>
            <m:t>4 Δ</m:t>
          </m:r>
          <m:sSub>
            <m:sSubPr>
              <m:ctrlPr>
                <w:rPr>
                  <w:rFonts w:ascii="Cambria Math" w:hAnsi="Cambria Math"/>
                  <w:noProof w:val="0"/>
                  <w:szCs w:val="28"/>
                </w:rPr>
              </m:ctrlPr>
            </m:sSubPr>
            <m:e>
              <m:r>
                <m:rPr>
                  <m:nor/>
                </m:rPr>
                <w:rPr>
                  <w:rFonts w:asciiTheme="minorHAnsi" w:hAnsiTheme="minorHAnsi"/>
                  <w:szCs w:val="28"/>
                </w:rPr>
                <m:t>H</m:t>
              </m:r>
            </m:e>
            <m:sub>
              <m:r>
                <m:rPr>
                  <m:nor/>
                </m:rPr>
                <w:rPr>
                  <w:rFonts w:asciiTheme="minorHAnsi" w:hAnsiTheme="minorHAnsi"/>
                  <w:szCs w:val="28"/>
                </w:rPr>
                <m:t>P</m:t>
              </m:r>
            </m:sub>
          </m:sSub>
          <m:d>
            <m:dPr>
              <m:begChr m:val="["/>
              <m:endChr m:val="]"/>
              <m:ctrlPr>
                <w:rPr>
                  <w:rFonts w:ascii="Cambria Math" w:hAnsi="Cambria Math"/>
                  <w:noProof w:val="0"/>
                  <w:szCs w:val="28"/>
                </w:rPr>
              </m:ctrlPr>
            </m:dPr>
            <m:e>
              <m:sSup>
                <m:sSupPr>
                  <m:ctrlPr>
                    <w:rPr>
                      <w:rFonts w:ascii="Cambria Math" w:hAnsi="Cambria Math"/>
                      <w:noProof w:val="0"/>
                      <w:szCs w:val="28"/>
                    </w:rPr>
                  </m:ctrlPr>
                </m:sSupPr>
                <m:e>
                  <m:r>
                    <m:rPr>
                      <m:nor/>
                    </m:rPr>
                    <w:rPr>
                      <w:rFonts w:asciiTheme="minorHAnsi" w:hAnsiTheme="minorHAnsi"/>
                      <w:szCs w:val="28"/>
                    </w:rPr>
                    <m:t>(</m:t>
                  </m:r>
                  <m:f>
                    <m:fPr>
                      <m:type m:val="lin"/>
                      <m:ctrlPr>
                        <w:rPr>
                          <w:rFonts w:ascii="Cambria Math" w:hAnsi="Cambria Math"/>
                          <w:noProof w:val="0"/>
                          <w:szCs w:val="28"/>
                        </w:rPr>
                      </m:ctrlPr>
                    </m:fPr>
                    <m:num>
                      <m:r>
                        <m:rPr>
                          <m:nor/>
                        </m:rPr>
                        <w:rPr>
                          <w:rFonts w:asciiTheme="minorHAnsi" w:hAnsiTheme="minorHAnsi"/>
                          <w:szCs w:val="28"/>
                        </w:rPr>
                        <m:t>δ</m:t>
                      </m:r>
                    </m:num>
                    <m:den>
                      <m:r>
                        <m:rPr>
                          <m:nor/>
                        </m:rPr>
                        <w:rPr>
                          <w:rFonts w:asciiTheme="minorHAnsi" w:hAnsiTheme="minorHAnsi"/>
                          <w:szCs w:val="28"/>
                        </w:rPr>
                        <m:t>r</m:t>
                      </m:r>
                    </m:den>
                  </m:f>
                  <m:r>
                    <m:rPr>
                      <m:nor/>
                    </m:rPr>
                    <w:rPr>
                      <w:rFonts w:asciiTheme="minorHAnsi" w:hAnsiTheme="minorHAnsi"/>
                      <w:szCs w:val="28"/>
                    </w:rPr>
                    <m:t>)</m:t>
                  </m:r>
                </m:e>
                <m:sup>
                  <m:r>
                    <m:rPr>
                      <m:nor/>
                    </m:rPr>
                    <w:rPr>
                      <w:rFonts w:asciiTheme="minorHAnsi" w:hAnsiTheme="minorHAnsi"/>
                      <w:szCs w:val="28"/>
                    </w:rPr>
                    <m:t>12</m:t>
                  </m:r>
                </m:sup>
              </m:sSup>
              <m:r>
                <m:rPr>
                  <m:nor/>
                </m:rPr>
                <w:rPr>
                  <w:rFonts w:asciiTheme="minorHAnsi" w:hAnsiTheme="minorHAnsi"/>
                  <w:szCs w:val="28"/>
                </w:rPr>
                <m:t>-</m:t>
              </m:r>
              <m:sSup>
                <m:sSupPr>
                  <m:ctrlPr>
                    <w:rPr>
                      <w:rFonts w:ascii="Cambria Math" w:hAnsi="Cambria Math"/>
                      <w:noProof w:val="0"/>
                      <w:szCs w:val="28"/>
                    </w:rPr>
                  </m:ctrlPr>
                </m:sSupPr>
                <m:e>
                  <m:r>
                    <m:rPr>
                      <m:nor/>
                    </m:rPr>
                    <w:rPr>
                      <w:rFonts w:asciiTheme="minorHAnsi" w:hAnsiTheme="minorHAnsi"/>
                      <w:szCs w:val="28"/>
                    </w:rPr>
                    <m:t>(</m:t>
                  </m:r>
                  <m:f>
                    <m:fPr>
                      <m:type m:val="lin"/>
                      <m:ctrlPr>
                        <w:rPr>
                          <w:rFonts w:ascii="Cambria Math" w:hAnsi="Cambria Math"/>
                          <w:noProof w:val="0"/>
                          <w:szCs w:val="28"/>
                        </w:rPr>
                      </m:ctrlPr>
                    </m:fPr>
                    <m:num>
                      <m:r>
                        <m:rPr>
                          <m:nor/>
                        </m:rPr>
                        <w:rPr>
                          <w:rFonts w:asciiTheme="minorHAnsi" w:hAnsiTheme="minorHAnsi"/>
                          <w:szCs w:val="28"/>
                        </w:rPr>
                        <m:t>δ</m:t>
                      </m:r>
                    </m:num>
                    <m:den>
                      <m:r>
                        <m:rPr>
                          <m:nor/>
                        </m:rPr>
                        <w:rPr>
                          <w:rFonts w:asciiTheme="minorHAnsi" w:hAnsiTheme="minorHAnsi"/>
                          <w:szCs w:val="28"/>
                        </w:rPr>
                        <m:t>r</m:t>
                      </m:r>
                    </m:den>
                  </m:f>
                  <m:r>
                    <m:rPr>
                      <m:nor/>
                    </m:rPr>
                    <w:rPr>
                      <w:rFonts w:asciiTheme="minorHAnsi" w:hAnsiTheme="minorHAnsi"/>
                      <w:szCs w:val="28"/>
                    </w:rPr>
                    <m:t>)</m:t>
                  </m:r>
                </m:e>
                <m:sup>
                  <m:r>
                    <m:rPr>
                      <m:nor/>
                    </m:rPr>
                    <w:rPr>
                      <w:rFonts w:asciiTheme="minorHAnsi" w:hAnsiTheme="minorHAnsi"/>
                      <w:szCs w:val="28"/>
                    </w:rPr>
                    <m:t>6</m:t>
                  </m:r>
                </m:sup>
              </m:sSup>
            </m:e>
          </m:d>
        </m:oMath>
      </m:oMathPara>
    </w:p>
    <w:p w14:paraId="674A793D" w14:textId="77777777" w:rsidR="00545130" w:rsidRDefault="00545130" w:rsidP="002504C3">
      <w:pPr>
        <w:rPr>
          <w:rFonts w:asciiTheme="minorHAnsi" w:hAnsiTheme="minorHAnsi" w:cstheme="minorHAnsi"/>
        </w:rPr>
      </w:pPr>
      <w:r>
        <w:rPr>
          <w:rFonts w:asciiTheme="minorHAnsi" w:hAnsiTheme="minorHAnsi" w:cstheme="minorHAnsi"/>
        </w:rPr>
        <w:t>wobei δ = Abstand für V(r) = 0; ΔH</w:t>
      </w:r>
      <w:r w:rsidRPr="00545130">
        <w:rPr>
          <w:rFonts w:asciiTheme="minorHAnsi" w:hAnsiTheme="minorHAnsi" w:cstheme="minorHAnsi"/>
          <w:position w:val="-6"/>
          <w:vertAlign w:val="subscript"/>
        </w:rPr>
        <w:t>P</w:t>
      </w:r>
      <w:r>
        <w:rPr>
          <w:rFonts w:asciiTheme="minorHAnsi" w:hAnsiTheme="minorHAnsi" w:cstheme="minorHAnsi"/>
        </w:rPr>
        <w:t> = Energie-Minimum im Gleichgewichtszustand</w:t>
      </w:r>
    </w:p>
    <w:p w14:paraId="2F1A07E8" w14:textId="77777777" w:rsidR="00CF4A2E" w:rsidRDefault="00CF4A2E" w:rsidP="00CF4A2E">
      <w:pPr>
        <w:pStyle w:val="berschrift2"/>
      </w:pPr>
      <w:bookmarkStart w:id="4" w:name="_Toc37075480"/>
      <w:r>
        <w:t>Morse-Potential der Chemisorption</w:t>
      </w:r>
      <w:bookmarkEnd w:id="4"/>
    </w:p>
    <w:p w14:paraId="14AE1498" w14:textId="77777777" w:rsidR="00CF4A2E" w:rsidRDefault="00CF4A2E" w:rsidP="00CF4A2E">
      <w:pPr>
        <w:pStyle w:val="Liste1Aufzhlung"/>
      </w:pPr>
      <w:r>
        <w:t>Entstehung einer Bindung zwischen adsorbiertem Molekül und Oberfläche, d. h. es findet ein e</w:t>
      </w:r>
      <w:r w:rsidRPr="00CF4A2E">
        <w:rPr>
          <w:position w:val="6"/>
          <w:vertAlign w:val="superscript"/>
        </w:rPr>
        <w:t>-</w:t>
      </w:r>
      <w:r>
        <w:t>-Übergang statt</w:t>
      </w:r>
    </w:p>
    <w:p w14:paraId="7558BF5E" w14:textId="77777777" w:rsidR="00CF4A2E" w:rsidRPr="00CF4A2E" w:rsidRDefault="00CF4A2E" w:rsidP="00CF4A2E">
      <w:pPr>
        <w:pStyle w:val="Liste1Aufzhlung"/>
        <w:spacing w:before="0"/>
        <w:rPr>
          <w:rFonts w:asciiTheme="minorHAnsi" w:hAnsiTheme="minorHAnsi" w:cstheme="minorHAnsi"/>
        </w:rPr>
      </w:pPr>
      <w:r>
        <w:t xml:space="preserve">Thermodynamische Betrachtung: </w:t>
      </w:r>
      <w:r w:rsidR="00745645">
        <w:t>Enthalpie</w:t>
      </w:r>
      <w:r>
        <w:t>-Gleichung nach Gibbs (wobei T in Kelvin angegeben wird):</w:t>
      </w:r>
    </w:p>
    <w:p w14:paraId="68B2632B" w14:textId="77777777" w:rsidR="00CF4A2E" w:rsidRPr="00CF4A2E" w:rsidRDefault="00CF4A2E" w:rsidP="00CF4A2E">
      <w:pPr>
        <w:pStyle w:val="Bilder"/>
        <w:rPr>
          <w:rFonts w:eastAsiaTheme="minorEastAsia" w:cs="Arial"/>
          <w:szCs w:val="28"/>
        </w:rPr>
      </w:pPr>
      <m:oMathPara>
        <m:oMath>
          <m:r>
            <m:rPr>
              <m:nor/>
            </m:rPr>
            <w:rPr>
              <w:rFonts w:cs="Arial"/>
              <w:szCs w:val="28"/>
            </w:rPr>
            <m:t>ΔG</m:t>
          </m:r>
          <m:r>
            <m:rPr>
              <m:nor/>
            </m:rPr>
            <w:rPr>
              <w:rFonts w:ascii="Cambria Math" w:cs="Arial"/>
              <w:szCs w:val="28"/>
            </w:rPr>
            <m:t xml:space="preserve"> </m:t>
          </m:r>
          <m:r>
            <m:rPr>
              <m:nor/>
            </m:rPr>
            <w:rPr>
              <w:rFonts w:cs="Arial"/>
              <w:szCs w:val="28"/>
            </w:rPr>
            <m:t>=</m:t>
          </m:r>
          <m:r>
            <m:rPr>
              <m:nor/>
            </m:rPr>
            <w:rPr>
              <w:rFonts w:ascii="Cambria Math" w:cs="Arial"/>
              <w:szCs w:val="28"/>
            </w:rPr>
            <m:t xml:space="preserve"> </m:t>
          </m:r>
          <m:r>
            <m:rPr>
              <m:nor/>
            </m:rPr>
            <w:rPr>
              <w:rFonts w:cs="Arial"/>
              <w:szCs w:val="28"/>
            </w:rPr>
            <m:t>ΔH</m:t>
          </m:r>
          <m:r>
            <m:rPr>
              <m:nor/>
            </m:rPr>
            <w:rPr>
              <w:rFonts w:ascii="Cambria Math" w:cs="Arial"/>
              <w:szCs w:val="28"/>
            </w:rPr>
            <m:t xml:space="preserve"> </m:t>
          </m:r>
          <m:r>
            <m:rPr>
              <m:nor/>
            </m:rPr>
            <w:rPr>
              <w:rFonts w:ascii="Cambria Math" w:cs="Arial"/>
              <w:szCs w:val="28"/>
            </w:rPr>
            <m:t>–</m:t>
          </m:r>
          <m:r>
            <m:rPr>
              <m:nor/>
            </m:rPr>
            <w:rPr>
              <w:rFonts w:ascii="Cambria Math" w:cs="Arial"/>
              <w:szCs w:val="28"/>
            </w:rPr>
            <m:t xml:space="preserve"> </m:t>
          </m:r>
          <m:r>
            <m:rPr>
              <m:nor/>
            </m:rPr>
            <w:rPr>
              <w:rFonts w:cs="Arial"/>
              <w:szCs w:val="28"/>
            </w:rPr>
            <m:t>TΔS</m:t>
          </m:r>
        </m:oMath>
      </m:oMathPara>
    </w:p>
    <w:p w14:paraId="1E9369BA" w14:textId="77777777" w:rsidR="00CF4A2E" w:rsidRPr="00CF4A2E" w:rsidRDefault="00CF4A2E" w:rsidP="00CF4A2E">
      <w:pPr>
        <w:pStyle w:val="Liste1Aufzhlung"/>
        <w:rPr>
          <w:rFonts w:cs="Arial"/>
        </w:rPr>
      </w:pPr>
      <w:r>
        <w:t xml:space="preserve">Dabei soll </w:t>
      </w:r>
      <m:oMath>
        <m:r>
          <m:rPr>
            <m:nor/>
          </m:rPr>
          <w:rPr>
            <w:rFonts w:cs="Arial"/>
          </w:rPr>
          <m:t>ΔG &lt; 0</m:t>
        </m:r>
      </m:oMath>
      <w:r>
        <w:rPr>
          <w:rFonts w:eastAsiaTheme="minorEastAsia"/>
        </w:rPr>
        <w:t xml:space="preserve"> sein zum Energie-Gewinn für das System, T &gt; 0 (gilt immer per </w:t>
      </w:r>
      <w:r w:rsidR="00745645">
        <w:rPr>
          <w:rFonts w:eastAsiaTheme="minorEastAsia"/>
        </w:rPr>
        <w:t>Definition</w:t>
      </w:r>
      <w:r>
        <w:rPr>
          <w:rFonts w:eastAsiaTheme="minorEastAsia"/>
        </w:rPr>
        <w:t xml:space="preserve">) und </w:t>
      </w:r>
      <m:oMath>
        <m:r>
          <m:rPr>
            <m:nor/>
          </m:rPr>
          <w:rPr>
            <w:rFonts w:eastAsiaTheme="minorEastAsia" w:cs="Arial"/>
          </w:rPr>
          <m:t>ΔS &lt; 0</m:t>
        </m:r>
      </m:oMath>
      <w:r>
        <w:rPr>
          <w:rFonts w:eastAsiaTheme="minorEastAsia"/>
        </w:rPr>
        <w:t xml:space="preserve">, da durch Adsorption </w:t>
      </w:r>
      <w:r w:rsidR="00745645">
        <w:rPr>
          <w:rFonts w:eastAsiaTheme="minorEastAsia"/>
        </w:rPr>
        <w:t>Freiheitsgrade</w:t>
      </w:r>
      <w:r>
        <w:rPr>
          <w:rFonts w:eastAsiaTheme="minorEastAsia"/>
        </w:rPr>
        <w:t xml:space="preserve"> verloren gehen</w:t>
      </w:r>
    </w:p>
    <w:p w14:paraId="184BB6C6" w14:textId="77777777" w:rsidR="00CF4A2E" w:rsidRPr="00CF4A2E" w:rsidRDefault="00CF4A2E" w:rsidP="00CF4A2E">
      <w:pPr>
        <w:pStyle w:val="Liste1Aufzhlung"/>
        <w:rPr>
          <w:rFonts w:cs="Arial"/>
        </w:rPr>
      </w:pPr>
      <w:r>
        <w:rPr>
          <w:rFonts w:eastAsiaTheme="minorEastAsia"/>
        </w:rPr>
        <w:t xml:space="preserve">Aufgrund dieser Überlegungen muss </w:t>
      </w:r>
      <m:oMath>
        <m:r>
          <m:rPr>
            <m:nor/>
          </m:rPr>
          <w:rPr>
            <w:rFonts w:eastAsiaTheme="minorEastAsia" w:cs="Arial"/>
          </w:rPr>
          <m:t>ΔH &lt; 0</m:t>
        </m:r>
      </m:oMath>
      <w:r>
        <w:rPr>
          <w:rFonts w:eastAsiaTheme="minorEastAsia"/>
        </w:rPr>
        <w:t>, deshalb ist die Chemisorption exotherm</w:t>
      </w:r>
    </w:p>
    <w:p w14:paraId="2BAF983B" w14:textId="77777777" w:rsidR="00CF4A2E" w:rsidRPr="00CF4A2E" w:rsidRDefault="00CF4A2E" w:rsidP="00CF4A2E">
      <w:pPr>
        <w:pStyle w:val="Liste1Aufzhlung"/>
        <w:rPr>
          <w:rFonts w:cs="Arial"/>
        </w:rPr>
      </w:pPr>
      <w:r>
        <w:rPr>
          <w:rFonts w:eastAsiaTheme="minorEastAsia"/>
        </w:rPr>
        <w:t>Beschreibung durch Morse-Potential</w:t>
      </w:r>
    </w:p>
    <w:p w14:paraId="0A6FE228" w14:textId="77777777" w:rsidR="00CF4A2E" w:rsidRPr="007F6431" w:rsidRDefault="000861B0" w:rsidP="00CF4A2E">
      <w:pPr>
        <w:pStyle w:val="Bilder"/>
        <w:rPr>
          <w:rFonts w:eastAsiaTheme="minorEastAsia" w:cs="Arial"/>
          <w:lang w:val="it-IT"/>
        </w:rPr>
      </w:pPr>
      <m:oMathPara>
        <m:oMath>
          <m:sSub>
            <m:sSubPr>
              <m:ctrlPr>
                <w:rPr>
                  <w:rFonts w:ascii="Cambria Math" w:hAnsi="Cambria Math" w:cs="Arial"/>
                  <w:i/>
                </w:rPr>
              </m:ctrlPr>
            </m:sSubPr>
            <m:e>
              <m:r>
                <m:rPr>
                  <m:nor/>
                </m:rPr>
                <w:rPr>
                  <w:rFonts w:cs="Arial"/>
                  <w:lang w:val="it-IT"/>
                </w:rPr>
                <m:t>V</m:t>
              </m:r>
            </m:e>
            <m:sub>
              <m:r>
                <m:rPr>
                  <m:nor/>
                </m:rPr>
                <w:rPr>
                  <w:rFonts w:cs="Arial"/>
                  <w:lang w:val="it-IT"/>
                </w:rPr>
                <m:t>C</m:t>
              </m:r>
            </m:sub>
          </m:sSub>
          <m:d>
            <m:dPr>
              <m:ctrlPr>
                <w:rPr>
                  <w:rFonts w:ascii="Cambria Math" w:hAnsi="Cambria Math" w:cs="Arial"/>
                  <w:i/>
                </w:rPr>
              </m:ctrlPr>
            </m:dPr>
            <m:e>
              <m:r>
                <m:rPr>
                  <m:nor/>
                </m:rPr>
                <w:rPr>
                  <w:rFonts w:cs="Arial"/>
                  <w:lang w:val="it-IT"/>
                </w:rPr>
                <m:t>r</m:t>
              </m:r>
            </m:e>
          </m:d>
          <m:r>
            <m:rPr>
              <m:nor/>
            </m:rPr>
            <w:rPr>
              <w:rFonts w:ascii="Cambria Math" w:cs="Arial"/>
              <w:lang w:val="it-IT"/>
            </w:rPr>
            <m:t xml:space="preserve"> </m:t>
          </m:r>
          <m:r>
            <m:rPr>
              <m:nor/>
            </m:rPr>
            <w:rPr>
              <w:rFonts w:cs="Arial"/>
              <w:lang w:val="it-IT"/>
            </w:rPr>
            <m:t>=</m:t>
          </m:r>
          <m:r>
            <m:rPr>
              <m:nor/>
            </m:rPr>
            <w:rPr>
              <w:rFonts w:cs="Arial"/>
              <w:lang w:val="it-IT"/>
            </w:rPr>
            <m:t xml:space="preserve"> </m:t>
          </m:r>
          <m:sSub>
            <m:sSubPr>
              <m:ctrlPr>
                <w:rPr>
                  <w:rFonts w:ascii="Cambria Math" w:hAnsi="Cambria Math" w:cs="Arial"/>
                  <w:i/>
                </w:rPr>
              </m:ctrlPr>
            </m:sSubPr>
            <m:e>
              <m:r>
                <m:rPr>
                  <m:nor/>
                </m:rPr>
                <w:rPr>
                  <w:rFonts w:cs="Arial"/>
                  <w:lang w:val="it-IT"/>
                </w:rPr>
                <m:t>D</m:t>
              </m:r>
            </m:e>
            <m:sub>
              <m:r>
                <m:rPr>
                  <m:nor/>
                </m:rPr>
                <w:rPr>
                  <w:rFonts w:cs="Arial"/>
                  <w:lang w:val="it-IT"/>
                </w:rPr>
                <m:t>e</m:t>
              </m:r>
            </m:sub>
          </m:sSub>
          <m:sSup>
            <m:sSupPr>
              <m:ctrlPr>
                <w:rPr>
                  <w:rFonts w:ascii="Cambria Math" w:hAnsi="Cambria Math" w:cs="Arial"/>
                  <w:i/>
                </w:rPr>
              </m:ctrlPr>
            </m:sSupPr>
            <m:e>
              <m:d>
                <m:dPr>
                  <m:ctrlPr>
                    <w:rPr>
                      <w:rFonts w:ascii="Cambria Math" w:hAnsi="Cambria Math" w:cs="Arial"/>
                      <w:i/>
                    </w:rPr>
                  </m:ctrlPr>
                </m:dPr>
                <m:e>
                  <m:r>
                    <m:rPr>
                      <m:nor/>
                    </m:rPr>
                    <w:rPr>
                      <w:rFonts w:cs="Arial"/>
                      <w:lang w:val="it-IT"/>
                    </w:rPr>
                    <m:t>1</m:t>
                  </m:r>
                  <m:r>
                    <m:rPr>
                      <m:nor/>
                    </m:rPr>
                    <w:rPr>
                      <w:rFonts w:cs="Arial"/>
                      <w:lang w:val="it-IT"/>
                    </w:rPr>
                    <m:t xml:space="preserve"> </m:t>
                  </m:r>
                  <m:r>
                    <m:rPr>
                      <m:nor/>
                    </m:rPr>
                    <w:rPr>
                      <w:rFonts w:cs="Arial"/>
                      <w:lang w:val="it-IT"/>
                    </w:rPr>
                    <m:t>-</m:t>
                  </m:r>
                  <m:r>
                    <m:rPr>
                      <m:nor/>
                    </m:rPr>
                    <w:rPr>
                      <w:rFonts w:cs="Arial"/>
                      <w:lang w:val="it-IT"/>
                    </w:rPr>
                    <m:t xml:space="preserve"> </m:t>
                  </m:r>
                  <m:sSup>
                    <m:sSupPr>
                      <m:ctrlPr>
                        <w:rPr>
                          <w:rFonts w:ascii="Cambria Math" w:hAnsi="Cambria Math" w:cs="Arial"/>
                          <w:i/>
                        </w:rPr>
                      </m:ctrlPr>
                    </m:sSupPr>
                    <m:e>
                      <m:r>
                        <m:rPr>
                          <m:nor/>
                        </m:rPr>
                        <w:rPr>
                          <w:rFonts w:cs="Arial"/>
                          <w:lang w:val="it-IT"/>
                        </w:rPr>
                        <m:t>e</m:t>
                      </m:r>
                    </m:e>
                    <m:sup>
                      <m:r>
                        <m:rPr>
                          <m:nor/>
                        </m:rPr>
                        <w:rPr>
                          <w:rFonts w:cs="Arial"/>
                          <w:lang w:val="it-IT"/>
                        </w:rPr>
                        <m:t>-</m:t>
                      </m:r>
                      <m:r>
                        <m:rPr>
                          <m:nor/>
                        </m:rPr>
                        <w:rPr>
                          <w:rFonts w:cs="Arial"/>
                        </w:rPr>
                        <m:t>β</m:t>
                      </m:r>
                      <m:r>
                        <m:rPr>
                          <m:nor/>
                        </m:rPr>
                        <w:rPr>
                          <w:rFonts w:cs="Arial"/>
                          <w:lang w:val="it-IT"/>
                        </w:rPr>
                        <m:t>(r</m:t>
                      </m:r>
                      <m:r>
                        <m:rPr>
                          <m:nor/>
                        </m:rPr>
                        <w:rPr>
                          <w:rFonts w:cs="Arial"/>
                          <w:lang w:val="it-IT"/>
                        </w:rPr>
                        <m:t xml:space="preserve"> </m:t>
                      </m:r>
                      <m:r>
                        <m:rPr>
                          <m:nor/>
                        </m:rPr>
                        <w:rPr>
                          <w:rFonts w:cs="Arial"/>
                          <w:lang w:val="it-IT"/>
                        </w:rPr>
                        <m:t>-</m:t>
                      </m:r>
                      <m:r>
                        <m:rPr>
                          <m:nor/>
                        </m:rPr>
                        <w:rPr>
                          <w:rFonts w:ascii="Cambria Math" w:cs="Arial"/>
                          <w:lang w:val="it-IT"/>
                        </w:rPr>
                        <m:t xml:space="preserve"> </m:t>
                      </m:r>
                      <m:sSub>
                        <m:sSubPr>
                          <m:ctrlPr>
                            <w:rPr>
                              <w:rFonts w:ascii="Cambria Math" w:hAnsi="Cambria Math" w:cs="Arial"/>
                              <w:i/>
                            </w:rPr>
                          </m:ctrlPr>
                        </m:sSubPr>
                        <m:e>
                          <m:r>
                            <m:rPr>
                              <m:nor/>
                            </m:rPr>
                            <w:rPr>
                              <w:rFonts w:cs="Arial"/>
                              <w:lang w:val="it-IT"/>
                            </w:rPr>
                            <m:t>r</m:t>
                          </m:r>
                        </m:e>
                        <m:sub>
                          <m:r>
                            <m:rPr>
                              <m:nor/>
                            </m:rPr>
                            <w:rPr>
                              <w:rFonts w:cs="Arial"/>
                              <w:lang w:val="it-IT"/>
                            </w:rPr>
                            <m:t>C</m:t>
                          </m:r>
                        </m:sub>
                      </m:sSub>
                      <m:r>
                        <m:rPr>
                          <m:nor/>
                        </m:rPr>
                        <w:rPr>
                          <w:rFonts w:cs="Arial"/>
                          <w:lang w:val="it-IT"/>
                        </w:rPr>
                        <m:t>)</m:t>
                      </m:r>
                    </m:sup>
                  </m:sSup>
                </m:e>
              </m:d>
            </m:e>
            <m:sup>
              <m:r>
                <m:rPr>
                  <m:nor/>
                </m:rPr>
                <w:rPr>
                  <w:rFonts w:cs="Arial"/>
                  <w:lang w:val="it-IT"/>
                </w:rPr>
                <m:t>2</m:t>
              </m:r>
            </m:sup>
          </m:sSup>
        </m:oMath>
      </m:oMathPara>
    </w:p>
    <w:p w14:paraId="0143E064" w14:textId="77777777" w:rsidR="00745645" w:rsidRPr="00745645" w:rsidRDefault="00745645" w:rsidP="00745645">
      <w:pPr>
        <w:pStyle w:val="Liste1Aufzhlung"/>
        <w:numPr>
          <w:ilvl w:val="3"/>
          <w:numId w:val="12"/>
        </w:numPr>
      </w:pPr>
      <w:r w:rsidRPr="00745645">
        <w:t xml:space="preserve">wobei </w:t>
      </w:r>
      <m:oMath>
        <m:sSub>
          <m:sSubPr>
            <m:ctrlPr>
              <w:rPr>
                <w:rFonts w:ascii="Cambria Math" w:hAnsi="Cambria Math" w:cstheme="minorHAnsi"/>
                <w:i/>
                <w:lang w:val="it-IT"/>
              </w:rPr>
            </m:ctrlPr>
          </m:sSubPr>
          <m:e>
            <m:r>
              <m:rPr>
                <m:nor/>
              </m:rPr>
              <w:rPr>
                <w:rFonts w:asciiTheme="minorHAnsi" w:hAnsiTheme="minorHAnsi" w:cstheme="minorHAnsi"/>
              </w:rPr>
              <m:t>D</m:t>
            </m:r>
          </m:e>
          <m:sub>
            <m:r>
              <m:rPr>
                <m:nor/>
              </m:rPr>
              <w:rPr>
                <w:rFonts w:asciiTheme="minorHAnsi" w:hAnsiTheme="minorHAnsi" w:cstheme="minorHAnsi"/>
              </w:rPr>
              <m:t>e</m:t>
            </m:r>
          </m:sub>
        </m:sSub>
      </m:oMath>
      <w:r w:rsidRPr="00745645">
        <w:rPr>
          <w:rFonts w:eastAsiaTheme="minorEastAsia"/>
        </w:rPr>
        <w:t xml:space="preserve"> = Dissoziationsenergie, </w:t>
      </w:r>
      <w:r>
        <w:rPr>
          <w:rFonts w:eastAsiaTheme="minorEastAsia" w:cs="Arial"/>
          <w:lang w:val="it-IT"/>
        </w:rPr>
        <w:t>β</w:t>
      </w:r>
      <w:r w:rsidRPr="00745645">
        <w:rPr>
          <w:rFonts w:eastAsiaTheme="minorEastAsia"/>
        </w:rPr>
        <w:t> =</w:t>
      </w:r>
      <w:r>
        <w:rPr>
          <w:rFonts w:eastAsiaTheme="minorEastAsia"/>
        </w:rPr>
        <w:t xml:space="preserve"> stoffspezifische Konstante der Größen-Ordnung </w:t>
      </w:r>
      <m:oMath>
        <m:sSup>
          <m:sSupPr>
            <m:ctrlPr>
              <w:rPr>
                <w:rFonts w:ascii="Cambria Math" w:eastAsiaTheme="minorEastAsia" w:hAnsi="Cambria Math" w:cstheme="minorHAnsi"/>
                <w:i/>
              </w:rPr>
            </m:ctrlPr>
          </m:sSupPr>
          <m:e>
            <m:r>
              <m:rPr>
                <m:nor/>
              </m:rPr>
              <w:rPr>
                <w:rFonts w:asciiTheme="minorHAnsi" w:eastAsiaTheme="minorEastAsia" w:hAnsiTheme="minorHAnsi" w:cstheme="minorHAnsi"/>
              </w:rPr>
              <m:t>10</m:t>
            </m:r>
          </m:e>
          <m:sup>
            <m:r>
              <m:rPr>
                <m:nor/>
              </m:rPr>
              <w:rPr>
                <w:rFonts w:asciiTheme="minorHAnsi" w:eastAsiaTheme="minorEastAsia" w:hAnsiTheme="minorHAnsi" w:cstheme="minorHAnsi"/>
              </w:rPr>
              <m:t>-12</m:t>
            </m:r>
          </m:sup>
        </m:sSup>
        <m:sSup>
          <m:sSupPr>
            <m:ctrlPr>
              <w:rPr>
                <w:rFonts w:ascii="Cambria Math" w:eastAsiaTheme="minorEastAsia" w:hAnsi="Cambria Math" w:cstheme="minorHAnsi"/>
                <w:i/>
              </w:rPr>
            </m:ctrlPr>
          </m:sSupPr>
          <m:e>
            <m:r>
              <m:rPr>
                <m:nor/>
              </m:rPr>
              <w:rPr>
                <w:rFonts w:asciiTheme="minorHAnsi" w:eastAsiaTheme="minorEastAsia" w:hAnsiTheme="minorHAnsi" w:cstheme="minorHAnsi"/>
              </w:rPr>
              <m:t>m</m:t>
            </m:r>
          </m:e>
          <m:sup>
            <m:r>
              <m:rPr>
                <m:nor/>
              </m:rPr>
              <w:rPr>
                <w:rFonts w:asciiTheme="minorHAnsi" w:eastAsiaTheme="minorEastAsia" w:hAnsiTheme="minorHAnsi" w:cstheme="minorHAnsi"/>
              </w:rPr>
              <m:t>-1</m:t>
            </m:r>
          </m:sup>
        </m:sSup>
      </m:oMath>
      <w:r>
        <w:rPr>
          <w:rFonts w:eastAsiaTheme="minorEastAsia"/>
        </w:rPr>
        <w:t xml:space="preserve">; </w:t>
      </w:r>
      <m:oMath>
        <m:sSub>
          <m:sSubPr>
            <m:ctrlPr>
              <w:rPr>
                <w:rFonts w:ascii="Cambria Math" w:eastAsiaTheme="minorEastAsia" w:hAnsi="Cambria Math" w:cstheme="minorHAnsi"/>
                <w:i/>
              </w:rPr>
            </m:ctrlPr>
          </m:sSubPr>
          <m:e>
            <m:r>
              <m:rPr>
                <m:nor/>
              </m:rPr>
              <w:rPr>
                <w:rFonts w:asciiTheme="minorHAnsi" w:eastAsiaTheme="minorEastAsia" w:hAnsiTheme="minorHAnsi" w:cstheme="minorHAnsi"/>
              </w:rPr>
              <m:t>r</m:t>
            </m:r>
          </m:e>
          <m:sub>
            <m:r>
              <m:rPr>
                <m:nor/>
              </m:rPr>
              <w:rPr>
                <w:rFonts w:asciiTheme="minorHAnsi" w:eastAsiaTheme="minorEastAsia" w:hAnsiTheme="minorHAnsi" w:cstheme="minorHAnsi"/>
              </w:rPr>
              <m:t>C</m:t>
            </m:r>
          </m:sub>
        </m:sSub>
      </m:oMath>
      <w:r>
        <w:rPr>
          <w:rFonts w:eastAsiaTheme="minorEastAsia"/>
        </w:rPr>
        <w:t> = Gleichgewichtsabstand</w:t>
      </w:r>
    </w:p>
    <w:p w14:paraId="24041739" w14:textId="77777777" w:rsidR="00745645" w:rsidRDefault="00745645" w:rsidP="00745645">
      <w:pPr>
        <w:pStyle w:val="berschrift2"/>
      </w:pPr>
      <w:bookmarkStart w:id="5" w:name="_Toc37075481"/>
      <w:r>
        <w:lastRenderedPageBreak/>
        <w:t>Die Potentiale im Diagramm</w:t>
      </w:r>
      <w:bookmarkEnd w:id="5"/>
    </w:p>
    <w:p w14:paraId="4BFBB6B5" w14:textId="77777777" w:rsidR="00745645" w:rsidRDefault="00745645" w:rsidP="00745645">
      <w:pPr>
        <w:pStyle w:val="Bilder"/>
      </w:pPr>
      <w:r w:rsidRPr="00745645">
        <w:drawing>
          <wp:inline distT="0" distB="0" distL="0" distR="0" wp14:anchorId="5A3D438F" wp14:editId="7B55B9FC">
            <wp:extent cx="2880000" cy="22104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000" cy="2210400"/>
                    </a:xfrm>
                    <a:prstGeom prst="rect">
                      <a:avLst/>
                    </a:prstGeom>
                    <a:noFill/>
                    <a:ln>
                      <a:noFill/>
                    </a:ln>
                  </pic:spPr>
                </pic:pic>
              </a:graphicData>
            </a:graphic>
          </wp:inline>
        </w:drawing>
      </w:r>
    </w:p>
    <w:p w14:paraId="129D0A4C" w14:textId="3F9DC1B5" w:rsidR="00745645" w:rsidRDefault="00745645" w:rsidP="00745645">
      <w:pPr>
        <w:pStyle w:val="Beschriftung"/>
      </w:pPr>
      <w:r w:rsidRPr="00745645">
        <w:t>Abb</w:t>
      </w:r>
      <w:r w:rsidRPr="007F6431">
        <w:t xml:space="preserve">. </w:t>
      </w:r>
      <w:r>
        <w:fldChar w:fldCharType="begin"/>
      </w:r>
      <w:r w:rsidRPr="007F6431">
        <w:instrText xml:space="preserve"> SEQ Abb. \* ARABIC </w:instrText>
      </w:r>
      <w:r>
        <w:fldChar w:fldCharType="separate"/>
      </w:r>
      <w:r w:rsidR="000861B0">
        <w:rPr>
          <w:noProof/>
        </w:rPr>
        <w:t>2</w:t>
      </w:r>
      <w:r>
        <w:fldChar w:fldCharType="end"/>
      </w:r>
      <w:r w:rsidRPr="00745645">
        <w:t>: Skizze der Graphen der P</w:t>
      </w:r>
      <w:r>
        <w:t>otentiale</w:t>
      </w:r>
    </w:p>
    <w:p w14:paraId="2DA0BACF" w14:textId="77777777" w:rsidR="00745645" w:rsidRDefault="00385540" w:rsidP="00385540">
      <w:pPr>
        <w:pStyle w:val="berschrift1"/>
      </w:pPr>
      <w:bookmarkStart w:id="6" w:name="_Toc37075482"/>
      <w:r>
        <w:t>Experiment: Silicagel als Trockenmittel</w:t>
      </w:r>
      <w:bookmarkEnd w:id="6"/>
    </w:p>
    <w:p w14:paraId="0A2B6FB1" w14:textId="77777777" w:rsidR="00385540" w:rsidRDefault="00385540" w:rsidP="00385540">
      <w:r>
        <w:t xml:space="preserve">Dass sie große innere Oberfläche des </w:t>
      </w:r>
      <w:r w:rsidR="00A173FB">
        <w:t>Silicagels</w:t>
      </w:r>
      <w:r>
        <w:t xml:space="preserve"> wirklich Wasser anlagert, kann anhand eines Versuchs sichtbar gemacht werden. Die Idee des Nachweises stammt vom Tauchsport, wo Silicagel zu genau diesem Zweck zum Einsatz kommt.</w:t>
      </w:r>
    </w:p>
    <w:p w14:paraId="3F68A0A2" w14:textId="77777777" w:rsidR="00385540" w:rsidRDefault="00385540" w:rsidP="00385540">
      <w:r w:rsidRPr="00A64E83">
        <w:rPr>
          <w:rStyle w:val="Fett"/>
        </w:rPr>
        <w:t>Material</w:t>
      </w:r>
      <w:r>
        <w:t>:</w:t>
      </w:r>
    </w:p>
    <w:p w14:paraId="2BE73DB2" w14:textId="77777777" w:rsidR="00A64E83" w:rsidRDefault="00A64E83" w:rsidP="00385540">
      <w:pPr>
        <w:pStyle w:val="Liste1Aufzhlung"/>
        <w:sectPr w:rsidR="00A64E83" w:rsidSect="00931B30">
          <w:footerReference w:type="default" r:id="rId11"/>
          <w:pgSz w:w="11906" w:h="16838"/>
          <w:pgMar w:top="851" w:right="1134" w:bottom="1134" w:left="1418" w:header="0" w:footer="0" w:gutter="0"/>
          <w:cols w:space="708"/>
          <w:titlePg/>
          <w:docGrid w:linePitch="360"/>
        </w:sectPr>
      </w:pPr>
    </w:p>
    <w:p w14:paraId="61369D25" w14:textId="77777777" w:rsidR="00385540" w:rsidRDefault="00385540" w:rsidP="00385540">
      <w:pPr>
        <w:pStyle w:val="Liste1Aufzhlung"/>
      </w:pPr>
      <w:r>
        <w:t>2 luftdicht verschlossenen Gläser (enthaltene Luftfeuchte)</w:t>
      </w:r>
    </w:p>
    <w:p w14:paraId="07377939" w14:textId="77777777" w:rsidR="00385540" w:rsidRDefault="00385540" w:rsidP="00385540">
      <w:pPr>
        <w:pStyle w:val="Liste1Aufzhlung"/>
      </w:pPr>
      <w:r>
        <w:t>2 große, schwere Gummistopfen</w:t>
      </w:r>
    </w:p>
    <w:p w14:paraId="76323EF2" w14:textId="77777777" w:rsidR="00385540" w:rsidRDefault="00385540" w:rsidP="00385540">
      <w:pPr>
        <w:pStyle w:val="Liste1Aufzhlung"/>
      </w:pPr>
      <w:r>
        <w:t xml:space="preserve">2 ausreichend große Bechergläser, sodass die verschlossenen Gläser </w:t>
      </w:r>
      <w:r w:rsidR="00A173FB">
        <w:t>großzügig</w:t>
      </w:r>
      <w:r>
        <w:t xml:space="preserve"> Platz haben</w:t>
      </w:r>
    </w:p>
    <w:p w14:paraId="00A5AF72" w14:textId="77777777" w:rsidR="00385540" w:rsidRDefault="00385540" w:rsidP="00385540">
      <w:pPr>
        <w:pStyle w:val="Liste1Aufzhlung"/>
      </w:pPr>
      <w:r>
        <w:t>Eiswasser</w:t>
      </w:r>
    </w:p>
    <w:p w14:paraId="6F4860AF" w14:textId="77777777" w:rsidR="00A64E83" w:rsidRDefault="00A64E83" w:rsidP="00385540">
      <w:pPr>
        <w:sectPr w:rsidR="00A64E83" w:rsidSect="00A64E83">
          <w:type w:val="continuous"/>
          <w:pgSz w:w="11906" w:h="16838"/>
          <w:pgMar w:top="851" w:right="1134" w:bottom="1134" w:left="1418" w:header="0" w:footer="0" w:gutter="0"/>
          <w:cols w:num="2" w:space="708"/>
          <w:titlePg/>
          <w:docGrid w:linePitch="360"/>
        </w:sectPr>
      </w:pPr>
    </w:p>
    <w:p w14:paraId="46B20339" w14:textId="77777777" w:rsidR="00385540" w:rsidRDefault="00385540" w:rsidP="006725FB">
      <w:r w:rsidRPr="00A64E83">
        <w:rPr>
          <w:rStyle w:val="Fett"/>
        </w:rPr>
        <w:t>Chemikalien</w:t>
      </w:r>
      <w:r>
        <w:t>:</w:t>
      </w:r>
      <w:r w:rsidR="006725FB">
        <w:t xml:space="preserve"> </w:t>
      </w:r>
      <w:r>
        <w:t>Trockenes Silicagel, das sich zusätzlich in einem der luftdicht verschlossenen Gläser befindet (soll mindestens vollständig den Boden bedecken)</w:t>
      </w:r>
    </w:p>
    <w:p w14:paraId="36328B6F" w14:textId="77777777" w:rsidR="00385540" w:rsidRDefault="00385540" w:rsidP="00385540">
      <w:r w:rsidRPr="00A64E83">
        <w:rPr>
          <w:rStyle w:val="Fett"/>
        </w:rPr>
        <w:t>Durchführung</w:t>
      </w:r>
      <w:r>
        <w:t>:</w:t>
      </w:r>
      <w:r w:rsidR="006725FB">
        <w:t xml:space="preserve"> </w:t>
      </w:r>
      <w:r>
        <w:t xml:space="preserve">Die beiden bei Zimmer-Temperatur </w:t>
      </w:r>
      <w:r w:rsidR="00A173FB">
        <w:t>vorbereiteten</w:t>
      </w:r>
      <w:r>
        <w:t xml:space="preserve"> und verschlossenen Gläser (eines davon mit Silicagel) werden jeweils in einem Becherglas in </w:t>
      </w:r>
      <w:r w:rsidR="00A173FB">
        <w:t>Eiswasser</w:t>
      </w:r>
      <w:r>
        <w:t xml:space="preserve"> gestellt. Sie sollten bis zum Beckel im Wasser stehen und werden mit den Gummistopfen beschwert, sodass sie nicht schwimmen.</w:t>
      </w:r>
    </w:p>
    <w:p w14:paraId="4C1BE01D" w14:textId="77777777" w:rsidR="00385540" w:rsidRDefault="00385540" w:rsidP="00385540">
      <w:r>
        <w:t xml:space="preserve">Man lässt die Apparatur mindestens 15 Minuten stehen und wischt </w:t>
      </w:r>
      <w:r w:rsidR="00A173FB">
        <w:t>gelegentlich</w:t>
      </w:r>
      <w:r>
        <w:t xml:space="preserve"> </w:t>
      </w:r>
      <w:r w:rsidR="00A173FB">
        <w:t>die</w:t>
      </w:r>
      <w:r>
        <w:t xml:space="preserve"> Bechergläser von außen ab, um durchsehen zu können, sollten sie beschlagen.</w:t>
      </w:r>
    </w:p>
    <w:p w14:paraId="64719A9D" w14:textId="7AE7D398" w:rsidR="00385540" w:rsidRDefault="00385540" w:rsidP="00385540">
      <w:r w:rsidRPr="00A64E83">
        <w:rPr>
          <w:rStyle w:val="Fett"/>
        </w:rPr>
        <w:t>Beobachtung</w:t>
      </w:r>
      <w:r>
        <w:t>:</w:t>
      </w:r>
      <w:r w:rsidR="006725FB">
        <w:t xml:space="preserve"> </w:t>
      </w:r>
      <w:r>
        <w:t>Das verschlossene, „leere“ (bis auf die Luftfeuchte) Glas beschlägt von innen. Das Glas mit Silicagel beschlägt nicht (</w:t>
      </w:r>
      <w:r w:rsidR="00A173FB">
        <w:rPr>
          <w:color w:val="FF00FF" w:themeColor="accent4"/>
        </w:rPr>
        <w:fldChar w:fldCharType="begin"/>
      </w:r>
      <w:r w:rsidR="00A173FB">
        <w:instrText xml:space="preserve"> REF _Ref37051300 \h </w:instrText>
      </w:r>
      <w:r w:rsidR="00A173FB">
        <w:rPr>
          <w:color w:val="FF00FF" w:themeColor="accent4"/>
        </w:rPr>
      </w:r>
      <w:r w:rsidR="00A173FB">
        <w:rPr>
          <w:color w:val="FF00FF" w:themeColor="accent4"/>
        </w:rPr>
        <w:fldChar w:fldCharType="separate"/>
      </w:r>
      <w:r w:rsidR="000861B0">
        <w:t xml:space="preserve">Abb. </w:t>
      </w:r>
      <w:r w:rsidR="000861B0">
        <w:rPr>
          <w:noProof/>
        </w:rPr>
        <w:t>3</w:t>
      </w:r>
      <w:r w:rsidR="00A173FB">
        <w:rPr>
          <w:color w:val="FF00FF" w:themeColor="accent4"/>
        </w:rPr>
        <w:fldChar w:fldCharType="end"/>
      </w:r>
      <w:r>
        <w:t xml:space="preserve"> )</w:t>
      </w:r>
    </w:p>
    <w:p w14:paraId="75457051" w14:textId="13AF7999" w:rsidR="00A173FB" w:rsidRDefault="00A173FB" w:rsidP="00385540">
      <w:r w:rsidRPr="00A64E83">
        <w:rPr>
          <w:rStyle w:val="Fett"/>
        </w:rPr>
        <w:t>Interpretation</w:t>
      </w:r>
      <w:r>
        <w:t>:</w:t>
      </w:r>
      <w:r w:rsidR="006725FB">
        <w:t xml:space="preserve"> </w:t>
      </w:r>
      <w:r>
        <w:t>Das Silicagel hat dem Inneren des Glases die Feuchtigkeit entzogen. Das Wasser adsorbierte an die innere Oberfläche des Silicagels; Genauer: es bindet über H-Brücken an dessen OH-Gruppen. (</w:t>
      </w:r>
      <w:r>
        <w:rPr>
          <w:color w:val="FF00FF" w:themeColor="accent4"/>
        </w:rPr>
        <w:fldChar w:fldCharType="begin"/>
      </w:r>
      <w:r>
        <w:instrText xml:space="preserve"> REF _Ref37051360 \h </w:instrText>
      </w:r>
      <w:r>
        <w:rPr>
          <w:color w:val="FF00FF" w:themeColor="accent4"/>
        </w:rPr>
      </w:r>
      <w:r>
        <w:rPr>
          <w:color w:val="FF00FF" w:themeColor="accent4"/>
        </w:rPr>
        <w:fldChar w:fldCharType="separate"/>
      </w:r>
      <w:r w:rsidR="000861B0">
        <w:t xml:space="preserve">Abb. </w:t>
      </w:r>
      <w:r w:rsidR="000861B0">
        <w:rPr>
          <w:noProof/>
        </w:rPr>
        <w:t>4</w:t>
      </w:r>
      <w:r>
        <w:rPr>
          <w:color w:val="FF00FF" w:themeColor="accent4"/>
        </w:rPr>
        <w:fldChar w:fldCharType="end"/>
      </w:r>
      <w:r>
        <w:t>)</w:t>
      </w:r>
    </w:p>
    <w:p w14:paraId="03F2DA3A" w14:textId="77777777" w:rsidR="00A173FB" w:rsidRPr="00A173FB" w:rsidRDefault="00A173FB" w:rsidP="00A173FB">
      <w:pPr>
        <w:pStyle w:val="Bilder"/>
      </w:pPr>
      <w:r w:rsidRPr="00A173FB">
        <w:lastRenderedPageBreak/>
        <w:drawing>
          <wp:inline distT="0" distB="0" distL="0" distR="0" wp14:anchorId="22CCEE1D" wp14:editId="2AD781DD">
            <wp:extent cx="4399200" cy="2880000"/>
            <wp:effectExtent l="0" t="0" r="190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9200" cy="2880000"/>
                    </a:xfrm>
                    <a:prstGeom prst="rect">
                      <a:avLst/>
                    </a:prstGeom>
                    <a:noFill/>
                    <a:ln>
                      <a:noFill/>
                    </a:ln>
                  </pic:spPr>
                </pic:pic>
              </a:graphicData>
            </a:graphic>
          </wp:inline>
        </w:drawing>
      </w:r>
    </w:p>
    <w:p w14:paraId="16AA8DDB" w14:textId="473342AD" w:rsidR="00A173FB" w:rsidRDefault="00A173FB" w:rsidP="00A173FB">
      <w:pPr>
        <w:pStyle w:val="Beschriftung"/>
      </w:pPr>
      <w:bookmarkStart w:id="7" w:name="_Ref37051300"/>
      <w:r>
        <w:t xml:space="preserve">Abb. </w:t>
      </w:r>
      <w:r w:rsidR="000861B0">
        <w:fldChar w:fldCharType="begin"/>
      </w:r>
      <w:r w:rsidR="000861B0">
        <w:instrText xml:space="preserve"> SEQ Abb. \* ARABIC </w:instrText>
      </w:r>
      <w:r w:rsidR="000861B0">
        <w:fldChar w:fldCharType="separate"/>
      </w:r>
      <w:r w:rsidR="000861B0">
        <w:rPr>
          <w:noProof/>
        </w:rPr>
        <w:t>3</w:t>
      </w:r>
      <w:r w:rsidR="000861B0">
        <w:rPr>
          <w:noProof/>
        </w:rPr>
        <w:fldChar w:fldCharType="end"/>
      </w:r>
      <w:bookmarkEnd w:id="7"/>
      <w:r>
        <w:t>: Foto des Versuchs: Das rechte Glas ist angelaufen, das linke nicht</w:t>
      </w:r>
    </w:p>
    <w:p w14:paraId="2810D989" w14:textId="77777777" w:rsidR="00A173FB" w:rsidRDefault="00A173FB" w:rsidP="00A173FB">
      <w:pPr>
        <w:pStyle w:val="Bilder"/>
      </w:pPr>
      <w:r>
        <w:drawing>
          <wp:inline distT="0" distB="0" distL="0" distR="0" wp14:anchorId="289DBF06" wp14:editId="46B60473">
            <wp:extent cx="3884400" cy="2880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4400" cy="2880000"/>
                    </a:xfrm>
                    <a:prstGeom prst="rect">
                      <a:avLst/>
                    </a:prstGeom>
                    <a:noFill/>
                    <a:ln>
                      <a:noFill/>
                    </a:ln>
                  </pic:spPr>
                </pic:pic>
              </a:graphicData>
            </a:graphic>
          </wp:inline>
        </w:drawing>
      </w:r>
    </w:p>
    <w:p w14:paraId="2976217B" w14:textId="5A2D2C64" w:rsidR="00A173FB" w:rsidRDefault="00A173FB" w:rsidP="00A173FB">
      <w:pPr>
        <w:pStyle w:val="Beschriftung"/>
      </w:pPr>
      <w:bookmarkStart w:id="8" w:name="_Ref37051360"/>
      <w:r>
        <w:t xml:space="preserve">Abb. </w:t>
      </w:r>
      <w:r w:rsidR="000861B0">
        <w:fldChar w:fldCharType="begin"/>
      </w:r>
      <w:r w:rsidR="000861B0">
        <w:instrText xml:space="preserve"> SEQ Abb. \* ARABIC </w:instrText>
      </w:r>
      <w:r w:rsidR="000861B0">
        <w:fldChar w:fldCharType="separate"/>
      </w:r>
      <w:r w:rsidR="000861B0">
        <w:rPr>
          <w:noProof/>
        </w:rPr>
        <w:t>4</w:t>
      </w:r>
      <w:r w:rsidR="000861B0">
        <w:rPr>
          <w:noProof/>
        </w:rPr>
        <w:fldChar w:fldCharType="end"/>
      </w:r>
      <w:bookmarkEnd w:id="8"/>
      <w:r>
        <w:t>: Schematische Darstellung der Anlagerung von Wasser in Silicagel</w:t>
      </w:r>
    </w:p>
    <w:p w14:paraId="33EF34D1" w14:textId="77777777" w:rsidR="00A173FB" w:rsidRDefault="00A173FB" w:rsidP="00A173FB">
      <w:pPr>
        <w:pStyle w:val="berschrift1"/>
      </w:pPr>
      <w:bookmarkStart w:id="9" w:name="_Toc37075483"/>
      <w:r>
        <w:t>Beschreibung der Adsorption durch ausgewählte Parameter</w:t>
      </w:r>
      <w:bookmarkEnd w:id="9"/>
    </w:p>
    <w:p w14:paraId="7AC9F430" w14:textId="77777777" w:rsidR="00A173FB" w:rsidRDefault="00A173FB" w:rsidP="00A173FB">
      <w:pPr>
        <w:pStyle w:val="berschrift2"/>
      </w:pPr>
      <w:bookmarkStart w:id="10" w:name="_Toc37075484"/>
      <w:r>
        <w:t>Adsorptionswahrscheinlichkeit A</w:t>
      </w:r>
      <w:bookmarkEnd w:id="10"/>
    </w:p>
    <w:p w14:paraId="30A9D378" w14:textId="77777777" w:rsidR="00A173FB" w:rsidRPr="00A173FB" w:rsidRDefault="00A173FB" w:rsidP="00A173FB">
      <w:pPr>
        <w:pStyle w:val="Bilder"/>
        <w:rPr>
          <w:rFonts w:eastAsiaTheme="minorEastAsia"/>
          <w:sz w:val="24"/>
        </w:rPr>
      </w:pPr>
      <m:oMathPara>
        <m:oMath>
          <m:r>
            <m:rPr>
              <m:nor/>
            </m:rPr>
            <m:t>A = </m:t>
          </m:r>
          <m:f>
            <m:fPr>
              <m:ctrlPr>
                <w:rPr>
                  <w:rFonts w:ascii="Cambria Math" w:hAnsi="Cambria Math"/>
                  <w:i/>
                  <w:noProof w:val="0"/>
                  <w:sz w:val="24"/>
                </w:rPr>
              </m:ctrlPr>
            </m:fPr>
            <m:num>
              <m:r>
                <m:rPr>
                  <m:nor/>
                </m:rPr>
                <m:t>Häufigkeit der Adsorption von Teilchen</m:t>
              </m:r>
            </m:num>
            <m:den>
              <m:r>
                <m:rPr>
                  <m:nor/>
                </m:rPr>
                <m:t>Häufigkeit des Auftreffens von Teilchen</m:t>
              </m:r>
            </m:den>
          </m:f>
        </m:oMath>
      </m:oMathPara>
    </w:p>
    <w:p w14:paraId="7E226A26" w14:textId="77777777" w:rsidR="00A173FB" w:rsidRDefault="00A173FB" w:rsidP="00A173FB">
      <w:pPr>
        <w:pStyle w:val="Liste1Aufzhlung"/>
      </w:pPr>
      <w:r>
        <w:t>beschreibt den dynamischen Prozess und damit das Gleichgewicht, denn es „haften“ nicht alle Teilchen sofort an der Oberfläche</w:t>
      </w:r>
    </w:p>
    <w:p w14:paraId="094F1F8E" w14:textId="77777777" w:rsidR="00A173FB" w:rsidRDefault="00A173FB" w:rsidP="00A173FB">
      <w:pPr>
        <w:pStyle w:val="Liste1Aufzhlung"/>
      </w:pPr>
      <w:r>
        <w:t>verhält sich proportional zur Fähigkeit der Oberfläche, die Energie des Moleküls aufzunehmen</w:t>
      </w:r>
    </w:p>
    <w:p w14:paraId="3B7A45DB" w14:textId="77777777" w:rsidR="00A173FB" w:rsidRDefault="00A173FB" w:rsidP="00A173FB">
      <w:pPr>
        <w:pStyle w:val="Liste1Aufzhlung"/>
      </w:pPr>
      <w:r>
        <w:t>nimmt bei steigendem Bedeckungsgrad ab</w:t>
      </w:r>
    </w:p>
    <w:p w14:paraId="5CD6B008" w14:textId="77777777" w:rsidR="00A173FB" w:rsidRDefault="00A173FB" w:rsidP="00A173FB">
      <w:pPr>
        <w:pStyle w:val="berschrift2"/>
      </w:pPr>
      <w:bookmarkStart w:id="11" w:name="_Toc37075485"/>
      <w:r>
        <w:lastRenderedPageBreak/>
        <w:t xml:space="preserve">Bedeckungsgrad </w:t>
      </w:r>
      <w:r>
        <w:rPr>
          <w:rFonts w:cstheme="majorHAnsi"/>
        </w:rPr>
        <w:t>θ</w:t>
      </w:r>
      <w:bookmarkEnd w:id="11"/>
    </w:p>
    <w:p w14:paraId="332C1C11" w14:textId="77777777" w:rsidR="00A173FB" w:rsidRPr="00A173FB" w:rsidRDefault="00A173FB" w:rsidP="00A173FB">
      <w:pPr>
        <w:pStyle w:val="Bilder"/>
        <w:rPr>
          <w:rFonts w:eastAsiaTheme="minorEastAsia"/>
          <w:sz w:val="24"/>
        </w:rPr>
      </w:pPr>
      <m:oMathPara>
        <m:oMath>
          <m:r>
            <m:rPr>
              <m:nor/>
            </m:rPr>
            <m:t>θ = </m:t>
          </m:r>
          <m:f>
            <m:fPr>
              <m:ctrlPr>
                <w:rPr>
                  <w:rFonts w:ascii="Cambria Math" w:hAnsi="Cambria Math"/>
                  <w:i/>
                  <w:noProof w:val="0"/>
                  <w:sz w:val="24"/>
                </w:rPr>
              </m:ctrlPr>
            </m:fPr>
            <m:num>
              <m:r>
                <m:rPr>
                  <m:nor/>
                </m:rPr>
                <m:t>Zahl besetzter Adsorptionsplätze</m:t>
              </m:r>
            </m:num>
            <m:den>
              <m:r>
                <m:rPr>
                  <m:nor/>
                </m:rPr>
                <m:t>Zahl vorhandener Adsorptionsplätze</m:t>
              </m:r>
            </m:den>
          </m:f>
        </m:oMath>
      </m:oMathPara>
    </w:p>
    <w:p w14:paraId="3E3D8700" w14:textId="77777777" w:rsidR="00A173FB" w:rsidRDefault="00A173FB" w:rsidP="00A173FB">
      <w:pPr>
        <w:pStyle w:val="Liste1Aufzhlung"/>
      </w:pPr>
      <w:r>
        <w:t>Verhält sich indirekt proportional zur Adsorptionswahrscheinlichkeit A</w:t>
      </w:r>
    </w:p>
    <w:p w14:paraId="5970E822" w14:textId="77777777" w:rsidR="00A173FB" w:rsidRDefault="00A173FB" w:rsidP="00A173FB">
      <w:pPr>
        <w:pStyle w:val="Liste1Aufzhlung"/>
      </w:pPr>
      <w:r>
        <w:t>0% &lt; </w:t>
      </w:r>
      <w:r>
        <w:rPr>
          <w:rFonts w:cs="Arial"/>
        </w:rPr>
        <w:t>θ</w:t>
      </w:r>
      <w:r>
        <w:t> &lt;100%, wobei 100% volle Bedeckung, eine volle erste Schicht, bedeutet</w:t>
      </w:r>
    </w:p>
    <w:p w14:paraId="5B865816" w14:textId="77777777" w:rsidR="00A173FB" w:rsidRDefault="00A01CFC" w:rsidP="00A173FB">
      <w:pPr>
        <w:pStyle w:val="berschrift1"/>
      </w:pPr>
      <w:bookmarkStart w:id="12" w:name="_Toc37075486"/>
      <w:r>
        <w:t xml:space="preserve">Nachteile von Adsorption </w:t>
      </w:r>
      <w:r w:rsidR="006725FB">
        <w:t>gegenüber</w:t>
      </w:r>
      <w:r>
        <w:t xml:space="preserve"> Trocken</w:t>
      </w:r>
      <w:bookmarkEnd w:id="12"/>
    </w:p>
    <w:p w14:paraId="4BEE27DF" w14:textId="77777777" w:rsidR="00A01CFC" w:rsidRDefault="00A01CFC" w:rsidP="00A01CFC">
      <w:pPr>
        <w:pStyle w:val="Liste2Aufzhlung"/>
      </w:pPr>
      <w:r>
        <w:t>Hoher</w:t>
      </w:r>
      <w:r w:rsidR="009F1C6B">
        <w:t xml:space="preserve"> Preis</w:t>
      </w:r>
    </w:p>
    <w:p w14:paraId="0A7C74BA" w14:textId="77777777" w:rsidR="009F1C6B" w:rsidRDefault="009F1C6B" w:rsidP="00A01CFC">
      <w:pPr>
        <w:pStyle w:val="Liste2Aufzhlung"/>
      </w:pPr>
      <w:r>
        <w:t>Problematische Anschaffung</w:t>
      </w:r>
    </w:p>
    <w:p w14:paraId="6396A776" w14:textId="77777777" w:rsidR="009F1C6B" w:rsidRDefault="009F1C6B" w:rsidP="00A01CFC">
      <w:pPr>
        <w:pStyle w:val="Liste2Aufzhlung"/>
      </w:pPr>
      <w:r>
        <w:t>Schwierige Trock</w:t>
      </w:r>
      <w:r w:rsidR="006725FB">
        <w:t>n</w:t>
      </w:r>
      <w:r>
        <w:t>ung und Lagerung in privaten Haushalten</w:t>
      </w:r>
    </w:p>
    <w:p w14:paraId="25A333EF" w14:textId="77777777" w:rsidR="009F1C6B" w:rsidRDefault="009F1C6B" w:rsidP="009F1C6B">
      <w:r>
        <w:t>Deshalb ist die Anwendung nur in Bi</w:t>
      </w:r>
      <w:r w:rsidR="006725FB">
        <w:t>bl</w:t>
      </w:r>
      <w:r>
        <w:t>iotheken und Munitionslagern sinnvoll.</w:t>
      </w:r>
    </w:p>
    <w:p w14:paraId="010C180B" w14:textId="77777777" w:rsidR="009F1C6B" w:rsidRDefault="009F1C6B" w:rsidP="009F1C6B">
      <w:pPr>
        <w:pStyle w:val="Zusammenfassung"/>
      </w:pPr>
      <w:r w:rsidRPr="00A64E83">
        <w:rPr>
          <w:rStyle w:val="Fett"/>
        </w:rPr>
        <w:t>Zusammenfassung</w:t>
      </w:r>
      <w:r>
        <w:t>:</w:t>
      </w:r>
    </w:p>
    <w:p w14:paraId="480304A9" w14:textId="77777777" w:rsidR="009F1C6B" w:rsidRDefault="009F1C6B" w:rsidP="009F1C6B">
      <w:pPr>
        <w:pStyle w:val="Zusammenfassung"/>
      </w:pPr>
      <w:r>
        <w:t>Adsorption ist die Wechsel-Wirkung eines Teilchens mit einer Oberfläche, an die es sich annähert. Dieses Pri</w:t>
      </w:r>
      <w:r w:rsidR="006725FB">
        <w:t>n</w:t>
      </w:r>
      <w:r>
        <w:t xml:space="preserve">zip kann man sich zunutze machen, um beispielsweise Wasser reversibel an große innere Oberflächen zum </w:t>
      </w:r>
      <w:r w:rsidR="006725FB">
        <w:t>B</w:t>
      </w:r>
      <w:r>
        <w:t xml:space="preserve">inden. Für private Gebäude-Trockenlegungen ist diese </w:t>
      </w:r>
      <w:r w:rsidR="006725FB">
        <w:t>A</w:t>
      </w:r>
      <w:r>
        <w:t>rt und Weise, der Luft Wasser zu entziehen, allerdings nicht geeignet.</w:t>
      </w:r>
    </w:p>
    <w:p w14:paraId="36D696BF" w14:textId="77777777" w:rsidR="009F1C6B" w:rsidRPr="006725FB" w:rsidRDefault="00E800CB" w:rsidP="006725FB">
      <w:pPr>
        <w:rPr>
          <w:b/>
          <w:bCs/>
        </w:rPr>
      </w:pPr>
      <w:r>
        <w:rPr>
          <w:b/>
          <w:bCs/>
        </w:rPr>
        <w:t>Quellen</w:t>
      </w:r>
      <w:r w:rsidR="009F1C6B" w:rsidRPr="006725FB">
        <w:rPr>
          <w:b/>
          <w:bCs/>
        </w:rPr>
        <w:t>:</w:t>
      </w:r>
    </w:p>
    <w:p w14:paraId="6161EA09" w14:textId="77777777" w:rsidR="009F1C6B" w:rsidRDefault="009F1C6B" w:rsidP="009F1C6B">
      <w:pPr>
        <w:pStyle w:val="AufzhlungStandard"/>
        <w:rPr>
          <w:lang w:val="en-US"/>
        </w:rPr>
      </w:pPr>
      <w:r w:rsidRPr="009F1C6B">
        <w:rPr>
          <w:lang w:val="en-US"/>
        </w:rPr>
        <w:t xml:space="preserve">E. M. </w:t>
      </w:r>
      <w:proofErr w:type="spellStart"/>
      <w:r w:rsidRPr="009F1C6B">
        <w:rPr>
          <w:lang w:val="en-US"/>
        </w:rPr>
        <w:t>McCash</w:t>
      </w:r>
      <w:proofErr w:type="spellEnd"/>
      <w:r w:rsidRPr="009F1C6B">
        <w:rPr>
          <w:lang w:val="en-US"/>
        </w:rPr>
        <w:t xml:space="preserve">, </w:t>
      </w:r>
      <w:r w:rsidRPr="009F1C6B">
        <w:rPr>
          <w:i/>
          <w:iCs/>
          <w:lang w:val="en-US"/>
        </w:rPr>
        <w:t>Surface Chemistry</w:t>
      </w:r>
      <w:r w:rsidRPr="009F1C6B">
        <w:rPr>
          <w:lang w:val="en-US"/>
        </w:rPr>
        <w:t xml:space="preserve">, 1. </w:t>
      </w:r>
      <w:proofErr w:type="spellStart"/>
      <w:r w:rsidRPr="009F1C6B">
        <w:rPr>
          <w:lang w:val="en-US"/>
        </w:rPr>
        <w:t>Aufl</w:t>
      </w:r>
      <w:proofErr w:type="spellEnd"/>
      <w:r w:rsidRPr="009F1C6B">
        <w:rPr>
          <w:lang w:val="en-US"/>
        </w:rPr>
        <w:t>., Oxford University Press, Oxford</w:t>
      </w:r>
      <w:r w:rsidRPr="009F1C6B">
        <w:rPr>
          <w:b/>
          <w:bCs/>
          <w:lang w:val="en-US"/>
        </w:rPr>
        <w:t xml:space="preserve"> </w:t>
      </w:r>
      <w:r w:rsidRPr="009F1C6B">
        <w:rPr>
          <w:lang w:val="en-US"/>
        </w:rPr>
        <w:t>2007.</w:t>
      </w:r>
    </w:p>
    <w:p w14:paraId="045C5482" w14:textId="77777777" w:rsidR="009F1C6B" w:rsidRPr="009F1C6B" w:rsidRDefault="009F1C6B" w:rsidP="009F1C6B">
      <w:pPr>
        <w:pStyle w:val="AufzhlungStandard"/>
      </w:pPr>
      <w:r>
        <w:t xml:space="preserve">P. W. Atkins, J. de Paula, </w:t>
      </w:r>
      <w:r>
        <w:rPr>
          <w:rFonts w:cs="Arial"/>
          <w:i/>
          <w:iCs/>
        </w:rPr>
        <w:t>Physikalische Chemie</w:t>
      </w:r>
      <w:r>
        <w:rPr>
          <w:rFonts w:cs="Arial"/>
        </w:rPr>
        <w:t>, 4. Aufl., Wiley-</w:t>
      </w:r>
      <w:proofErr w:type="spellStart"/>
      <w:r>
        <w:rPr>
          <w:rFonts w:cs="Arial"/>
        </w:rPr>
        <w:t>Vch</w:t>
      </w:r>
      <w:proofErr w:type="spellEnd"/>
      <w:r>
        <w:rPr>
          <w:rFonts w:cs="Arial"/>
        </w:rPr>
        <w:t xml:space="preserve"> Verlag, Weinheim 2006</w:t>
      </w:r>
      <w:r>
        <w:rPr>
          <w:rFonts w:cs="Arial"/>
          <w:i/>
          <w:iCs/>
        </w:rPr>
        <w:t>.</w:t>
      </w:r>
    </w:p>
    <w:p w14:paraId="6522AEA7" w14:textId="039C40ED" w:rsidR="009F1C6B" w:rsidRDefault="009F1C6B" w:rsidP="009F1C6B">
      <w:pPr>
        <w:pStyle w:val="AufzhlungStandard"/>
        <w:jc w:val="left"/>
      </w:pPr>
      <w:r w:rsidRPr="00E800CB">
        <w:t xml:space="preserve">Das Hochwasser in der </w:t>
      </w:r>
      <w:proofErr w:type="spellStart"/>
      <w:r w:rsidRPr="00E800CB">
        <w:t>Theresienstraße</w:t>
      </w:r>
      <w:proofErr w:type="spellEnd"/>
      <w:r w:rsidRPr="00E800CB">
        <w:t xml:space="preserve"> in Passau im Juni 2013;</w:t>
      </w:r>
      <w:r>
        <w:t xml:space="preserve"> Urheber: High </w:t>
      </w:r>
      <w:proofErr w:type="spellStart"/>
      <w:r>
        <w:t>Contrast</w:t>
      </w:r>
      <w:proofErr w:type="spellEnd"/>
      <w:r>
        <w:t>; (</w:t>
      </w:r>
      <w:r>
        <w:fldChar w:fldCharType="begin"/>
      </w:r>
      <w:r>
        <w:instrText xml:space="preserve"> REF _Ref37052381 \h </w:instrText>
      </w:r>
      <w:r>
        <w:fldChar w:fldCharType="separate"/>
      </w:r>
      <w:r w:rsidR="000861B0">
        <w:t xml:space="preserve">Abb. </w:t>
      </w:r>
      <w:r w:rsidR="000861B0">
        <w:rPr>
          <w:noProof/>
        </w:rPr>
        <w:t>1</w:t>
      </w:r>
      <w:r>
        <w:fldChar w:fldCharType="end"/>
      </w:r>
      <w:r>
        <w:t xml:space="preserve">); </w:t>
      </w:r>
      <w:hyperlink r:id="rId14" w:anchor="filelinks" w:history="1">
        <w:r w:rsidRPr="00344D83">
          <w:rPr>
            <w:rStyle w:val="Hyperlink"/>
          </w:rPr>
          <w:t>https://commons.wikimedia.org/wiki/File:Theresienstra%C3%9Fe_-_Passau_-_Hochwasser_2013_(7).JPG?uselang=de#filelinks</w:t>
        </w:r>
      </w:hyperlink>
      <w:r>
        <w:t>; Stand: 06.04.2020</w:t>
      </w:r>
    </w:p>
    <w:p w14:paraId="7E933C0B" w14:textId="77777777" w:rsidR="009F1C6B" w:rsidRDefault="000861B0" w:rsidP="009F1C6B">
      <w:pPr>
        <w:pStyle w:val="AufzhlungStandard"/>
      </w:pPr>
      <w:hyperlink r:id="rId15" w:history="1">
        <w:r w:rsidR="009F1C6B">
          <w:rPr>
            <w:rStyle w:val="Hyperlink"/>
          </w:rPr>
          <w:t>http://www.chemgapedia.de/vsengine/vlu/vsc/de/ch/10/adsorption/grundlagen/ grundlagen_der_adsorption.vlu.html</w:t>
        </w:r>
      </w:hyperlink>
      <w:r w:rsidR="009F1C6B">
        <w:t xml:space="preserve"> (20.02.14)</w:t>
      </w:r>
    </w:p>
    <w:p w14:paraId="71736A1A" w14:textId="77777777" w:rsidR="009F1C6B" w:rsidRDefault="000861B0" w:rsidP="009F1C6B">
      <w:pPr>
        <w:pStyle w:val="AufzhlungStandard"/>
      </w:pPr>
      <w:hyperlink r:id="rId16" w:history="1">
        <w:r w:rsidR="009F1C6B">
          <w:rPr>
            <w:rStyle w:val="Hyperlink"/>
          </w:rPr>
          <w:t xml:space="preserve">http://www.ph-ooe.at/fileadmin/old_fileadmin/fileadmin/user_upload/fdznawi/ </w:t>
        </w:r>
        <w:proofErr w:type="spellStart"/>
        <w:r w:rsidR="009F1C6B">
          <w:rPr>
            <w:rStyle w:val="Hyperlink"/>
          </w:rPr>
          <w:t>downloadbereich</w:t>
        </w:r>
        <w:proofErr w:type="spellEnd"/>
        <w:r w:rsidR="009F1C6B">
          <w:rPr>
            <w:rStyle w:val="Hyperlink"/>
          </w:rPr>
          <w:t>/</w:t>
        </w:r>
        <w:proofErr w:type="spellStart"/>
        <w:r w:rsidR="009F1C6B">
          <w:rPr>
            <w:rStyle w:val="Hyperlink"/>
          </w:rPr>
          <w:t>Fokus_Nawi</w:t>
        </w:r>
        <w:proofErr w:type="spellEnd"/>
        <w:r w:rsidR="009F1C6B">
          <w:rPr>
            <w:rStyle w:val="Hyperlink"/>
          </w:rPr>
          <w:t>/Handout_22._03._2010_-_Chemie.pdf</w:t>
        </w:r>
      </w:hyperlink>
      <w:r w:rsidR="009F1C6B">
        <w:t xml:space="preserve"> (27.02.14)</w:t>
      </w:r>
    </w:p>
    <w:p w14:paraId="73BA6E3D" w14:textId="77777777" w:rsidR="009F1C6B" w:rsidRDefault="000861B0" w:rsidP="009F1C6B">
      <w:pPr>
        <w:pStyle w:val="AufzhlungStandard"/>
      </w:pPr>
      <w:hyperlink r:id="rId17" w:history="1">
        <w:r w:rsidR="009F1C6B">
          <w:rPr>
            <w:rStyle w:val="Hyperlink"/>
          </w:rPr>
          <w:t>http://ruby.chemie.uni-freiburg.de/Vorlesung/silicate_8_9.html</w:t>
        </w:r>
      </w:hyperlink>
      <w:r w:rsidR="009F1C6B">
        <w:t xml:space="preserve"> (02.03.14)</w:t>
      </w:r>
      <w:bookmarkStart w:id="13" w:name="_GoBack"/>
      <w:bookmarkEnd w:id="13"/>
    </w:p>
    <w:sectPr w:rsidR="009F1C6B" w:rsidSect="00A64E83">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744DE" w14:textId="77777777" w:rsidR="006B15E5" w:rsidRDefault="006B15E5" w:rsidP="005A7DCE">
      <w:pPr>
        <w:spacing w:before="0"/>
      </w:pPr>
      <w:r>
        <w:separator/>
      </w:r>
    </w:p>
  </w:endnote>
  <w:endnote w:type="continuationSeparator" w:id="0">
    <w:p w14:paraId="645E98D6" w14:textId="77777777" w:rsidR="006B15E5" w:rsidRDefault="006B15E5"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625137"/>
      <w:docPartObj>
        <w:docPartGallery w:val="Page Numbers (Bottom of Page)"/>
        <w:docPartUnique/>
      </w:docPartObj>
    </w:sdtPr>
    <w:sdtEndPr/>
    <w:sdtContent>
      <w:p w14:paraId="31F93B1F" w14:textId="77777777" w:rsidR="005A7DCE" w:rsidRDefault="005A7DCE">
        <w:pPr>
          <w:pStyle w:val="Fuzeile"/>
          <w:jc w:val="center"/>
        </w:pPr>
        <w:r>
          <w:rPr>
            <w:noProof/>
          </w:rPr>
          <mc:AlternateContent>
            <mc:Choice Requires="wps">
              <w:drawing>
                <wp:inline distT="0" distB="0" distL="0" distR="0" wp14:anchorId="1FC053CE" wp14:editId="305BDBA1">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65AA9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415DDE71" w14:textId="77777777" w:rsidR="005A7DCE" w:rsidRDefault="005A7DCE">
        <w:pPr>
          <w:pStyle w:val="Fuzeile"/>
          <w:jc w:val="center"/>
        </w:pPr>
        <w:r>
          <w:fldChar w:fldCharType="begin"/>
        </w:r>
        <w:r>
          <w:instrText>PAGE    \* MERGEFORMAT</w:instrText>
        </w:r>
        <w:r>
          <w:fldChar w:fldCharType="separate"/>
        </w:r>
        <w:r>
          <w:t>2</w:t>
        </w:r>
        <w:r>
          <w:fldChar w:fldCharType="end"/>
        </w:r>
      </w:p>
    </w:sdtContent>
  </w:sdt>
  <w:p w14:paraId="492B6825"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2F969" w14:textId="77777777" w:rsidR="006B15E5" w:rsidRDefault="006B15E5" w:rsidP="005A7DCE">
      <w:pPr>
        <w:spacing w:before="0"/>
      </w:pPr>
      <w:r>
        <w:separator/>
      </w:r>
    </w:p>
  </w:footnote>
  <w:footnote w:type="continuationSeparator" w:id="0">
    <w:p w14:paraId="6DE6AA3A" w14:textId="77777777" w:rsidR="006B15E5" w:rsidRDefault="006B15E5"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3B"/>
    <w:rsid w:val="00045EDE"/>
    <w:rsid w:val="00062E43"/>
    <w:rsid w:val="000712A2"/>
    <w:rsid w:val="00074491"/>
    <w:rsid w:val="000861B0"/>
    <w:rsid w:val="00086A99"/>
    <w:rsid w:val="000D4A1C"/>
    <w:rsid w:val="00150B85"/>
    <w:rsid w:val="001D6942"/>
    <w:rsid w:val="002504C3"/>
    <w:rsid w:val="00260E92"/>
    <w:rsid w:val="0033663A"/>
    <w:rsid w:val="0036111E"/>
    <w:rsid w:val="00385540"/>
    <w:rsid w:val="00545130"/>
    <w:rsid w:val="005633FE"/>
    <w:rsid w:val="005A7DCE"/>
    <w:rsid w:val="006725FB"/>
    <w:rsid w:val="006B15E5"/>
    <w:rsid w:val="006C1A62"/>
    <w:rsid w:val="007161D1"/>
    <w:rsid w:val="00745645"/>
    <w:rsid w:val="00783295"/>
    <w:rsid w:val="007B2C80"/>
    <w:rsid w:val="007F6431"/>
    <w:rsid w:val="008117E4"/>
    <w:rsid w:val="00825BFE"/>
    <w:rsid w:val="00850560"/>
    <w:rsid w:val="00883728"/>
    <w:rsid w:val="008A524D"/>
    <w:rsid w:val="00931B30"/>
    <w:rsid w:val="009710A6"/>
    <w:rsid w:val="009F1C6B"/>
    <w:rsid w:val="00A01CFC"/>
    <w:rsid w:val="00A173FB"/>
    <w:rsid w:val="00A21130"/>
    <w:rsid w:val="00A5383F"/>
    <w:rsid w:val="00A64E83"/>
    <w:rsid w:val="00AA5D66"/>
    <w:rsid w:val="00AB7E4B"/>
    <w:rsid w:val="00AE53F0"/>
    <w:rsid w:val="00AF7672"/>
    <w:rsid w:val="00C95303"/>
    <w:rsid w:val="00CF4A2E"/>
    <w:rsid w:val="00D97908"/>
    <w:rsid w:val="00E14DE1"/>
    <w:rsid w:val="00E20AF3"/>
    <w:rsid w:val="00E47D77"/>
    <w:rsid w:val="00E54A99"/>
    <w:rsid w:val="00E800CB"/>
    <w:rsid w:val="00E8473B"/>
    <w:rsid w:val="00F73328"/>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B0F737"/>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CF4A2E"/>
    <w:pPr>
      <w:spacing w:before="240"/>
      <w:jc w:val="center"/>
    </w:pPr>
    <w:rPr>
      <w:rFonts w:cs="Calibri"/>
      <w:noProof/>
      <w:sz w:val="28"/>
    </w:rPr>
  </w:style>
  <w:style w:type="character" w:customStyle="1" w:styleId="BilderZchn">
    <w:name w:val="Bilder Zchn"/>
    <w:basedOn w:val="Absatz-Standardschriftart"/>
    <w:link w:val="Bilder"/>
    <w:rsid w:val="00CF4A2E"/>
    <w:rPr>
      <w:rFonts w:cs="Calibri"/>
      <w:noProof/>
      <w:sz w:val="28"/>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styleId="NichtaufgelsteErwhnung">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08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rsid w:val="002504C3"/>
    <w:rPr>
      <w:b/>
      <w:bCs/>
    </w:rPr>
  </w:style>
  <w:style w:type="character" w:styleId="Platzhaltertext">
    <w:name w:val="Placeholder Text"/>
    <w:basedOn w:val="Absatz-Standardschriftart"/>
    <w:uiPriority w:val="99"/>
    <w:semiHidden/>
    <w:rsid w:val="002504C3"/>
    <w:rPr>
      <w:color w:val="808080"/>
    </w:rPr>
  </w:style>
  <w:style w:type="character" w:styleId="BesuchterLink">
    <w:name w:val="FollowedHyperlink"/>
    <w:basedOn w:val="Absatz-Standardschriftart"/>
    <w:uiPriority w:val="99"/>
    <w:semiHidden/>
    <w:unhideWhenUsed/>
    <w:rsid w:val="009F1C6B"/>
    <w:rPr>
      <w:color w:val="0000FF" w:themeColor="followedHyperlink"/>
      <w:u w:val="single"/>
    </w:rPr>
  </w:style>
  <w:style w:type="paragraph" w:styleId="Inhaltsverzeichnisberschrift">
    <w:name w:val="TOC Heading"/>
    <w:basedOn w:val="berschrift1"/>
    <w:next w:val="Standard"/>
    <w:uiPriority w:val="39"/>
    <w:unhideWhenUsed/>
    <w:qFormat/>
    <w:rsid w:val="007F6431"/>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7F6431"/>
    <w:pPr>
      <w:spacing w:after="100"/>
    </w:pPr>
  </w:style>
  <w:style w:type="paragraph" w:styleId="Verzeichnis2">
    <w:name w:val="toc 2"/>
    <w:basedOn w:val="Standard"/>
    <w:next w:val="Standard"/>
    <w:autoRedefine/>
    <w:uiPriority w:val="39"/>
    <w:unhideWhenUsed/>
    <w:rsid w:val="007F643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ruby.chemie.uni-freiburg.de/Vorlesung/silicate_8_9.html" TargetMode="External"/><Relationship Id="rId2" Type="http://schemas.openxmlformats.org/officeDocument/2006/relationships/numbering" Target="numbering.xml"/><Relationship Id="rId16" Type="http://schemas.openxmlformats.org/officeDocument/2006/relationships/hyperlink" Target="http://www.ph-ooe.at/fileadmin/old_fileadmin/fileadmin/user_upload/fdznawi/downloadbereich/Fokus_Nawi/Handout_22._03._2010_-_Chemi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hemgapedia.de/vsengine/vlu/vsc/de/ch/10/adsorption/grundlagen/grundlagen_der_adsorption.vlu.html" TargetMode="Externa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mmons.wikimedia.org/wiki/File:Theresienstra%C3%9Fe_-_Passau_-_Hochwasser_2013_(7).JPG?uselan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a:themeElements>
    <a:clrScheme name="Benutzerdefiniert 4">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95B77-7157-49AE-9CD9-42971DB1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6960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regina.schoenberner83@gmail.com</cp:lastModifiedBy>
  <cp:revision>10</cp:revision>
  <cp:lastPrinted>2020-04-07T04:35:00Z</cp:lastPrinted>
  <dcterms:created xsi:type="dcterms:W3CDTF">2020-04-03T12:26:00Z</dcterms:created>
  <dcterms:modified xsi:type="dcterms:W3CDTF">2020-04-07T04:36:00Z</dcterms:modified>
</cp:coreProperties>
</file>