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6D" w:rsidRPr="002A146D" w:rsidRDefault="00E8473B" w:rsidP="002A146D">
      <w:pPr>
        <w:pStyle w:val="Bilder"/>
        <w:rPr>
          <w:rStyle w:val="TitelZchn"/>
          <w:rFonts w:ascii="Arial" w:eastAsiaTheme="minorHAnsi" w:hAnsi="Arial" w:cs="Calibri"/>
          <w:spacing w:val="0"/>
          <w:kern w:val="0"/>
          <w:sz w:val="24"/>
          <w:szCs w:val="22"/>
        </w:rPr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42FE90C2" wp14:editId="3B0435CC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7BB" w:rsidRDefault="007347BB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7347BB" w:rsidRDefault="007347BB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2B90AC5A" wp14:editId="6830B8F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A8" w:rsidRDefault="00DA00F9" w:rsidP="001554A8">
      <w:pPr>
        <w:pStyle w:val="Titel"/>
        <w:rPr>
          <w:color w:val="FF0000"/>
        </w:rPr>
      </w:pPr>
      <w:r>
        <w:rPr>
          <w:color w:val="FF0000"/>
        </w:rPr>
        <w:t>Gleichlaufbürette im Eigenbau</w:t>
      </w:r>
    </w:p>
    <w:p w:rsidR="00DA00F9" w:rsidRPr="00DA00F9" w:rsidRDefault="00DA00F9" w:rsidP="00DA00F9">
      <w:pPr>
        <w:pStyle w:val="Autor"/>
      </w:pPr>
      <w:r w:rsidRPr="00DA00F9">
        <w:t xml:space="preserve">Experimente mit der </w:t>
      </w:r>
      <w:proofErr w:type="spellStart"/>
      <w:r w:rsidRPr="00DA00F9">
        <w:t>Chembox</w:t>
      </w:r>
      <w:proofErr w:type="spellEnd"/>
    </w:p>
    <w:p w:rsidR="00DA00F9" w:rsidRPr="00DA00F9" w:rsidRDefault="00DA00F9" w:rsidP="00DA00F9">
      <w:pPr>
        <w:rPr>
          <w:b/>
        </w:rPr>
      </w:pPr>
      <w:r w:rsidRPr="00DA00F9">
        <w:rPr>
          <w:b/>
        </w:rPr>
        <w:t>Materialien:</w:t>
      </w:r>
    </w:p>
    <w:p w:rsidR="00DA00F9" w:rsidRDefault="00DA00F9" w:rsidP="00F11F04">
      <w:pPr>
        <w:pStyle w:val="Liste2Aufzhlung"/>
        <w:spacing w:before="0"/>
      </w:pPr>
      <w:r>
        <w:t>Schütteltrichter (250ml, mit NS 29/32 Schliff)</w:t>
      </w:r>
    </w:p>
    <w:p w:rsidR="00DA00F9" w:rsidRDefault="00DA00F9" w:rsidP="00F11F04">
      <w:pPr>
        <w:pStyle w:val="Liste2Aufzhlung"/>
        <w:spacing w:before="0"/>
      </w:pPr>
      <w:r>
        <w:t>passender Plastikstopfen (NS 29/32)</w:t>
      </w:r>
    </w:p>
    <w:p w:rsidR="00DA00F9" w:rsidRDefault="00DA00F9" w:rsidP="00F11F04">
      <w:pPr>
        <w:pStyle w:val="Liste2Aufzhlung"/>
        <w:spacing w:before="0"/>
      </w:pPr>
      <w:r>
        <w:t xml:space="preserve">Glasrohr (d=7 mm), ggf. Kapillare </w:t>
      </w:r>
    </w:p>
    <w:p w:rsidR="00DA00F9" w:rsidRDefault="00DA00F9" w:rsidP="00F11F04">
      <w:pPr>
        <w:pStyle w:val="Liste2Aufzhlung"/>
        <w:spacing w:before="0"/>
      </w:pPr>
      <w:r>
        <w:t xml:space="preserve">Holzbohrer, wie Glasrohr-Außendurchmesser (hier: 7mm) </w:t>
      </w:r>
    </w:p>
    <w:p w:rsidR="00DA00F9" w:rsidRDefault="00DA00F9" w:rsidP="00F11F04">
      <w:pPr>
        <w:pStyle w:val="Liste2Aufzhlung"/>
        <w:spacing w:before="0"/>
      </w:pPr>
      <w:r>
        <w:t>PVC Schlauch l=5cm (passend zum Auslass des Schütteltrichters)</w:t>
      </w:r>
    </w:p>
    <w:p w:rsidR="00DA00F9" w:rsidRDefault="00DA00F9" w:rsidP="00F11F04">
      <w:pPr>
        <w:pStyle w:val="Liste2Aufzhlung"/>
        <w:spacing w:before="0"/>
      </w:pPr>
      <w:r>
        <w:t>Kanüle (1,4mm x 50mm oder 0,65mm x 30mm)</w:t>
      </w:r>
    </w:p>
    <w:p w:rsidR="00DA00F9" w:rsidRDefault="00DA00F9" w:rsidP="00F11F04">
      <w:pPr>
        <w:pStyle w:val="Liste2Aufzhlung"/>
        <w:spacing w:before="0"/>
      </w:pPr>
      <w:r>
        <w:t>Gummistopfen (5.9.20, passend zum PVC-Schlauch-Innendurchmesser)</w:t>
      </w:r>
    </w:p>
    <w:p w:rsidR="00DA00F9" w:rsidRDefault="00DA00F9" w:rsidP="00F11F04">
      <w:pPr>
        <w:pStyle w:val="Liste2Aufzhlung"/>
        <w:spacing w:before="0"/>
      </w:pPr>
      <w:r>
        <w:t>etwas Silikondichtmasse, Silikonkleber oder Bausilicon</w:t>
      </w:r>
    </w:p>
    <w:p w:rsidR="00DA00F9" w:rsidRDefault="00DA00F9" w:rsidP="00F11F04">
      <w:pPr>
        <w:pStyle w:val="Liste2Aufzhlung"/>
        <w:spacing w:before="0"/>
      </w:pPr>
      <w:r>
        <w:t xml:space="preserve">Becherglas 150ml mit Wasser und Spülmittel. </w:t>
      </w:r>
    </w:p>
    <w:p w:rsidR="00DA00F9" w:rsidRPr="00DA00F9" w:rsidRDefault="00DA00F9" w:rsidP="00DA00F9">
      <w:pPr>
        <w:rPr>
          <w:b/>
        </w:rPr>
      </w:pPr>
      <w:r w:rsidRPr="00DA00F9">
        <w:rPr>
          <w:b/>
        </w:rPr>
        <w:t xml:space="preserve">Durchführung: </w:t>
      </w:r>
    </w:p>
    <w:p w:rsidR="00DA00F9" w:rsidRDefault="00DA00F9" w:rsidP="00DA00F9">
      <w:pPr>
        <w:pStyle w:val="Liste2Aufzhlung"/>
      </w:pPr>
      <w:r>
        <w:t xml:space="preserve">Der Plastikstopfen wird so durchbohrt, dass das Glasrohr gerade hindurch passt (Abb.1). Nun wird das Glasrohr </w:t>
      </w:r>
      <w:proofErr w:type="spellStart"/>
      <w:r>
        <w:t>so weit</w:t>
      </w:r>
      <w:proofErr w:type="spellEnd"/>
      <w:r>
        <w:t xml:space="preserve"> durch den Stopfen geschoben, dass es möglichst weit in den Schütteltrichter hineinragt. Nachdem man die optimale Länge bestimmt hat, wird das Glasrohr am Stopfen mit Si</w:t>
      </w:r>
      <w:r w:rsidR="00280151">
        <w:t>likon luftdicht fixiert (Abb. 2</w:t>
      </w:r>
      <w:r>
        <w:t>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359"/>
      </w:tblGrid>
      <w:tr w:rsidR="00DA00F9" w:rsidTr="00DA00F9">
        <w:tc>
          <w:tcPr>
            <w:tcW w:w="4995" w:type="dxa"/>
            <w:vAlign w:val="center"/>
            <w:hideMark/>
          </w:tcPr>
          <w:p w:rsidR="00DA00F9" w:rsidRDefault="00DA00F9" w:rsidP="00DA00F9">
            <w:pPr>
              <w:pStyle w:val="Bilder"/>
            </w:pPr>
            <w:r>
              <w:rPr>
                <w:lang w:eastAsia="de-DE"/>
              </w:rPr>
              <w:drawing>
                <wp:inline distT="0" distB="0" distL="0" distR="0">
                  <wp:extent cx="990600" cy="876300"/>
                  <wp:effectExtent l="0" t="0" r="0" b="0"/>
                  <wp:docPr id="6" name="Grafik 6" descr="http://daten.didaktikchemie.uni-bayreuth.de/experimente/chembox/images/gleichl_bohru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aten.didaktikchemie.uni-bayreuth.de/experimente/chembox/images/gleichl_bohru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00F9" w:rsidRDefault="00DA00F9" w:rsidP="00DA00F9">
            <w:pPr>
              <w:pStyle w:val="Bilder"/>
            </w:pPr>
            <w:r>
              <w:rPr>
                <w:lang w:eastAsia="de-DE"/>
              </w:rPr>
              <w:drawing>
                <wp:inline distT="0" distB="0" distL="0" distR="0">
                  <wp:extent cx="628650" cy="1743075"/>
                  <wp:effectExtent l="0" t="0" r="0" b="9525"/>
                  <wp:docPr id="5" name="Grafik 5" descr="http://daten.didaktikchemie.uni-bayreuth.de/experimente/chembox/images/gleichl_roh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en.didaktikchemie.uni-bayreuth.de/experimente/chembox/images/gleichl_roh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0F9" w:rsidTr="00DA00F9">
        <w:tc>
          <w:tcPr>
            <w:tcW w:w="4995" w:type="dxa"/>
            <w:hideMark/>
          </w:tcPr>
          <w:p w:rsidR="00DA00F9" w:rsidRDefault="00DA00F9" w:rsidP="00DA00F9">
            <w:pPr>
              <w:pStyle w:val="Beschriftung"/>
            </w:pPr>
            <w:r>
              <w:rPr>
                <w:b/>
                <w:bCs/>
              </w:rPr>
              <w:t>Abb. 1:</w:t>
            </w:r>
            <w:r>
              <w:t xml:space="preserve"> Bohrmarkierung</w:t>
            </w:r>
          </w:p>
          <w:p w:rsidR="00DA00F9" w:rsidRDefault="00DA00F9" w:rsidP="00DA00F9">
            <w:pPr>
              <w:pStyle w:val="Beschriftung"/>
            </w:pPr>
            <w:r>
              <w:t> </w:t>
            </w:r>
          </w:p>
        </w:tc>
        <w:tc>
          <w:tcPr>
            <w:tcW w:w="0" w:type="auto"/>
            <w:hideMark/>
          </w:tcPr>
          <w:p w:rsidR="00DA00F9" w:rsidRDefault="00DA00F9" w:rsidP="00DA00F9">
            <w:pPr>
              <w:pStyle w:val="Beschriftung"/>
            </w:pPr>
            <w:r>
              <w:rPr>
                <w:b/>
                <w:bCs/>
              </w:rPr>
              <w:t>Abb. 2:</w:t>
            </w:r>
            <w:r>
              <w:t xml:space="preserve"> Grau sind die Stellen, an denen mit Silikon abgedichtet wird.</w:t>
            </w:r>
          </w:p>
        </w:tc>
      </w:tr>
    </w:tbl>
    <w:p w:rsidR="00DA00F9" w:rsidRDefault="00DA00F9" w:rsidP="00DA00F9">
      <w:pPr>
        <w:pStyle w:val="Liste2Aufzhlung"/>
      </w:pPr>
      <w:r>
        <w:t>Der Gummistopfen kann vom schmalen Ende her um fast die Hälfte gekürzt werden (Seitenschneider, Messer o.ä.).</w:t>
      </w:r>
    </w:p>
    <w:p w:rsidR="00DA00F9" w:rsidRDefault="00DA00F9" w:rsidP="00DA00F9">
      <w:pPr>
        <w:pStyle w:val="Liste2Aufzhlung"/>
      </w:pPr>
      <w:r>
        <w:t>Die Kanüle wird wie in Abb. 3 gezeigt vorsichtig und langsam durch den Gummistopfen gedrückt.</w:t>
      </w:r>
    </w:p>
    <w:tbl>
      <w:tblPr>
        <w:tblW w:w="2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DA00F9" w:rsidTr="00DA00F9">
        <w:trPr>
          <w:jc w:val="center"/>
        </w:trPr>
        <w:tc>
          <w:tcPr>
            <w:tcW w:w="4980" w:type="dxa"/>
            <w:vAlign w:val="center"/>
            <w:hideMark/>
          </w:tcPr>
          <w:p w:rsidR="00DA00F9" w:rsidRDefault="00DA00F9" w:rsidP="00DA00F9">
            <w:pPr>
              <w:pStyle w:val="Bilder"/>
            </w:pPr>
            <w:r>
              <w:rPr>
                <w:lang w:eastAsia="de-DE"/>
              </w:rPr>
              <w:drawing>
                <wp:inline distT="0" distB="0" distL="0" distR="0">
                  <wp:extent cx="276225" cy="581025"/>
                  <wp:effectExtent l="0" t="0" r="0" b="0"/>
                  <wp:docPr id="4" name="Grafik 4" descr="http://daten.didaktikchemie.uni-bayreuth.de/experimente/chembox/images/gleichl_stopf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aten.didaktikchemie.uni-bayreuth.de/experimente/chembox/images/gleichl_stopf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0F9" w:rsidTr="00DA00F9">
        <w:trPr>
          <w:jc w:val="center"/>
        </w:trPr>
        <w:tc>
          <w:tcPr>
            <w:tcW w:w="4980" w:type="dxa"/>
            <w:vAlign w:val="center"/>
            <w:hideMark/>
          </w:tcPr>
          <w:p w:rsidR="00DA00F9" w:rsidRDefault="00DA00F9" w:rsidP="00DA00F9">
            <w:pPr>
              <w:pStyle w:val="Beschriftung"/>
            </w:pPr>
            <w:r>
              <w:rPr>
                <w:b/>
                <w:bCs/>
              </w:rPr>
              <w:t xml:space="preserve">Abb. 3: </w:t>
            </w:r>
            <w:r>
              <w:t>Kanüle durch Gummistopfen</w:t>
            </w:r>
          </w:p>
        </w:tc>
      </w:tr>
    </w:tbl>
    <w:p w:rsidR="00DA00F9" w:rsidRDefault="00DA00F9" w:rsidP="00DA00F9">
      <w:pPr>
        <w:pStyle w:val="Liste2Aufzhlung"/>
      </w:pPr>
      <w:r>
        <w:lastRenderedPageBreak/>
        <w:t xml:space="preserve">An der Nahtstelle zwischen Kanüle und Stopfen nun einen dicken Wulst Silikon mit dem Finger auftragen (Abb. 4) und in den PVC-Schlauch einschieben, bis der Stopfen ganz drin ist. </w:t>
      </w:r>
      <w:r w:rsidRPr="00280151">
        <w:rPr>
          <w:color w:val="FF0000" w:themeColor="accent2"/>
        </w:rPr>
        <w:t>Achten Sie darauf, dass keine S</w:t>
      </w:r>
      <w:r w:rsidR="00280151" w:rsidRPr="00280151">
        <w:rPr>
          <w:color w:val="FF0000" w:themeColor="accent2"/>
        </w:rPr>
        <w:t>ilikonmasse in die Kanüle gerät.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4575"/>
      </w:tblGrid>
      <w:tr w:rsidR="00DA00F9" w:rsidTr="00DA00F9">
        <w:tc>
          <w:tcPr>
            <w:tcW w:w="0" w:type="auto"/>
            <w:vAlign w:val="center"/>
            <w:hideMark/>
          </w:tcPr>
          <w:p w:rsidR="00DA00F9" w:rsidRDefault="00DA00F9" w:rsidP="00DA00F9">
            <w:pPr>
              <w:pStyle w:val="Bilder"/>
            </w:pPr>
            <w:r>
              <w:rPr>
                <w:lang w:eastAsia="de-DE"/>
              </w:rPr>
              <w:drawing>
                <wp:inline distT="0" distB="0" distL="0" distR="0">
                  <wp:extent cx="295275" cy="952500"/>
                  <wp:effectExtent l="0" t="0" r="0" b="0"/>
                  <wp:docPr id="3" name="Grafik 3" descr="http://daten.didaktikchemie.uni-bayreuth.de/experimente/chembox/images/gleichl_kanue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aten.didaktikchemie.uni-bayreuth.de/experimente/chembox/images/gleichl_kanue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vAlign w:val="center"/>
            <w:hideMark/>
          </w:tcPr>
          <w:p w:rsidR="00DA00F9" w:rsidRDefault="00DA00F9" w:rsidP="00DA00F9">
            <w:pPr>
              <w:pStyle w:val="Bilder"/>
            </w:pPr>
            <w:r>
              <w:rPr>
                <w:lang w:eastAsia="de-DE"/>
              </w:rPr>
              <w:drawing>
                <wp:inline distT="0" distB="0" distL="0" distR="0">
                  <wp:extent cx="762000" cy="2886075"/>
                  <wp:effectExtent l="0" t="0" r="0" b="0"/>
                  <wp:docPr id="2" name="Grafik 2" descr="http://daten.didaktikchemie.uni-bayreuth.de/experimente/chembox/images/gleichl_komp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aten.didaktikchemie.uni-bayreuth.de/experimente/chembox/images/gleichl_komp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0F9" w:rsidTr="00DA00F9">
        <w:tc>
          <w:tcPr>
            <w:tcW w:w="0" w:type="auto"/>
            <w:vAlign w:val="center"/>
            <w:hideMark/>
          </w:tcPr>
          <w:p w:rsidR="00DA00F9" w:rsidRPr="00DA00F9" w:rsidRDefault="00DA00F9" w:rsidP="00DA00F9">
            <w:pPr>
              <w:pStyle w:val="Beschriftung"/>
            </w:pPr>
            <w:r w:rsidRPr="00DA00F9">
              <w:rPr>
                <w:b/>
              </w:rPr>
              <w:t>Abb. 4:</w:t>
            </w:r>
            <w:r w:rsidRPr="00DA00F9">
              <w:t xml:space="preserve"> Grau wieder die Silikonmasse.</w:t>
            </w:r>
          </w:p>
        </w:tc>
        <w:tc>
          <w:tcPr>
            <w:tcW w:w="4575" w:type="dxa"/>
            <w:vAlign w:val="center"/>
            <w:hideMark/>
          </w:tcPr>
          <w:p w:rsidR="00DA00F9" w:rsidRPr="00DA00F9" w:rsidRDefault="00DA00F9" w:rsidP="00DA00F9">
            <w:pPr>
              <w:pStyle w:val="Beschriftung"/>
            </w:pPr>
            <w:r w:rsidRPr="00DA00F9">
              <w:rPr>
                <w:b/>
              </w:rPr>
              <w:t>Abb. 5</w:t>
            </w:r>
            <w:r w:rsidRPr="00DA00F9">
              <w:t>: Fertige Gleichlaufbürette</w:t>
            </w:r>
          </w:p>
        </w:tc>
      </w:tr>
    </w:tbl>
    <w:p w:rsidR="00DA00F9" w:rsidRDefault="00DA00F9" w:rsidP="00DA00F9">
      <w:pPr>
        <w:pStyle w:val="Liste2Aufzhlung"/>
      </w:pPr>
      <w:r>
        <w:t xml:space="preserve">Abschließend wird der präparierte PVC-Schlauch fest auf den Auslass des Schütteltrichters geschoben (ggf. Schlauch in heißem Wasser erwärmen; auf jeden Fall anfeuchten). Zwischen Kanüle und Auslass-Ende sollte möglichst wenig Platz sein: hier bleibt sonst eine Luftblase hängen, die den Durchfluss behindern kann. Fertig (Abb. 5). </w:t>
      </w:r>
    </w:p>
    <w:p w:rsidR="00DA00F9" w:rsidRDefault="00DA00F9" w:rsidP="00DA00F9">
      <w:pPr>
        <w:pStyle w:val="Liste2Aufzhlung"/>
      </w:pPr>
      <w:r>
        <w:t xml:space="preserve">Für die spätere Reinigung sollte ein steifer Draht zur Verfügung stehen, der durch die Kanüle passt. </w:t>
      </w:r>
    </w:p>
    <w:p w:rsidR="00DA00F9" w:rsidRPr="00F11F04" w:rsidRDefault="00DA00F9" w:rsidP="00F11F04">
      <w:pPr>
        <w:pStyle w:val="Liste2Aufzhlung"/>
      </w:pPr>
      <w:r>
        <w:t>Quelle: zurzeit unbekannt. Wir bitten um Hi</w:t>
      </w:r>
      <w:r w:rsidR="00F11F04">
        <w:t>nweise auf den Original-Autor</w:t>
      </w:r>
      <w:r w:rsidR="00280151">
        <w:t>.</w:t>
      </w:r>
      <w:bookmarkStart w:id="0" w:name="_GoBack"/>
      <w:bookmarkEnd w:id="0"/>
    </w:p>
    <w:p w:rsidR="00DA00F9" w:rsidRDefault="00DA00F9" w:rsidP="00F11F04">
      <w:pPr>
        <w:pStyle w:val="Autor"/>
        <w:jc w:val="both"/>
      </w:pPr>
    </w:p>
    <w:sectPr w:rsidR="00DA00F9" w:rsidSect="00931B30">
      <w:footerReference w:type="default" r:id="rId14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2A" w:rsidRDefault="0074462A" w:rsidP="005A7DCE">
      <w:pPr>
        <w:spacing w:before="0"/>
      </w:pPr>
      <w:r>
        <w:separator/>
      </w:r>
    </w:p>
  </w:endnote>
  <w:endnote w:type="continuationSeparator" w:id="0">
    <w:p w:rsidR="0074462A" w:rsidRDefault="0074462A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:rsidR="007347BB" w:rsidRDefault="007347BB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34319F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7347BB" w:rsidRDefault="007347BB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80151">
          <w:rPr>
            <w:noProof/>
          </w:rPr>
          <w:t>2</w:t>
        </w:r>
        <w:r>
          <w:fldChar w:fldCharType="end"/>
        </w:r>
      </w:p>
    </w:sdtContent>
  </w:sdt>
  <w:p w:rsidR="007347BB" w:rsidRDefault="007347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2A" w:rsidRDefault="0074462A" w:rsidP="005A7DCE">
      <w:pPr>
        <w:spacing w:before="0"/>
      </w:pPr>
      <w:r>
        <w:separator/>
      </w:r>
    </w:p>
  </w:footnote>
  <w:footnote w:type="continuationSeparator" w:id="0">
    <w:p w:rsidR="0074462A" w:rsidRDefault="0074462A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7AE"/>
    <w:multiLevelType w:val="multilevel"/>
    <w:tmpl w:val="0078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F350F"/>
    <w:multiLevelType w:val="multilevel"/>
    <w:tmpl w:val="5A7E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073A5B38"/>
    <w:multiLevelType w:val="multilevel"/>
    <w:tmpl w:val="8E64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BD630CA"/>
    <w:multiLevelType w:val="multilevel"/>
    <w:tmpl w:val="003C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8" w15:restartNumberingAfterBreak="0">
    <w:nsid w:val="0F514781"/>
    <w:multiLevelType w:val="multilevel"/>
    <w:tmpl w:val="C49A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F019F"/>
    <w:multiLevelType w:val="multilevel"/>
    <w:tmpl w:val="C97E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D7260"/>
    <w:multiLevelType w:val="multilevel"/>
    <w:tmpl w:val="34FE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4249F3"/>
    <w:multiLevelType w:val="multilevel"/>
    <w:tmpl w:val="684C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BF4742"/>
    <w:multiLevelType w:val="multilevel"/>
    <w:tmpl w:val="E584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B56C6C"/>
    <w:multiLevelType w:val="multilevel"/>
    <w:tmpl w:val="5A0C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82A0F"/>
    <w:multiLevelType w:val="multilevel"/>
    <w:tmpl w:val="80A6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447A8"/>
    <w:multiLevelType w:val="multilevel"/>
    <w:tmpl w:val="6E70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7" w15:restartNumberingAfterBreak="0">
    <w:nsid w:val="303234A4"/>
    <w:multiLevelType w:val="multilevel"/>
    <w:tmpl w:val="7CB0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19" w15:restartNumberingAfterBreak="0">
    <w:nsid w:val="337F4598"/>
    <w:multiLevelType w:val="multilevel"/>
    <w:tmpl w:val="1576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7E1018"/>
    <w:multiLevelType w:val="multilevel"/>
    <w:tmpl w:val="599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77D36"/>
    <w:multiLevelType w:val="multilevel"/>
    <w:tmpl w:val="57C0C8D6"/>
    <w:lvl w:ilvl="0">
      <w:start w:val="1"/>
      <w:numFmt w:val="bullet"/>
      <w:pStyle w:val="Liste1Aufzhlung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80" w:hanging="396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22" w15:restartNumberingAfterBreak="0">
    <w:nsid w:val="3B1A0554"/>
    <w:multiLevelType w:val="multilevel"/>
    <w:tmpl w:val="2C98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9E0625"/>
    <w:multiLevelType w:val="multilevel"/>
    <w:tmpl w:val="BAA6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9873C6"/>
    <w:multiLevelType w:val="multilevel"/>
    <w:tmpl w:val="9BA2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A37FE1"/>
    <w:multiLevelType w:val="multilevel"/>
    <w:tmpl w:val="729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6647AA"/>
    <w:multiLevelType w:val="multilevel"/>
    <w:tmpl w:val="2C5C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6F1EE0"/>
    <w:multiLevelType w:val="multilevel"/>
    <w:tmpl w:val="3918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834A44"/>
    <w:multiLevelType w:val="multilevel"/>
    <w:tmpl w:val="B6F2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E41EC3"/>
    <w:multiLevelType w:val="multilevel"/>
    <w:tmpl w:val="A36C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8F1A6E"/>
    <w:multiLevelType w:val="multilevel"/>
    <w:tmpl w:val="506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32" w15:restartNumberingAfterBreak="0">
    <w:nsid w:val="589E6F17"/>
    <w:multiLevelType w:val="multilevel"/>
    <w:tmpl w:val="2960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89594F"/>
    <w:multiLevelType w:val="multilevel"/>
    <w:tmpl w:val="E4B4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1F2CA0"/>
    <w:multiLevelType w:val="multilevel"/>
    <w:tmpl w:val="57D2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6A3844"/>
    <w:multiLevelType w:val="multilevel"/>
    <w:tmpl w:val="81A0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7816AA"/>
    <w:multiLevelType w:val="multilevel"/>
    <w:tmpl w:val="651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FE17A6"/>
    <w:multiLevelType w:val="multilevel"/>
    <w:tmpl w:val="FE92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5A4D7C"/>
    <w:multiLevelType w:val="multilevel"/>
    <w:tmpl w:val="99A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40" w15:restartNumberingAfterBreak="0">
    <w:nsid w:val="7AF30289"/>
    <w:multiLevelType w:val="multilevel"/>
    <w:tmpl w:val="E6C6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4">
    <w:abstractNumId w:val="16"/>
  </w:num>
  <w:num w:numId="5">
    <w:abstractNumId w:val="31"/>
  </w:num>
  <w:num w:numId="6">
    <w:abstractNumId w:val="18"/>
  </w:num>
  <w:num w:numId="7">
    <w:abstractNumId w:val="21"/>
  </w:num>
  <w:num w:numId="8">
    <w:abstractNumId w:val="2"/>
  </w:num>
  <w:num w:numId="9">
    <w:abstractNumId w:val="39"/>
  </w:num>
  <w:num w:numId="10">
    <w:abstractNumId w:val="3"/>
  </w:num>
  <w:num w:numId="11">
    <w:abstractNumId w:val="9"/>
  </w:num>
  <w:num w:numId="12">
    <w:abstractNumId w:val="23"/>
  </w:num>
  <w:num w:numId="13">
    <w:abstractNumId w:val="29"/>
  </w:num>
  <w:num w:numId="14">
    <w:abstractNumId w:val="8"/>
  </w:num>
  <w:num w:numId="15">
    <w:abstractNumId w:val="27"/>
  </w:num>
  <w:num w:numId="16">
    <w:abstractNumId w:val="11"/>
  </w:num>
  <w:num w:numId="17">
    <w:abstractNumId w:val="17"/>
  </w:num>
  <w:num w:numId="18">
    <w:abstractNumId w:val="12"/>
  </w:num>
  <w:num w:numId="19">
    <w:abstractNumId w:val="38"/>
  </w:num>
  <w:num w:numId="20">
    <w:abstractNumId w:val="30"/>
  </w:num>
  <w:num w:numId="21">
    <w:abstractNumId w:val="1"/>
  </w:num>
  <w:num w:numId="22">
    <w:abstractNumId w:val="20"/>
  </w:num>
  <w:num w:numId="23">
    <w:abstractNumId w:val="14"/>
  </w:num>
  <w:num w:numId="24">
    <w:abstractNumId w:val="24"/>
  </w:num>
  <w:num w:numId="25">
    <w:abstractNumId w:val="19"/>
  </w:num>
  <w:num w:numId="26">
    <w:abstractNumId w:val="32"/>
  </w:num>
  <w:num w:numId="27">
    <w:abstractNumId w:val="34"/>
  </w:num>
  <w:num w:numId="28">
    <w:abstractNumId w:val="28"/>
  </w:num>
  <w:num w:numId="29">
    <w:abstractNumId w:val="6"/>
  </w:num>
  <w:num w:numId="30">
    <w:abstractNumId w:val="40"/>
  </w:num>
  <w:num w:numId="31">
    <w:abstractNumId w:val="22"/>
  </w:num>
  <w:num w:numId="32">
    <w:abstractNumId w:val="0"/>
  </w:num>
  <w:num w:numId="33">
    <w:abstractNumId w:val="36"/>
  </w:num>
  <w:num w:numId="34">
    <w:abstractNumId w:val="26"/>
  </w:num>
  <w:num w:numId="35">
    <w:abstractNumId w:val="37"/>
  </w:num>
  <w:num w:numId="36">
    <w:abstractNumId w:val="10"/>
  </w:num>
  <w:num w:numId="37">
    <w:abstractNumId w:val="25"/>
  </w:num>
  <w:num w:numId="38">
    <w:abstractNumId w:val="13"/>
  </w:num>
  <w:num w:numId="39">
    <w:abstractNumId w:val="33"/>
  </w:num>
  <w:num w:numId="40">
    <w:abstractNumId w:val="35"/>
  </w:num>
  <w:num w:numId="4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30DD4"/>
    <w:rsid w:val="00045EDE"/>
    <w:rsid w:val="000712A2"/>
    <w:rsid w:val="00074491"/>
    <w:rsid w:val="000D4A1C"/>
    <w:rsid w:val="000E61E0"/>
    <w:rsid w:val="000F70B1"/>
    <w:rsid w:val="001554A8"/>
    <w:rsid w:val="001D6942"/>
    <w:rsid w:val="00280151"/>
    <w:rsid w:val="002A146D"/>
    <w:rsid w:val="0033663A"/>
    <w:rsid w:val="0036111E"/>
    <w:rsid w:val="00393E19"/>
    <w:rsid w:val="005633FE"/>
    <w:rsid w:val="00584866"/>
    <w:rsid w:val="005A7DCE"/>
    <w:rsid w:val="00614905"/>
    <w:rsid w:val="00686FAF"/>
    <w:rsid w:val="006B41A5"/>
    <w:rsid w:val="007161D1"/>
    <w:rsid w:val="007347BB"/>
    <w:rsid w:val="0074462A"/>
    <w:rsid w:val="00783295"/>
    <w:rsid w:val="007B2C80"/>
    <w:rsid w:val="007F18E1"/>
    <w:rsid w:val="008117E4"/>
    <w:rsid w:val="00825BFE"/>
    <w:rsid w:val="00850560"/>
    <w:rsid w:val="00883728"/>
    <w:rsid w:val="008931AF"/>
    <w:rsid w:val="008A524D"/>
    <w:rsid w:val="00931B30"/>
    <w:rsid w:val="009710A6"/>
    <w:rsid w:val="009718A0"/>
    <w:rsid w:val="00A21130"/>
    <w:rsid w:val="00A5383F"/>
    <w:rsid w:val="00AA23A7"/>
    <w:rsid w:val="00AA5D66"/>
    <w:rsid w:val="00AB7E4B"/>
    <w:rsid w:val="00AE53F0"/>
    <w:rsid w:val="00AF7672"/>
    <w:rsid w:val="00B96228"/>
    <w:rsid w:val="00BF7BD3"/>
    <w:rsid w:val="00D97908"/>
    <w:rsid w:val="00DA00F9"/>
    <w:rsid w:val="00E14DE1"/>
    <w:rsid w:val="00E20AF3"/>
    <w:rsid w:val="00E54A99"/>
    <w:rsid w:val="00E8473B"/>
    <w:rsid w:val="00EC058F"/>
    <w:rsid w:val="00EF0762"/>
    <w:rsid w:val="00F11F04"/>
    <w:rsid w:val="00F76D18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137EA2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1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1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1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1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6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5633FE"/>
    <w:pPr>
      <w:numPr>
        <w:numId w:val="7"/>
      </w:numPr>
      <w:ind w:left="397" w:hanging="397"/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2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3"/>
      </w:numPr>
      <w:shd w:val="clear" w:color="auto" w:fill="DFDFDF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4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5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8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5633FE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9"/>
      </w:numPr>
      <w:shd w:val="clear" w:color="auto" w:fill="BFBFBF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BFBFBF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5633FE"/>
    <w:pPr>
      <w:ind w:left="681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03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Standard"/>
    <w:rsid w:val="007347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auto-style1">
    <w:name w:val="auto-style1"/>
    <w:basedOn w:val="Standard"/>
    <w:rsid w:val="007347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8000"/>
      <w:szCs w:val="24"/>
      <w:lang w:eastAsia="de-DE"/>
    </w:rPr>
  </w:style>
  <w:style w:type="paragraph" w:customStyle="1" w:styleId="auto-style2">
    <w:name w:val="auto-style2"/>
    <w:basedOn w:val="Standard"/>
    <w:rsid w:val="007347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808080"/>
      <w:szCs w:val="24"/>
      <w:lang w:eastAsia="de-DE"/>
    </w:rPr>
  </w:style>
  <w:style w:type="paragraph" w:customStyle="1" w:styleId="auto-style4">
    <w:name w:val="auto-style4"/>
    <w:basedOn w:val="Standard"/>
    <w:rsid w:val="007347BB"/>
    <w:pPr>
      <w:spacing w:before="100" w:beforeAutospacing="1" w:after="100" w:afterAutospacing="1"/>
      <w:jc w:val="left"/>
    </w:pPr>
    <w:rPr>
      <w:rFonts w:eastAsia="Times New Roman" w:cs="Arial"/>
      <w:szCs w:val="24"/>
      <w:lang w:eastAsia="de-DE"/>
    </w:rPr>
  </w:style>
  <w:style w:type="paragraph" w:customStyle="1" w:styleId="auto-style5">
    <w:name w:val="auto-style5"/>
    <w:basedOn w:val="Standard"/>
    <w:rsid w:val="007347BB"/>
    <w:pPr>
      <w:shd w:val="clear" w:color="auto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347BB"/>
    <w:rPr>
      <w:color w:val="800080"/>
      <w:u w:val="single"/>
    </w:rPr>
  </w:style>
  <w:style w:type="character" w:customStyle="1" w:styleId="auto-style51">
    <w:name w:val="auto-style51"/>
    <w:basedOn w:val="Absatz-Standardschriftart"/>
    <w:rsid w:val="007347BB"/>
    <w:rPr>
      <w:shd w:val="clear" w:color="auto" w:fill="FFFFFF"/>
    </w:rPr>
  </w:style>
  <w:style w:type="character" w:customStyle="1" w:styleId="auto-style11">
    <w:name w:val="auto-style11"/>
    <w:basedOn w:val="Absatz-Standardschriftart"/>
    <w:rsid w:val="007347BB"/>
    <w:rPr>
      <w:color w:val="008000"/>
    </w:rPr>
  </w:style>
  <w:style w:type="character" w:customStyle="1" w:styleId="auto-style21">
    <w:name w:val="auto-style21"/>
    <w:basedOn w:val="Absatz-Standardschriftart"/>
    <w:rsid w:val="007347BB"/>
    <w:rPr>
      <w:color w:val="808080"/>
    </w:rPr>
  </w:style>
  <w:style w:type="character" w:styleId="Fett">
    <w:name w:val="Strong"/>
    <w:basedOn w:val="Absatz-Standardschriftart"/>
    <w:uiPriority w:val="22"/>
    <w:qFormat/>
    <w:rsid w:val="00584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">
  <a:themeElements>
    <a:clrScheme name="Regina">
      <a:dk1>
        <a:sysClr val="windowText" lastClr="000000"/>
      </a:dk1>
      <a:lt1>
        <a:sysClr val="window" lastClr="FFFFFF"/>
      </a:lt1>
      <a:dk2>
        <a:srgbClr val="5F5F5F"/>
      </a:dk2>
      <a:lt2>
        <a:srgbClr val="E7E6E6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FF6400"/>
      </a:accent6>
      <a:hlink>
        <a:srgbClr val="6600CC"/>
      </a:hlink>
      <a:folHlink>
        <a:srgbClr val="66CC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5C89-A0FC-44C0-AFA2-D03AA1F9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3</cp:revision>
  <cp:lastPrinted>2020-07-17T13:31:00Z</cp:lastPrinted>
  <dcterms:created xsi:type="dcterms:W3CDTF">2020-11-06T15:06:00Z</dcterms:created>
  <dcterms:modified xsi:type="dcterms:W3CDTF">2021-06-07T15:45:00Z</dcterms:modified>
</cp:coreProperties>
</file>