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A25B94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6A4495" w:rsidRDefault="006A4495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6A4495" w:rsidRDefault="006A4495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3419F785" w:rsidR="00AE53F0" w:rsidRPr="00067CE2" w:rsidRDefault="00E8473B" w:rsidP="00067CE2">
      <w:pPr>
        <w:pStyle w:val="Seminar"/>
      </w:pPr>
      <w:r w:rsidRPr="00067CE2">
        <w:t>Seminar</w:t>
      </w:r>
      <w:r w:rsidR="00FD7888" w:rsidRPr="00067CE2">
        <w:t xml:space="preserve"> „Übungen im Vortragen – AC“</w:t>
      </w:r>
    </w:p>
    <w:p w14:paraId="61C6F5BC" w14:textId="785DC67B" w:rsidR="00E8473B" w:rsidRDefault="00067CE2" w:rsidP="005633FE">
      <w:pPr>
        <w:pStyle w:val="Titel"/>
      </w:pPr>
      <w:r>
        <w:t>Säuren und Basen:</w:t>
      </w:r>
      <w:r>
        <w:br/>
        <w:t>Typen von Titrationskurven</w:t>
      </w:r>
    </w:p>
    <w:p w14:paraId="28CE20D7" w14:textId="5DE22E99" w:rsidR="00E8473B" w:rsidRDefault="00067CE2" w:rsidP="00E8473B">
      <w:pPr>
        <w:pStyle w:val="Autor"/>
      </w:pPr>
      <w:r>
        <w:t>Andreas Bock, WS 00/01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000AF59B" w14:textId="5829FE63" w:rsidR="00B97F04" w:rsidRDefault="009B4835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B97F04" w:rsidRPr="00007C3F">
            <w:rPr>
              <w:rStyle w:val="Hyperlink"/>
              <w:noProof/>
            </w:rPr>
            <w:fldChar w:fldCharType="begin"/>
          </w:r>
          <w:r w:rsidR="00B97F04" w:rsidRPr="00007C3F">
            <w:rPr>
              <w:rStyle w:val="Hyperlink"/>
              <w:noProof/>
            </w:rPr>
            <w:instrText xml:space="preserve"> </w:instrText>
          </w:r>
          <w:r w:rsidR="00B97F04">
            <w:rPr>
              <w:noProof/>
            </w:rPr>
            <w:instrText>HYPERLINK \l "_Toc65591787"</w:instrText>
          </w:r>
          <w:r w:rsidR="00B97F04" w:rsidRPr="00007C3F">
            <w:rPr>
              <w:rStyle w:val="Hyperlink"/>
              <w:noProof/>
            </w:rPr>
            <w:instrText xml:space="preserve"> </w:instrText>
          </w:r>
          <w:r w:rsidR="00B97F04" w:rsidRPr="00007C3F">
            <w:rPr>
              <w:rStyle w:val="Hyperlink"/>
              <w:noProof/>
            </w:rPr>
          </w:r>
          <w:r w:rsidR="00B97F04" w:rsidRPr="00007C3F">
            <w:rPr>
              <w:rStyle w:val="Hyperlink"/>
              <w:noProof/>
            </w:rPr>
            <w:fldChar w:fldCharType="separate"/>
          </w:r>
          <w:r w:rsidR="00B97F04" w:rsidRPr="00007C3F">
            <w:rPr>
              <w:rStyle w:val="Hyperlink"/>
              <w:noProof/>
            </w:rPr>
            <w:t>1</w:t>
          </w:r>
          <w:r w:rsidR="00B97F04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B97F04" w:rsidRPr="00007C3F">
            <w:rPr>
              <w:rStyle w:val="Hyperlink"/>
              <w:noProof/>
            </w:rPr>
            <w:t>Begriffe</w:t>
          </w:r>
          <w:r w:rsidR="00B97F04">
            <w:rPr>
              <w:noProof/>
              <w:webHidden/>
            </w:rPr>
            <w:tab/>
          </w:r>
          <w:r w:rsidR="00B97F04">
            <w:rPr>
              <w:noProof/>
              <w:webHidden/>
            </w:rPr>
            <w:fldChar w:fldCharType="begin"/>
          </w:r>
          <w:r w:rsidR="00B97F04">
            <w:rPr>
              <w:noProof/>
              <w:webHidden/>
            </w:rPr>
            <w:instrText xml:space="preserve"> PAGEREF _Toc65591787 \h </w:instrText>
          </w:r>
          <w:r w:rsidR="00B97F04">
            <w:rPr>
              <w:noProof/>
              <w:webHidden/>
            </w:rPr>
          </w:r>
          <w:r w:rsidR="00B97F04">
            <w:rPr>
              <w:noProof/>
              <w:webHidden/>
            </w:rPr>
            <w:fldChar w:fldCharType="separate"/>
          </w:r>
          <w:r w:rsidR="00B97F04">
            <w:rPr>
              <w:noProof/>
              <w:webHidden/>
            </w:rPr>
            <w:t>1</w:t>
          </w:r>
          <w:r w:rsidR="00B97F04">
            <w:rPr>
              <w:noProof/>
              <w:webHidden/>
            </w:rPr>
            <w:fldChar w:fldCharType="end"/>
          </w:r>
          <w:r w:rsidR="00B97F04" w:rsidRPr="00007C3F">
            <w:rPr>
              <w:rStyle w:val="Hyperlink"/>
              <w:noProof/>
            </w:rPr>
            <w:fldChar w:fldCharType="end"/>
          </w:r>
        </w:p>
        <w:p w14:paraId="3F7CE75E" w14:textId="39720EEC" w:rsidR="00B97F04" w:rsidRDefault="00B97F0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5591788" w:history="1">
            <w:r w:rsidRPr="00007C3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7C3F">
              <w:rPr>
                <w:rStyle w:val="Hyperlink"/>
                <w:noProof/>
              </w:rPr>
              <w:t>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_Toc65591788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4D37F" w14:textId="6568E9ED" w:rsidR="00B97F04" w:rsidRDefault="00B97F04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5591789" w:history="1">
            <w:r w:rsidRPr="00007C3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007C3F">
              <w:rPr>
                <w:rStyle w:val="Hyperlink"/>
                <w:noProof/>
              </w:rPr>
              <w:t>Beispiel: Titration von Essigsäure mit Natronlauge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_Toc65591789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765BB" w14:textId="042E51F6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06CE8F08" w14:textId="692FD780" w:rsidR="00FD7888" w:rsidRDefault="00FD7888" w:rsidP="00FD7888">
      <w:pPr>
        <w:pStyle w:val="EinstiegAbschluss"/>
      </w:pPr>
      <w:bookmarkStart w:id="1" w:name="_Überschrift_1"/>
      <w:bookmarkEnd w:id="1"/>
      <w:r w:rsidRPr="00B97F04">
        <w:rPr>
          <w:b/>
        </w:rPr>
        <w:t>Einstieg</w:t>
      </w:r>
      <w:r>
        <w:t>:</w:t>
      </w:r>
      <w:r w:rsidR="00B97F04">
        <w:t xml:space="preserve"> fehlt.</w:t>
      </w:r>
    </w:p>
    <w:p w14:paraId="3D51DEDA" w14:textId="2F8A6538" w:rsidR="00E8473B" w:rsidRDefault="00B97F04" w:rsidP="008A524D">
      <w:pPr>
        <w:pStyle w:val="berschrift1"/>
      </w:pPr>
      <w:bookmarkStart w:id="2" w:name="_Toc65591787"/>
      <w:r>
        <w:t>Begriffe</w:t>
      </w:r>
      <w:bookmarkEnd w:id="2"/>
    </w:p>
    <w:p w14:paraId="5EA772DA" w14:textId="51612485" w:rsidR="00067CE2" w:rsidRDefault="00067CE2" w:rsidP="00067CE2">
      <w:pPr>
        <w:rPr>
          <w:rFonts w:cs="Arial"/>
        </w:rPr>
      </w:pPr>
      <w:r>
        <w:rPr>
          <w:rFonts w:cs="Arial"/>
        </w:rPr>
        <w:t xml:space="preserve">Bereits Boyle (1627 - 1691) versucht sich über den Charakter von Säuren und Basen klar zu werden. 1883 gelingt es Arrhenius (1859 - 1927) eine brauchbare Theorie zu entwickeln, die allerdings auf Wasser und OH–haltige Lösemittel beschränkt bleibt. Mit der 1923 von </w:t>
      </w:r>
      <w:proofErr w:type="spellStart"/>
      <w:r>
        <w:rPr>
          <w:rFonts w:cs="Arial"/>
        </w:rPr>
        <w:t>Brönsted</w:t>
      </w:r>
      <w:proofErr w:type="spellEnd"/>
      <w:r>
        <w:rPr>
          <w:rFonts w:cs="Arial"/>
        </w:rPr>
        <w:t xml:space="preserve"> (1879 - 1947) und Lowry (1874 - 1936) gefundenen Theorie lassen sich Säure-Base-Reaktionen gut erklären. Nach </w:t>
      </w:r>
      <w:proofErr w:type="spellStart"/>
      <w:r>
        <w:rPr>
          <w:rFonts w:cs="Arial"/>
        </w:rPr>
        <w:t>Brönsted</w:t>
      </w:r>
      <w:proofErr w:type="spellEnd"/>
      <w:r>
        <w:rPr>
          <w:rFonts w:cs="Arial"/>
        </w:rPr>
        <w:t xml:space="preserve"> sind Säuren Protonen-</w:t>
      </w:r>
      <w:proofErr w:type="spellStart"/>
      <w:r>
        <w:rPr>
          <w:rFonts w:cs="Arial"/>
        </w:rPr>
        <w:t>Donatoren</w:t>
      </w:r>
      <w:proofErr w:type="spellEnd"/>
      <w:r>
        <w:rPr>
          <w:rFonts w:cs="Arial"/>
        </w:rPr>
        <w:t xml:space="preserve"> und Laugen Protonen-Akzeptoren. Säure-Base-Reaktionen sind Gleichgewichts-Reaktionen (Protolysen) an denen stets zwei korrespondierende Säure-Base-Paare beteiligt sind. Eine wichtige Größe ist der pH-Wert, der als der negative dekadische Logarithmus des Zahlenwertes der H</w:t>
      </w:r>
      <w:r>
        <w:rPr>
          <w:rFonts w:cs="Arial"/>
          <w:vertAlign w:val="superscript"/>
        </w:rPr>
        <w:t>+</w:t>
      </w:r>
      <w:r>
        <w:rPr>
          <w:rFonts w:cs="Arial"/>
        </w:rPr>
        <w:t>-Ionen-Konzentration definiert ist.</w:t>
      </w:r>
    </w:p>
    <w:p w14:paraId="16C2EB4B" w14:textId="5259A9BB" w:rsidR="00067CE2" w:rsidRPr="00067CE2" w:rsidRDefault="00067CE2" w:rsidP="00067CE2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pH = 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r>
                <m:rPr>
                  <m:nor/>
                </m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m:t>+</m:t>
                      </m:r>
                    </m:sup>
                  </m:sSup>
                </m:e>
              </m:d>
            </m:e>
          </m:func>
        </m:oMath>
      </m:oMathPara>
    </w:p>
    <w:p w14:paraId="54D15209" w14:textId="550F98FC" w:rsidR="00067CE2" w:rsidRDefault="00067CE2" w:rsidP="00067CE2">
      <w:pPr>
        <w:rPr>
          <w:rFonts w:cs="Arial"/>
        </w:rPr>
      </w:pPr>
      <w:r>
        <w:rPr>
          <w:rFonts w:cs="Arial"/>
        </w:rPr>
        <w:t>Im Folgenden sind einige, zum Verständnis von Titrationskurven wichtige Begriffe definiert:</w:t>
      </w:r>
    </w:p>
    <w:p w14:paraId="526CE4BF" w14:textId="1CF9F936" w:rsidR="00067CE2" w:rsidRDefault="00067CE2" w:rsidP="00067CE2">
      <w:pPr>
        <w:pStyle w:val="Grn"/>
      </w:pPr>
      <w:r w:rsidRPr="00067CE2">
        <w:t xml:space="preserve">Die </w:t>
      </w:r>
      <w:r w:rsidRPr="00067CE2">
        <w:rPr>
          <w:rStyle w:val="Fett"/>
        </w:rPr>
        <w:t>Titration</w:t>
      </w:r>
      <w:r w:rsidRPr="00067CE2">
        <w:t xml:space="preserve"> ist eine quantitative, analytische Methode, bei der die Zusammensetzung einer Lösung (Analyt) durch sorgfältige Zugabe einer Reagenz</w:t>
      </w:r>
      <w:r>
        <w:t>-L</w:t>
      </w:r>
      <w:r w:rsidRPr="00067CE2">
        <w:t>ösung (</w:t>
      </w:r>
      <w:proofErr w:type="spellStart"/>
      <w:r w:rsidRPr="00067CE2">
        <w:t>Titrant</w:t>
      </w:r>
      <w:proofErr w:type="spellEnd"/>
      <w:r w:rsidRPr="00067CE2">
        <w:t>), deren Konzentration und Stoff</w:t>
      </w:r>
      <w:r>
        <w:t>-M</w:t>
      </w:r>
      <w:r w:rsidRPr="00067CE2">
        <w:t xml:space="preserve">enge bekannt ist, bestimmt wird. Die Zugabe muss bis zur vollständigen Umsetzung erfolgen; die Menge an verbrauchtem </w:t>
      </w:r>
      <w:proofErr w:type="spellStart"/>
      <w:r w:rsidRPr="00067CE2">
        <w:t>Titrant</w:t>
      </w:r>
      <w:proofErr w:type="spellEnd"/>
      <w:r w:rsidRPr="00067CE2">
        <w:t xml:space="preserve"> gibt an wie viel Analyt vorhanden ist.</w:t>
      </w:r>
    </w:p>
    <w:p w14:paraId="3CDA4DCE" w14:textId="1842472F" w:rsidR="00067CE2" w:rsidRPr="00067CE2" w:rsidRDefault="00067CE2" w:rsidP="00067CE2">
      <w:pPr>
        <w:pStyle w:val="Grn"/>
      </w:pPr>
      <w:r>
        <w:rPr>
          <w:rFonts w:cs="Arial"/>
        </w:rPr>
        <w:t xml:space="preserve">Unter einer </w:t>
      </w:r>
      <w:r w:rsidRPr="00067CE2">
        <w:rPr>
          <w:rStyle w:val="Fett"/>
        </w:rPr>
        <w:t>Titrationskurve</w:t>
      </w:r>
      <w:r>
        <w:rPr>
          <w:rFonts w:cs="Arial"/>
        </w:rPr>
        <w:t xml:space="preserve"> versteht man die graphische Darstellung des Verlaufes einer Titration; auf der Abszisse wird der Titrationsgrad bzw. der Verbrauch an </w:t>
      </w:r>
      <w:proofErr w:type="spellStart"/>
      <w:r>
        <w:rPr>
          <w:rFonts w:cs="Arial"/>
        </w:rPr>
        <w:t>Titrant</w:t>
      </w:r>
      <w:proofErr w:type="spellEnd"/>
      <w:r>
        <w:rPr>
          <w:rFonts w:cs="Arial"/>
        </w:rPr>
        <w:t xml:space="preserve"> aufgetragen, auf der Ordinate der pH-Wert.</w:t>
      </w:r>
    </w:p>
    <w:p w14:paraId="41B18C79" w14:textId="2D077AD1" w:rsidR="00067CE2" w:rsidRPr="00067CE2" w:rsidRDefault="00067CE2" w:rsidP="00067CE2">
      <w:pPr>
        <w:pStyle w:val="Grn"/>
      </w:pPr>
      <w:r>
        <w:rPr>
          <w:rFonts w:cs="Arial"/>
        </w:rPr>
        <w:t xml:space="preserve">Der </w:t>
      </w:r>
      <w:r w:rsidRPr="00067CE2">
        <w:rPr>
          <w:rStyle w:val="Fett"/>
        </w:rPr>
        <w:t>Äquivalenz</w:t>
      </w:r>
      <w:r>
        <w:rPr>
          <w:rStyle w:val="Fett"/>
        </w:rPr>
        <w:t>-P</w:t>
      </w:r>
      <w:r w:rsidRPr="00067CE2">
        <w:rPr>
          <w:rStyle w:val="Fett"/>
        </w:rPr>
        <w:t>unkt</w:t>
      </w:r>
      <w:r>
        <w:rPr>
          <w:rFonts w:cs="Arial"/>
        </w:rPr>
        <w:t xml:space="preserve">, der theoretische End-Punkt der Titration, ist der Punkt bei dem die Menge des zugesetzten </w:t>
      </w:r>
      <w:proofErr w:type="spellStart"/>
      <w:r>
        <w:rPr>
          <w:rFonts w:cs="Arial"/>
        </w:rPr>
        <w:t>Titranten</w:t>
      </w:r>
      <w:proofErr w:type="spellEnd"/>
      <w:r>
        <w:rPr>
          <w:rFonts w:cs="Arial"/>
        </w:rPr>
        <w:t xml:space="preserve"> der Menge an verbrauchtem Analyt äquivalent ist.</w:t>
      </w:r>
    </w:p>
    <w:p w14:paraId="12FF706E" w14:textId="5D6EADF5" w:rsidR="00067CE2" w:rsidRPr="00067CE2" w:rsidRDefault="00067CE2" w:rsidP="00067CE2">
      <w:pPr>
        <w:pStyle w:val="Grn"/>
      </w:pPr>
      <w:r>
        <w:rPr>
          <w:rFonts w:cs="Arial"/>
        </w:rPr>
        <w:t xml:space="preserve">Der </w:t>
      </w:r>
      <w:r w:rsidRPr="00067CE2">
        <w:rPr>
          <w:rStyle w:val="Fett"/>
        </w:rPr>
        <w:t>Neutralpunkt</w:t>
      </w:r>
      <w:r>
        <w:rPr>
          <w:rFonts w:cs="Arial"/>
        </w:rPr>
        <w:t xml:space="preserve"> ist der Punkt einer Neutralisations-Reaktion, an dem die Menge an OH</w:t>
      </w:r>
      <w:r>
        <w:rPr>
          <w:rFonts w:cs="Arial"/>
          <w:vertAlign w:val="superscript"/>
        </w:rPr>
        <w:t>-</w:t>
      </w:r>
      <w:r>
        <w:rPr>
          <w:rFonts w:cs="Arial"/>
        </w:rPr>
        <w:t>-Ionen gleich der Menge an H</w:t>
      </w:r>
      <w:r>
        <w:rPr>
          <w:rFonts w:cs="Arial"/>
          <w:vertAlign w:val="superscript"/>
        </w:rPr>
        <w:t>+</w:t>
      </w:r>
      <w:r>
        <w:rPr>
          <w:rFonts w:cs="Arial"/>
        </w:rPr>
        <w:t>-Ionen ist, der pH = 7.</w:t>
      </w:r>
    </w:p>
    <w:p w14:paraId="7A148484" w14:textId="30D70901" w:rsidR="00067CE2" w:rsidRPr="00067CE2" w:rsidRDefault="00067CE2" w:rsidP="00067CE2">
      <w:pPr>
        <w:pStyle w:val="Grn"/>
      </w:pPr>
      <w:r>
        <w:rPr>
          <w:rFonts w:cs="Arial"/>
        </w:rPr>
        <w:lastRenderedPageBreak/>
        <w:t>Ein</w:t>
      </w:r>
      <w:r>
        <w:rPr>
          <w:rStyle w:val="Fett"/>
          <w:rFonts w:cs="Arial"/>
          <w:i/>
          <w:iCs/>
        </w:rPr>
        <w:t xml:space="preserve"> </w:t>
      </w:r>
      <w:r w:rsidRPr="00067CE2">
        <w:rPr>
          <w:rStyle w:val="Fett"/>
        </w:rPr>
        <w:t>Puffer</w:t>
      </w:r>
      <w:r>
        <w:rPr>
          <w:rFonts w:cs="Arial"/>
        </w:rPr>
        <w:t xml:space="preserve"> ist eine Mischung aus einer schwachen Säure/Base und ihrer konjugierten Base/Säure. Puffer-Lösungen können bei Säure- oder Basen-Zugabe pH-Wert-Änderungen in einem bestimmten Bereich ausgleichen.</w:t>
      </w:r>
    </w:p>
    <w:p w14:paraId="44812F2C" w14:textId="7902B05D" w:rsidR="00067CE2" w:rsidRDefault="00067CE2" w:rsidP="00067CE2">
      <w:pPr>
        <w:pStyle w:val="berschrift1"/>
      </w:pPr>
      <w:bookmarkStart w:id="3" w:name="_Toc65591788"/>
      <w:r>
        <w:t>Typen</w:t>
      </w:r>
      <w:bookmarkEnd w:id="3"/>
    </w:p>
    <w:p w14:paraId="2C0BF3F8" w14:textId="3F18FC0C" w:rsidR="00067CE2" w:rsidRDefault="00067CE2" w:rsidP="00067CE2">
      <w:pPr>
        <w:pStyle w:val="Liste1Aufzhlung"/>
      </w:pPr>
      <w:r>
        <w:t>Titration einer starken Säure (HCl) mit einer starken Base (NaOH)</w:t>
      </w:r>
    </w:p>
    <w:p w14:paraId="3C8A3E30" w14:textId="1F6845C3" w:rsidR="00067CE2" w:rsidRDefault="00067CE2" w:rsidP="00067CE2">
      <w:pPr>
        <w:pStyle w:val="Bilder"/>
      </w:pPr>
      <w:r>
        <w:rPr>
          <w:lang w:eastAsia="de-DE"/>
        </w:rPr>
        <w:drawing>
          <wp:inline distT="0" distB="0" distL="0" distR="0" wp14:anchorId="2996CCAB" wp14:editId="40F88880">
            <wp:extent cx="4708975" cy="288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97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07F4" w14:textId="07117170" w:rsidR="00067CE2" w:rsidRPr="00067CE2" w:rsidRDefault="00067CE2" w:rsidP="00067CE2">
      <w:pPr>
        <w:pStyle w:val="Liste1Aufzhlung"/>
        <w:numPr>
          <w:ilvl w:val="3"/>
          <w:numId w:val="21"/>
        </w:numPr>
      </w:pPr>
      <w:r>
        <w:rPr>
          <w:rFonts w:cs="Arial"/>
        </w:rPr>
        <w:t>Die Kurve lässt sich in die Bereiche [1] vor Erreichen des ÄP (säure-dominiert, H</w:t>
      </w:r>
      <w:r>
        <w:rPr>
          <w:rFonts w:cs="Arial"/>
          <w:vertAlign w:val="superscript"/>
        </w:rPr>
        <w:t>+</w:t>
      </w:r>
      <w:r>
        <w:rPr>
          <w:rFonts w:cs="Arial"/>
        </w:rPr>
        <w:t>-Überschuss, Abhängig von c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 (Säure)), [2] am ÄP (hier bei pH= 7; Sonderfall, nur bei starker Säure mit starker Base!) und [3] nach dem ÄP (basen-dominiert, OH</w:t>
      </w:r>
      <w:r>
        <w:rPr>
          <w:rFonts w:cs="Arial"/>
          <w:vertAlign w:val="superscript"/>
        </w:rPr>
        <w:t>-</w:t>
      </w:r>
      <w:r>
        <w:rPr>
          <w:rFonts w:cs="Arial"/>
        </w:rPr>
        <w:t>-Überschuss, Abhängig von Art und Stärke der Base) einteilen. Der pH-Sprung ist gut zu erkennen.</w:t>
      </w:r>
    </w:p>
    <w:p w14:paraId="43398D82" w14:textId="6304CA69" w:rsidR="00067CE2" w:rsidRPr="00067CE2" w:rsidRDefault="00067CE2" w:rsidP="00067CE2">
      <w:pPr>
        <w:pStyle w:val="Liste1Aufzhlung"/>
      </w:pPr>
      <w:r>
        <w:rPr>
          <w:rFonts w:cs="Arial"/>
        </w:rPr>
        <w:t>Titration einer schwachen Säure (Essigsäure) mit einer starken Base (NaOH)</w:t>
      </w:r>
    </w:p>
    <w:p w14:paraId="49D5FA15" w14:textId="376674C6" w:rsidR="00067CE2" w:rsidRDefault="00067CE2" w:rsidP="00067CE2">
      <w:pPr>
        <w:pStyle w:val="Bilder"/>
      </w:pPr>
      <w:r>
        <w:rPr>
          <w:lang w:eastAsia="de-DE"/>
        </w:rPr>
        <w:drawing>
          <wp:inline distT="0" distB="0" distL="0" distR="0" wp14:anchorId="6CF4906B" wp14:editId="18D64070">
            <wp:extent cx="4725670" cy="28797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AAC3D" w14:textId="3D8F9635" w:rsidR="00067CE2" w:rsidRPr="00067CE2" w:rsidRDefault="00067CE2" w:rsidP="00067CE2">
      <w:pPr>
        <w:pStyle w:val="Liste1Aufzhlung"/>
        <w:numPr>
          <w:ilvl w:val="3"/>
          <w:numId w:val="21"/>
        </w:numPr>
      </w:pPr>
      <w:r>
        <w:rPr>
          <w:rFonts w:cs="Arial"/>
        </w:rPr>
        <w:t>Man erkennt, dass im Vgl. zu a) der pH-Sprung am ÄP flacher wird und der ÄP nicht mehr gleich dem NP ist ( Normalfall, Lage des ÄP bei Titration schwacher Säure mit starker Base im alkalischen im umgekehrten Fall im sauren!). Bereich [1] entspricht dem pH-Wert vor Beginn der Titration, Bereich [2] ist der Puffer-Bereich (± ein pH-Wert um den pK</w:t>
      </w:r>
      <w:r>
        <w:rPr>
          <w:rFonts w:cs="Arial"/>
          <w:vertAlign w:val="subscript"/>
        </w:rPr>
        <w:t>S</w:t>
      </w:r>
      <w:r>
        <w:rPr>
          <w:rFonts w:cs="Arial"/>
        </w:rPr>
        <w:t xml:space="preserve"> der entsprechenden schwachen Säure); Bereich [3] ist unverändert. </w:t>
      </w:r>
      <w:r>
        <w:rPr>
          <w:rFonts w:cs="Arial"/>
        </w:rPr>
        <w:lastRenderedPageBreak/>
        <w:t>Je schwächer die titrierten Säuren sind umso flacher werden die pH-Sprünge; dies stellt eine Begrenzung der Auswertbarkeit von Titrationskurven dar.</w:t>
      </w:r>
    </w:p>
    <w:p w14:paraId="48823623" w14:textId="211EB7AD" w:rsidR="00067CE2" w:rsidRPr="00067CE2" w:rsidRDefault="00067CE2" w:rsidP="00067CE2">
      <w:pPr>
        <w:pStyle w:val="Liste1Aufzhlung"/>
      </w:pPr>
      <w:r>
        <w:rPr>
          <w:rFonts w:cs="Arial"/>
        </w:rPr>
        <w:t>Titration einer mehrprotonigen Säure (Phosphorsäure) mit NaOH</w:t>
      </w:r>
    </w:p>
    <w:p w14:paraId="3279267D" w14:textId="18962A9B" w:rsidR="00067CE2" w:rsidRDefault="00067CE2" w:rsidP="00067CE2">
      <w:pPr>
        <w:pStyle w:val="Bilder"/>
      </w:pPr>
      <w:r>
        <w:rPr>
          <w:lang w:eastAsia="de-DE"/>
        </w:rPr>
        <w:drawing>
          <wp:inline distT="0" distB="0" distL="0" distR="0" wp14:anchorId="6DF63BF8" wp14:editId="72245B1A">
            <wp:extent cx="4665980" cy="2879725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4AC2" w14:textId="1D837FF4" w:rsidR="00067CE2" w:rsidRPr="00067CE2" w:rsidRDefault="00067CE2" w:rsidP="00067CE2">
      <w:pPr>
        <w:pStyle w:val="Liste1Aufzhlung"/>
        <w:numPr>
          <w:ilvl w:val="3"/>
          <w:numId w:val="21"/>
        </w:numPr>
      </w:pPr>
      <w:r>
        <w:rPr>
          <w:rFonts w:cs="Arial"/>
        </w:rPr>
        <w:t>Es treten mehrere pH-Sprünge auf, ein Sprung je Teil-Abgabe eines Protons. Ebenfalls zeigen sich für jede Teil-Protolyse entsprechende Puffer-Bereiche. Hier wird eine weitere Grenze von Titrationskurven sichtbar: Phosphorsäure müsste als dreiprotonige Säure auch drei pH-Sprünge und drei Puffer-Bereiche haben. Der dritte Puffer-Bereich tritt bei einem pH von 12,15 auf, liegt also außerhalb des Mess-Bereiches, der durch die Base beschränkt ist.</w:t>
      </w:r>
    </w:p>
    <w:p w14:paraId="58D07B59" w14:textId="1416F1A8" w:rsidR="00067CE2" w:rsidRDefault="00B97F04" w:rsidP="00067CE2">
      <w:pPr>
        <w:pStyle w:val="berschrift1"/>
      </w:pPr>
      <w:bookmarkStart w:id="4" w:name="_Toc65591789"/>
      <w:r>
        <w:t xml:space="preserve">Beispiel: </w:t>
      </w:r>
      <w:r w:rsidR="00067CE2">
        <w:t>Titration von Essigsäure mit Natronlauge</w:t>
      </w:r>
      <w:bookmarkEnd w:id="4"/>
    </w:p>
    <w:p w14:paraId="125EA106" w14:textId="6035CF44" w:rsidR="00067CE2" w:rsidRDefault="00067CE2" w:rsidP="00067CE2">
      <w:pPr>
        <w:rPr>
          <w:rFonts w:cs="Arial"/>
        </w:rPr>
      </w:pPr>
      <w:r w:rsidRPr="00067CE2">
        <w:rPr>
          <w:rStyle w:val="Fett"/>
        </w:rPr>
        <w:t>Versuch</w:t>
      </w:r>
      <w:r>
        <w:rPr>
          <w:rFonts w:cs="Arial"/>
        </w:rPr>
        <w:t xml:space="preserve">: Unter Zuhilfenahme des Computer-Programms „Uni </w:t>
      </w:r>
      <w:proofErr w:type="spellStart"/>
      <w:r>
        <w:rPr>
          <w:rFonts w:cs="Arial"/>
        </w:rPr>
        <w:t>mess</w:t>
      </w:r>
      <w:proofErr w:type="spellEnd"/>
      <w:r>
        <w:rPr>
          <w:rFonts w:cs="Arial"/>
        </w:rPr>
        <w:t xml:space="preserve"> light“ wird die Titration von Essigsäure mit Natronlauge durchgeführt. Die Base befindet sich in einer Gleichlauf-Bürette (eine Bürette, die pro Zeit-Einheit die gleiche Menge an Base zur Säure zutropfen lässt), in einem Becherglas mit Rührfisch die Säure. Eine pH-Elektrode, welche mit einem Alchemist verbunden ist, misst kontinuierlich den pH-Wert. Der Laptop wird an den Alchemist angeschlossen. Der Versuch dient nur der Visualisierung des Verlaufes der Titration, weswegen auf quantitative Angaben verzichtet wird.</w:t>
      </w:r>
    </w:p>
    <w:p w14:paraId="64A49E39" w14:textId="53FD869D" w:rsidR="00067CE2" w:rsidRDefault="00067CE2" w:rsidP="00067CE2">
      <w:pPr>
        <w:rPr>
          <w:rFonts w:cs="Arial"/>
        </w:rPr>
      </w:pPr>
      <w:r>
        <w:rPr>
          <w:rFonts w:cs="Arial"/>
        </w:rPr>
        <w:t>Berechnung des Titrationsverlaufes:</w:t>
      </w:r>
    </w:p>
    <w:p w14:paraId="40221C83" w14:textId="73617221" w:rsidR="00067CE2" w:rsidRPr="00700C20" w:rsidRDefault="00067CE2" w:rsidP="00067CE2">
      <w:pPr>
        <w:pStyle w:val="Liste1Aufzhlung"/>
        <w:numPr>
          <w:ilvl w:val="1"/>
          <w:numId w:val="22"/>
        </w:numPr>
        <w:rPr>
          <w:rStyle w:val="Fett"/>
        </w:rPr>
      </w:pPr>
      <w:r w:rsidRPr="00700C20">
        <w:rPr>
          <w:rStyle w:val="Fett"/>
        </w:rPr>
        <w:t>Schritt Formulierung der Titrationsgleichung</w:t>
      </w:r>
    </w:p>
    <w:p w14:paraId="7C64524C" w14:textId="6B8AD9E9" w:rsidR="00067CE2" w:rsidRPr="00067CE2" w:rsidRDefault="00067CE2" w:rsidP="00067CE2">
      <w:pPr>
        <w:pStyle w:val="Formeln"/>
        <w:rPr>
          <w:rFonts w:eastAsiaTheme="minorEastAsia"/>
        </w:rPr>
      </w:pPr>
      <w:proofErr w:type="spellStart"/>
      <m:oMathPara>
        <m:oMath>
          <m:r>
            <m:rPr>
              <m:nor/>
            </m:rPr>
            <m:t>HAc</m:t>
          </m:r>
          <w:proofErr w:type="spellEnd"/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OH</m:t>
              </m:r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Ac</m:t>
              </m:r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O</m:t>
          </m:r>
        </m:oMath>
      </m:oMathPara>
    </w:p>
    <w:p w14:paraId="48D6B19C" w14:textId="2A459654" w:rsidR="00067CE2" w:rsidRPr="00700C20" w:rsidRDefault="00067CE2" w:rsidP="00067CE2">
      <w:pPr>
        <w:pStyle w:val="Liste1Aufzhlung"/>
        <w:numPr>
          <w:ilvl w:val="1"/>
          <w:numId w:val="21"/>
        </w:numPr>
        <w:rPr>
          <w:rStyle w:val="Fett"/>
        </w:rPr>
      </w:pPr>
      <w:r w:rsidRPr="00700C20">
        <w:rPr>
          <w:rStyle w:val="Fett"/>
        </w:rPr>
        <w:t xml:space="preserve">Schritt: </w:t>
      </w:r>
      <w:proofErr w:type="spellStart"/>
      <w:r w:rsidRPr="00700C20">
        <w:rPr>
          <w:rStyle w:val="Fett"/>
        </w:rPr>
        <w:t>Berechung</w:t>
      </w:r>
      <w:proofErr w:type="spellEnd"/>
      <w:r w:rsidRPr="00700C20">
        <w:rPr>
          <w:rStyle w:val="Fett"/>
        </w:rPr>
        <w:t xml:space="preserve"> des Volumens VB, das zum Erreichen des ÄP nötig ist</w:t>
      </w:r>
    </w:p>
    <w:p w14:paraId="4AA4EBCF" w14:textId="74A0D952" w:rsidR="00067CE2" w:rsidRDefault="00067CE2" w:rsidP="00067CE2">
      <w:pPr>
        <w:pStyle w:val="Liste2Aufzhlung"/>
        <w:numPr>
          <w:ilvl w:val="3"/>
          <w:numId w:val="19"/>
        </w:numPr>
      </w:pPr>
      <w:r>
        <w:t>Am ÄP gilt:</w:t>
      </w:r>
    </w:p>
    <w:p w14:paraId="59BE1CD1" w14:textId="41DB168B" w:rsidR="00067CE2" w:rsidRPr="00067CE2" w:rsidRDefault="00067CE2" w:rsidP="00067CE2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HAc</m:t>
              </m:r>
            </m:e>
          </m:d>
          <m:r>
            <m:rPr>
              <m:nor/>
            </m:rPr>
            <m:t xml:space="preserve"> = 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OH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</m:oMath>
      </m:oMathPara>
    </w:p>
    <w:p w14:paraId="0CFC9BEE" w14:textId="1AA5A6FE" w:rsidR="00067CE2" w:rsidRPr="00B97F04" w:rsidRDefault="00067CE2" w:rsidP="00067CE2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w:proofErr w:type="spellStart"/>
              <m:r>
                <m:rPr>
                  <m:nor/>
                </m:rPr>
                <w:rPr>
                  <w:lang w:val="en-US"/>
                </w:rPr>
                <m:t>HAc</m:t>
              </m:r>
              <w:proofErr w:type="spellEnd"/>
            </m:e>
          </m:d>
          <m:r>
            <m:rPr>
              <m:nor/>
            </m:rPr>
            <w:rPr>
              <w:lang w:val="en-US"/>
            </w:rPr>
            <m:t xml:space="preserve"> * 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w:proofErr w:type="spellStart"/>
              <m:r>
                <m:rPr>
                  <m:nor/>
                </m:rPr>
                <w:rPr>
                  <w:lang w:val="en-US"/>
                </w:rPr>
                <m:t>HAc</m:t>
              </m:r>
              <w:proofErr w:type="spellEnd"/>
            </m:e>
          </m:d>
          <m:r>
            <m:rPr>
              <m:nor/>
            </m:rPr>
            <w:rPr>
              <w:lang w:val="en-US"/>
            </w:rPr>
            <m:t xml:space="preserve"> = 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* 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</m:e>
          </m:d>
        </m:oMath>
      </m:oMathPara>
    </w:p>
    <w:p w14:paraId="60041652" w14:textId="35BC6132" w:rsidR="00067CE2" w:rsidRPr="00B97F04" w:rsidRDefault="00067CE2" w:rsidP="00067CE2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w:lastRenderedPageBreak/>
            <m:t>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  <m:r>
                <m:rPr>
                  <m:nor/>
                </m:rPr>
                <w:rPr>
                  <w:lang w:val="en-US"/>
                </w:rPr>
                <m:t xml:space="preserve"> * V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</m:num>
            <m:den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den>
          </m:f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0,02 M * 50,00 mL</m:t>
              </m:r>
            </m:num>
            <m:den>
              <m:r>
                <m:rPr>
                  <m:nor/>
                </m:rPr>
                <w:rPr>
                  <w:lang w:val="en-US"/>
                </w:rPr>
                <m:t>0,10 M</m:t>
              </m:r>
            </m:den>
          </m:f>
          <m:r>
            <m:rPr>
              <m:nor/>
            </m:rPr>
            <w:rPr>
              <w:lang w:val="en-US"/>
            </w:rPr>
            <m:t xml:space="preserve"> = 10 mL</m:t>
          </m:r>
        </m:oMath>
      </m:oMathPara>
    </w:p>
    <w:p w14:paraId="16E99E99" w14:textId="65C0C91C" w:rsidR="00067CE2" w:rsidRPr="00700C20" w:rsidRDefault="00067CE2" w:rsidP="00067CE2">
      <w:pPr>
        <w:pStyle w:val="Liste1Aufzhlung"/>
        <w:numPr>
          <w:ilvl w:val="1"/>
          <w:numId w:val="21"/>
        </w:numPr>
        <w:rPr>
          <w:rStyle w:val="Fett"/>
        </w:rPr>
      </w:pPr>
      <w:r w:rsidRPr="00700C20">
        <w:rPr>
          <w:rStyle w:val="Fett"/>
        </w:rPr>
        <w:t xml:space="preserve">Schritt: </w:t>
      </w:r>
      <w:proofErr w:type="spellStart"/>
      <w:r w:rsidRPr="00700C20">
        <w:rPr>
          <w:rStyle w:val="Fett"/>
        </w:rPr>
        <w:t>Bereichung</w:t>
      </w:r>
      <w:proofErr w:type="spellEnd"/>
      <w:r w:rsidRPr="00700C20">
        <w:rPr>
          <w:rStyle w:val="Fett"/>
        </w:rPr>
        <w:t xml:space="preserve"> des pH an verschiedenen Stellen der Titrationskurve</w:t>
      </w:r>
    </w:p>
    <w:p w14:paraId="2FF036B3" w14:textId="62654380" w:rsidR="00067CE2" w:rsidRPr="006A4495" w:rsidRDefault="00067CE2" w:rsidP="006A4495">
      <w:pPr>
        <w:pStyle w:val="Liste2Aufzhlung"/>
        <w:numPr>
          <w:ilvl w:val="1"/>
          <w:numId w:val="23"/>
        </w:numPr>
      </w:pPr>
      <w:r w:rsidRPr="006A4495">
        <w:t>Region:</w:t>
      </w:r>
    </w:p>
    <w:p w14:paraId="4389A082" w14:textId="266345DB" w:rsidR="00067CE2" w:rsidRPr="00B34E13" w:rsidRDefault="00B34E13" w:rsidP="006A4495">
      <w:pPr>
        <w:pStyle w:val="Formeln"/>
        <w:jc w:val="left"/>
        <w:rPr>
          <w:rFonts w:eastAsiaTheme="minorEastAsia"/>
        </w:rPr>
      </w:pPr>
      <w:proofErr w:type="spellStart"/>
      <m:oMathPara>
        <m:oMath>
          <m:r>
            <m:rPr>
              <m:nor/>
            </m:rPr>
            <m:t>HAc</m:t>
          </m:r>
          <w:proofErr w:type="spellEnd"/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Ac</m:t>
              </m:r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H</m:t>
              </m:r>
            </m:e>
            <m:sup>
              <m:r>
                <m:rPr>
                  <m:nor/>
                </m:rPr>
                <m:t>+</m:t>
              </m:r>
            </m:sup>
          </m:sSup>
        </m:oMath>
      </m:oMathPara>
    </w:p>
    <w:p w14:paraId="497BA385" w14:textId="2129FE9F" w:rsidR="00B34E13" w:rsidRPr="00B97F04" w:rsidRDefault="00B97F04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Ac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  <m:r>
                <m:rPr>
                  <m:nor/>
                </m:rPr>
                <w:rPr>
                  <w:lang w:val="en-US"/>
                </w:rPr>
                <m:t xml:space="preserve"> * 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</m:num>
            <m:den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</m:den>
          </m:f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</m:oMath>
      </m:oMathPara>
    </w:p>
    <w:p w14:paraId="6319DE65" w14:textId="39D7FE7B" w:rsidR="00B34E13" w:rsidRPr="00B97F04" w:rsidRDefault="00B97F04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</m:num>
            <m:den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</m:den>
          </m:f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  <m:r>
                <m:rPr>
                  <m:nor/>
                </m:rPr>
                <w:rPr>
                  <w:lang w:val="en-US"/>
                </w:rPr>
                <m:t xml:space="preserve"> - 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</m:den>
          </m:f>
        </m:oMath>
      </m:oMathPara>
    </w:p>
    <w:p w14:paraId="2E4A78F2" w14:textId="5E80D1A0" w:rsidR="00B34E13" w:rsidRPr="00B97F04" w:rsidRDefault="00B97F04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c</m:t>
              </m:r>
            </m:e>
            <m:sup>
              <m:r>
                <m:rPr>
                  <m:nor/>
                </m:rPr>
                <w:rPr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 * 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 *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c</m:t>
              </m:r>
            </m:e>
            <m:sub>
              <m:r>
                <m:rPr>
                  <m:nor/>
                </m:rPr>
                <w:rPr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w:proofErr w:type="spellStart"/>
              <m:r>
                <m:rPr>
                  <m:nor/>
                </m:rPr>
                <w:rPr>
                  <w:lang w:val="en-US"/>
                </w:rPr>
                <m:t>HAc</m:t>
              </m:r>
              <w:proofErr w:type="spellEnd"/>
            </m:e>
          </m:d>
          <m:r>
            <m:rPr>
              <m:nor/>
            </m:rPr>
            <w:rPr>
              <w:lang w:val="en-US"/>
            </w:rPr>
            <m:t xml:space="preserve"> = 0</m:t>
          </m:r>
        </m:oMath>
      </m:oMathPara>
    </w:p>
    <w:p w14:paraId="0EF6CAA2" w14:textId="7AFB43B3" w:rsidR="00B34E13" w:rsidRPr="00B97F04" w:rsidRDefault="00B34E13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-10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-4,76</m:t>
                  </m:r>
                </m:sup>
              </m:sSup>
              <m:r>
                <m:rPr>
                  <m:nor/>
                </m:rPr>
                <w:rPr>
                  <w:lang w:val="en-US"/>
                </w:rPr>
                <m:t xml:space="preserve"> ±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3,02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-10</m:t>
                      </m:r>
                    </m:sup>
                  </m:sSup>
                  <m:r>
                    <m:rPr>
                      <m:nor/>
                    </m:rPr>
                    <w:rPr>
                      <w:lang w:val="en-US"/>
                    </w:rPr>
                    <m:t xml:space="preserve"> 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1,39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-6</m:t>
                      </m:r>
                    </m:sup>
                  </m:sSup>
                </m:e>
              </m:rad>
            </m:num>
            <m:den>
              <m:r>
                <m:rPr>
                  <m:nor/>
                </m:rPr>
                <w:rPr>
                  <w:lang w:val="en-US"/>
                </w:rPr>
                <m:t>2</m:t>
              </m:r>
            </m:den>
          </m:f>
        </m:oMath>
      </m:oMathPara>
    </w:p>
    <w:p w14:paraId="14612763" w14:textId="383FD3F8" w:rsidR="00B34E13" w:rsidRPr="00B97F04" w:rsidRDefault="00B34E13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= -8,69*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lang w:val="en-US"/>
                </w:rPr>
                <m:t>-6</m:t>
              </m:r>
            </m:sup>
          </m:sSup>
        </m:oMath>
      </m:oMathPara>
    </w:p>
    <w:p w14:paraId="222D36C0" w14:textId="7B6E0131" w:rsidR="00B34E13" w:rsidRPr="00B97F04" w:rsidRDefault="00B34E13" w:rsidP="006A4495">
      <w:pPr>
        <w:pStyle w:val="Formeln"/>
        <w:jc w:val="left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H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lang w:val="en-US"/>
                </w:rPr>
                <m:t xml:space="preserve"> *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  <m:r>
                <m:rPr>
                  <m:nor/>
                </m:rPr>
                <w:rPr>
                  <w:lang w:val="en-US"/>
                </w:rPr>
                <m:t xml:space="preserve"> - 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</m:e>
          </m:rad>
          <m:r>
            <m:rPr>
              <m:nor/>
            </m:rPr>
            <w:rPr>
              <w:lang w:val="en-US"/>
            </w:rPr>
            <m:t xml:space="preserve"> = 5,90*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lang w:val="en-US"/>
                </w:rPr>
                <m:t>10</m:t>
              </m:r>
            </m:e>
            <m:sup>
              <m:r>
                <m:rPr>
                  <m:nor/>
                </m:rPr>
                <w:rPr>
                  <w:lang w:val="en-US"/>
                </w:rPr>
                <m:t>-4</m:t>
              </m:r>
            </m:sup>
          </m:sSup>
        </m:oMath>
      </m:oMathPara>
    </w:p>
    <w:p w14:paraId="4630AD6F" w14:textId="05EF3E7C" w:rsidR="006A4495" w:rsidRDefault="006A4495" w:rsidP="006A4495">
      <w:pPr>
        <w:pStyle w:val="Formeln"/>
        <w:rPr>
          <w:rFonts w:eastAsiaTheme="minorEastAsia"/>
        </w:rPr>
      </w:pPr>
      <w:r>
        <w:rPr>
          <w:rFonts w:eastAsiaTheme="minorEastAsia"/>
        </w:rPr>
        <w:t>pH = 3,23</w:t>
      </w:r>
    </w:p>
    <w:p w14:paraId="463CBE90" w14:textId="1D622352" w:rsidR="006A4495" w:rsidRPr="006A4495" w:rsidRDefault="006A4495" w:rsidP="006A4495">
      <w:pPr>
        <w:pStyle w:val="Liste2Aufzhlung"/>
        <w:numPr>
          <w:ilvl w:val="1"/>
          <w:numId w:val="19"/>
        </w:numPr>
      </w:pPr>
      <w:r w:rsidRPr="006A4495">
        <w:t>Regio</w:t>
      </w:r>
      <w:r>
        <w:t>n</w:t>
      </w:r>
      <w:r w:rsidRPr="006A4495">
        <w:t>: Puffer-Bereich: Anwenden der Henderson-</w:t>
      </w:r>
      <w:proofErr w:type="spellStart"/>
      <w:r w:rsidRPr="006A4495">
        <w:t>Hasselbalch</w:t>
      </w:r>
      <w:proofErr w:type="spellEnd"/>
      <w:r w:rsidRPr="006A4495">
        <w:t>-Gleichung bei VB= 3,00 </w:t>
      </w:r>
      <w:proofErr w:type="spellStart"/>
      <w:r w:rsidRPr="006A4495">
        <w:t>mL</w:t>
      </w:r>
      <w:proofErr w:type="spellEnd"/>
    </w:p>
    <w:p w14:paraId="53E480AC" w14:textId="501EF9AD" w:rsidR="006A4495" w:rsidRPr="00B97F04" w:rsidRDefault="006A4495" w:rsidP="006A4495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pH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lang w:val="en-US"/>
                </w:rPr>
                <m:t>pK</m:t>
              </m:r>
              <w:proofErr w:type="spellEnd"/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 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w:rPr>
                  <w:lang w:val="en-US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Ac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-</m:t>
                          </m:r>
                        </m:sup>
                      </m:sSup>
                    </m:e>
                  </m:d>
                </m:num>
                <m:den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w:proofErr w:type="spellStart"/>
                      <m:r>
                        <m:rPr>
                          <m:nor/>
                        </m:rPr>
                        <w:rPr>
                          <w:lang w:val="en-US"/>
                        </w:rPr>
                        <m:t>HAc</m:t>
                      </m:r>
                      <w:proofErr w:type="spellEnd"/>
                    </m:e>
                  </m:d>
                </m:den>
              </m:f>
            </m:e>
          </m:func>
        </m:oMath>
      </m:oMathPara>
    </w:p>
    <w:p w14:paraId="4F5D3FA8" w14:textId="062B6BEA" w:rsidR="006A4495" w:rsidRPr="006A4495" w:rsidRDefault="006A4495" w:rsidP="006A449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pH = 4,76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3</m:t>
                      </m:r>
                    </m:num>
                    <m:den>
                      <m:r>
                        <m:rPr>
                          <m:nor/>
                        </m:rPr>
                        <m:t>10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7</m:t>
                      </m:r>
                    </m:num>
                    <m:den>
                      <m:r>
                        <m:rPr>
                          <m:nor/>
                        </m:rPr>
                        <m:t>10</m:t>
                      </m:r>
                    </m:den>
                  </m:f>
                </m:den>
              </m:f>
            </m:e>
          </m:func>
          <m:r>
            <m:rPr>
              <m:nor/>
            </m:rPr>
            <m:t xml:space="preserve"> </m:t>
          </m:r>
        </m:oMath>
      </m:oMathPara>
    </w:p>
    <w:p w14:paraId="4AD7921A" w14:textId="3DA3C643" w:rsidR="006A4495" w:rsidRPr="006A4495" w:rsidRDefault="006A4495" w:rsidP="006A449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pH = 4,39</m:t>
          </m:r>
        </m:oMath>
      </m:oMathPara>
    </w:p>
    <w:p w14:paraId="4EF9BD46" w14:textId="2FC74681" w:rsidR="006A4495" w:rsidRDefault="006A4495" w:rsidP="00953106">
      <w:pPr>
        <w:ind w:left="993"/>
      </w:pPr>
      <w:r>
        <w:t>für V</w:t>
      </w:r>
      <w:r>
        <w:rPr>
          <w:vertAlign w:val="subscript"/>
        </w:rPr>
        <w:t>B</w:t>
      </w:r>
      <w:r>
        <w:t>= 5,00 mL gilt:</w:t>
      </w:r>
    </w:p>
    <w:p w14:paraId="0AE89477" w14:textId="321EB411" w:rsidR="006A4495" w:rsidRPr="00B97F04" w:rsidRDefault="006A4495" w:rsidP="006A4495">
      <w:pPr>
        <w:pStyle w:val="Formeln"/>
        <w:rPr>
          <w:rFonts w:asciiTheme="minorHAnsi" w:eastAsiaTheme="minorEastAsia" w:hAnsiTheme="minorHAnsi" w:cstheme="minorHAnsi"/>
          <w:lang w:val="en-US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  <w:lang w:val="en-US"/>
            </w:rPr>
            <m:t>pH =</m:t>
          </m:r>
          <m:r>
            <w:rPr>
              <w:rFonts w:ascii="Cambria Math" w:hAnsi="Cambria Math" w:cstheme="minorHAnsi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lang w:val="en-US"/>
                </w:rPr>
                <m:t>pK</m:t>
              </m:r>
              <w:proofErr w:type="spellEnd"/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  <w:lang w:val="en-US"/>
                </w:rPr>
                <m:t>s</m:t>
              </m:r>
            </m:sub>
          </m:sSub>
          <m:r>
            <m:rPr>
              <m:nor/>
            </m:rPr>
            <w:rPr>
              <w:rFonts w:asciiTheme="minorHAnsi" w:hAnsiTheme="minorHAnsi" w:cstheme="minorHAnsi"/>
              <w:lang w:val="en-US"/>
            </w:rPr>
            <m:t xml:space="preserve"> +</m:t>
          </m:r>
          <m:r>
            <w:rPr>
              <w:rFonts w:ascii="Cambria Math" w:hAnsi="Cambria Math" w:cstheme="minorHAnsi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nor/>
                </m:rPr>
                <w:rPr>
                  <w:rFonts w:asciiTheme="minorHAnsi" w:hAnsiTheme="minorHAnsi" w:cstheme="minorHAnsi"/>
                  <w:lang w:val="en-US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lang w:val="en-US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lang w:val="en-US"/>
                        </w:rPr>
                        <m:t>2</m:t>
                      </m:r>
                    </m:den>
                  </m:f>
                </m:den>
              </m:f>
            </m:e>
          </m:func>
          <m:r>
            <m:rPr>
              <m:nor/>
            </m:rPr>
            <w:rPr>
              <w:rFonts w:asciiTheme="minorHAnsi" w:hAnsiTheme="minorHAnsi" w:cstheme="minorHAnsi"/>
              <w:lang w:val="en-US"/>
            </w:rPr>
            <m:t xml:space="preserve"> =</m:t>
          </m:r>
          <m:r>
            <w:rPr>
              <w:rFonts w:ascii="Cambria Math" w:hAnsi="Cambria Math" w:cstheme="minorHAnsi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lang w:val="en-US"/>
                </w:rPr>
                <m:t>pK</m:t>
              </m:r>
              <w:proofErr w:type="spellEnd"/>
            </m:e>
            <m:sub>
              <m:r>
                <m:rPr>
                  <m:nor/>
                </m:rPr>
                <w:rPr>
                  <w:rFonts w:asciiTheme="minorHAnsi" w:hAnsiTheme="minorHAnsi" w:cstheme="minorHAnsi"/>
                  <w:lang w:val="en-US"/>
                </w:rPr>
                <m:t>s</m:t>
              </m:r>
            </m:sub>
          </m:sSub>
        </m:oMath>
      </m:oMathPara>
    </w:p>
    <w:p w14:paraId="5EEECF8F" w14:textId="578C69F9" w:rsidR="006A4495" w:rsidRDefault="006A4495" w:rsidP="006A4495">
      <w:pPr>
        <w:pStyle w:val="Liste2Aufzhlung"/>
        <w:numPr>
          <w:ilvl w:val="1"/>
          <w:numId w:val="19"/>
        </w:numPr>
      </w:pPr>
      <w:r>
        <w:t>Region:</w:t>
      </w:r>
    </w:p>
    <w:p w14:paraId="40CA64A7" w14:textId="69F16A6D" w:rsidR="006A4495" w:rsidRPr="006A4495" w:rsidRDefault="00B97F04" w:rsidP="006A4495">
      <w:pPr>
        <w:pStyle w:val="Formeln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Ac</m:t>
              </m:r>
            </m:e>
            <m:sup>
              <m:r>
                <m:rPr>
                  <m:nor/>
                </m:rPr>
                <m:t>-</m:t>
              </m:r>
            </m:sup>
          </m:sSup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O </m:t>
          </m:r>
          <m:r>
            <m:rPr>
              <m:nor/>
            </m:rPr>
            <w:rPr>
              <w:rFonts w:ascii="Cambria Math" w:hAnsi="Cambria Math" w:cs="Cambria Math"/>
            </w:rPr>
            <m:t>⟶</m:t>
          </m:r>
          <m:r>
            <m:rPr>
              <m:nor/>
            </m:rPr>
            <m:t xml:space="preserve"> </m:t>
          </m:r>
          <w:proofErr w:type="spellStart"/>
          <m:r>
            <m:rPr>
              <m:nor/>
            </m:rPr>
            <m:t>HAc</m:t>
          </m:r>
          <w:proofErr w:type="spellEnd"/>
          <m:r>
            <m:rPr>
              <m:nor/>
            </m:rPr>
            <m:t xml:space="preserve"> 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OH</m:t>
              </m:r>
            </m:e>
            <m:sup>
              <m:r>
                <m:rPr>
                  <m:nor/>
                </m:rPr>
                <m:t>-</m:t>
              </m:r>
            </m:sup>
          </m:sSup>
        </m:oMath>
      </m:oMathPara>
    </w:p>
    <w:p w14:paraId="6D8CB734" w14:textId="565E03D7" w:rsidR="006A4495" w:rsidRPr="00B97F04" w:rsidRDefault="00B97F04" w:rsidP="006A4495">
      <w:pPr>
        <w:pStyle w:val="Formeln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B</m:t>
              </m:r>
            </m:sub>
          </m:sSub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HAc</m:t>
                  </m:r>
                  <w:proofErr w:type="spellEnd"/>
                </m:e>
              </m:d>
              <m:r>
                <m:rPr>
                  <m:nor/>
                </m:rPr>
                <w:rPr>
                  <w:lang w:val="en-US"/>
                </w:rPr>
                <m:t xml:space="preserve"> * 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num>
            <m:den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Ac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14:paraId="6FC64172" w14:textId="3DD1D921" w:rsidR="006A4495" w:rsidRPr="00B97F04" w:rsidRDefault="00B97F04" w:rsidP="006A4495">
      <w:pPr>
        <w:pStyle w:val="Formeln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B</m:t>
              </m:r>
            </m:sub>
          </m:sSub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num>
            <m:den>
              <m:r>
                <m:rPr>
                  <m:nor/>
                </m:rPr>
                <w:rPr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Ac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den>
          </m:f>
          <m:r>
            <m:rPr>
              <m:nor/>
            </m:rPr>
            <w:rPr>
              <w:lang w:val="en-US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</m:e>
                <m:sup>
                  <m:r>
                    <m:rPr>
                      <m:nor/>
                    </m:rPr>
                    <w:rPr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w:proofErr w:type="spellStart"/>
                      <m:r>
                        <m:rPr>
                          <m:nor/>
                        </m:rPr>
                        <w:rPr>
                          <w:lang w:val="en-US"/>
                        </w:rPr>
                        <m:t>HAc</m:t>
                      </m:r>
                      <w:proofErr w:type="spellEnd"/>
                    </m:e>
                  </m:d>
                  <m:r>
                    <m:rPr>
                      <m:nor/>
                    </m:rPr>
                    <w:rPr>
                      <w:lang w:val="en-US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lang w:val="en-US"/>
                        </w:rPr>
                        <m:t>50,00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lang w:val="en-US"/>
                        </w:rPr>
                        <m:t>60,00</m:t>
                      </m:r>
                    </m:den>
                  </m:f>
                </m:e>
              </m:d>
              <m:r>
                <m:rPr>
                  <m:nor/>
                </m:rPr>
                <w:rPr>
                  <w:lang w:val="en-US"/>
                </w:rPr>
                <m:t xml:space="preserve"> - 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14:paraId="36839A89" w14:textId="3302D57A" w:rsidR="00953106" w:rsidRDefault="00953106" w:rsidP="00953106">
      <w:pPr>
        <w:ind w:left="851"/>
      </w:pPr>
      <w:r>
        <w:t>Analog der Berechnung in 1. Region:</w:t>
      </w:r>
    </w:p>
    <w:p w14:paraId="0EC477A0" w14:textId="61CBF9C2" w:rsidR="00953106" w:rsidRPr="00953106" w:rsidRDefault="00953106" w:rsidP="00953106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OH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  <m:r>
            <m:rPr>
              <m:nor/>
            </m:rPr>
            <m:t xml:space="preserve"> = 3,10*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10</m:t>
              </m:r>
            </m:e>
            <m:sup>
              <m:r>
                <m:rPr>
                  <m:nor/>
                </m:rPr>
                <m:t>-6</m:t>
              </m:r>
            </m:sup>
          </m:sSup>
        </m:oMath>
      </m:oMathPara>
    </w:p>
    <w:p w14:paraId="693974A5" w14:textId="56CEB4CD" w:rsidR="00953106" w:rsidRDefault="00953106" w:rsidP="00953106">
      <w:pPr>
        <w:pStyle w:val="Formeln"/>
        <w:rPr>
          <w:rFonts w:eastAsiaTheme="minorEastAsia"/>
        </w:rPr>
      </w:pPr>
      <w:proofErr w:type="spellStart"/>
      <w:r>
        <w:rPr>
          <w:rFonts w:eastAsiaTheme="minorEastAsia"/>
        </w:rPr>
        <w:t>pOH</w:t>
      </w:r>
      <w:proofErr w:type="spellEnd"/>
      <w:r>
        <w:rPr>
          <w:rFonts w:eastAsiaTheme="minorEastAsia"/>
        </w:rPr>
        <w:t xml:space="preserve"> = 5,51</w:t>
      </w:r>
    </w:p>
    <w:p w14:paraId="52FB121C" w14:textId="5C4A3F00" w:rsidR="00953106" w:rsidRDefault="00953106" w:rsidP="00953106">
      <w:pPr>
        <w:pStyle w:val="Formeln"/>
        <w:rPr>
          <w:rFonts w:eastAsiaTheme="minorEastAsia"/>
        </w:rPr>
      </w:pPr>
      <w:r>
        <w:rPr>
          <w:rFonts w:eastAsiaTheme="minorEastAsia"/>
        </w:rPr>
        <w:t>pH = 8,49</w:t>
      </w:r>
    </w:p>
    <w:p w14:paraId="275FD57E" w14:textId="464DFFDE" w:rsidR="00953106" w:rsidRDefault="00953106" w:rsidP="00953106">
      <w:pPr>
        <w:pStyle w:val="Liste2Aufzhlung"/>
        <w:numPr>
          <w:ilvl w:val="1"/>
          <w:numId w:val="19"/>
        </w:numPr>
      </w:pPr>
      <w:r>
        <w:t>Region: pH-Wert bei V</w:t>
      </w:r>
      <w:r>
        <w:rPr>
          <w:vertAlign w:val="subscript"/>
        </w:rPr>
        <w:t>B</w:t>
      </w:r>
      <w:r>
        <w:t xml:space="preserve"> = 12,00 mL</w:t>
      </w:r>
    </w:p>
    <w:p w14:paraId="395DCFCD" w14:textId="7CD8B8C2" w:rsidR="00953106" w:rsidRPr="00953106" w:rsidRDefault="00953106" w:rsidP="00953106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OH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  <m:r>
            <m:rPr>
              <m:nor/>
            </m:rPr>
            <m:t xml:space="preserve">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c</m:t>
              </m:r>
            </m:e>
            <m:sub>
              <m:r>
                <m:rPr>
                  <m:nor/>
                </m:rPr>
                <m:t>0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NaOH</m:t>
              </m:r>
            </m:e>
          </m:d>
          <m:r>
            <m:rPr>
              <m:nor/>
            </m:rPr>
            <m:t xml:space="preserve"> *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2,00</m:t>
              </m:r>
            </m:num>
            <m:den>
              <m:r>
                <m:rPr>
                  <m:nor/>
                </m:rPr>
                <m:t>62,00</m:t>
              </m:r>
            </m:den>
          </m:f>
          <m:r>
            <m:rPr>
              <m:nor/>
            </m:rPr>
            <m:t xml:space="preserve"> = 0,10 *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2,00</m:t>
              </m:r>
            </m:num>
            <m:den>
              <m:r>
                <m:rPr>
                  <m:nor/>
                </m:rPr>
                <m:t>62,00</m:t>
              </m:r>
            </m:den>
          </m:f>
          <m:r>
            <m:rPr>
              <m:nor/>
            </m:rPr>
            <m:t xml:space="preserve"> = 3,23*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10</m:t>
              </m:r>
            </m:e>
            <m:sup>
              <m:r>
                <m:rPr>
                  <m:nor/>
                </m:rPr>
                <m:t>-3</m:t>
              </m:r>
            </m:sup>
          </m:sSup>
        </m:oMath>
      </m:oMathPara>
    </w:p>
    <w:p w14:paraId="2134E583" w14:textId="610FBA2E" w:rsidR="00953106" w:rsidRDefault="00953106" w:rsidP="00953106">
      <w:pPr>
        <w:pStyle w:val="Formeln"/>
        <w:rPr>
          <w:rFonts w:eastAsiaTheme="minorEastAsia"/>
        </w:rPr>
      </w:pPr>
      <w:proofErr w:type="spellStart"/>
      <w:r>
        <w:rPr>
          <w:rFonts w:eastAsiaTheme="minorEastAsia"/>
        </w:rPr>
        <w:t>pOH</w:t>
      </w:r>
      <w:proofErr w:type="spellEnd"/>
      <w:r>
        <w:rPr>
          <w:rFonts w:eastAsiaTheme="minorEastAsia"/>
        </w:rPr>
        <w:t xml:space="preserve"> = 2,49</w:t>
      </w:r>
    </w:p>
    <w:p w14:paraId="3366532C" w14:textId="1758CE38" w:rsidR="00953106" w:rsidRPr="00953106" w:rsidRDefault="00953106" w:rsidP="00953106">
      <w:pPr>
        <w:pStyle w:val="Formeln"/>
      </w:pPr>
      <w:r>
        <w:rPr>
          <w:rFonts w:eastAsiaTheme="minorEastAsia"/>
        </w:rPr>
        <w:t>pH = 11,51</w:t>
      </w:r>
    </w:p>
    <w:p w14:paraId="718ED90F" w14:textId="104926C4" w:rsidR="00B97F04" w:rsidRDefault="00B97F04" w:rsidP="00B97F04">
      <w:pPr>
        <w:pStyle w:val="Zusammenfassung"/>
      </w:pPr>
      <w:r w:rsidRPr="00B97F04">
        <w:rPr>
          <w:b/>
        </w:rPr>
        <w:t>Zusammenfassung</w:t>
      </w:r>
      <w:r>
        <w:t>: fehlt.</w:t>
      </w:r>
    </w:p>
    <w:p w14:paraId="6160ED1E" w14:textId="28E5C89E" w:rsidR="00B97F04" w:rsidRDefault="00B97F04" w:rsidP="00B97F04">
      <w:pPr>
        <w:pStyle w:val="EinstiegAbschluss"/>
      </w:pPr>
      <w:r w:rsidRPr="00B97F04">
        <w:rPr>
          <w:b/>
        </w:rPr>
        <w:t>Abschluss</w:t>
      </w:r>
      <w:r>
        <w:t>: fehlt.</w:t>
      </w:r>
    </w:p>
    <w:p w14:paraId="560E8F54" w14:textId="77777777" w:rsidR="00B97F04" w:rsidRDefault="00B97F04" w:rsidP="00286533">
      <w:pPr>
        <w:rPr>
          <w:b/>
          <w:bCs/>
        </w:rPr>
      </w:pPr>
    </w:p>
    <w:p w14:paraId="5A4283C9" w14:textId="40DF6ABC" w:rsidR="004A4B07" w:rsidRDefault="00931B30" w:rsidP="00286533">
      <w:pPr>
        <w:rPr>
          <w:b/>
          <w:bCs/>
        </w:rPr>
      </w:pPr>
      <w:r w:rsidRPr="000E61E0">
        <w:rPr>
          <w:b/>
          <w:bCs/>
        </w:rPr>
        <w:t>Quellen:</w:t>
      </w:r>
    </w:p>
    <w:p w14:paraId="5687512E" w14:textId="579D3611" w:rsidR="00067CE2" w:rsidRPr="00067CE2" w:rsidRDefault="00067CE2" w:rsidP="00067CE2">
      <w:pPr>
        <w:pStyle w:val="AufzhlungStandard"/>
      </w:pPr>
      <w:r>
        <w:rPr>
          <w:rFonts w:cs="Arial"/>
        </w:rPr>
        <w:t>Daniel C. Harris, “Lehrbuch der Quantitativen Analyse“, Vieweg Lehrbuch, Braunschweig/Wiesbaden, 1998</w:t>
      </w:r>
    </w:p>
    <w:p w14:paraId="53BEBE73" w14:textId="037CABE6" w:rsidR="00067CE2" w:rsidRPr="00067CE2" w:rsidRDefault="00067CE2" w:rsidP="00067CE2">
      <w:pPr>
        <w:pStyle w:val="AufzhlungStandard"/>
      </w:pPr>
      <w:r>
        <w:rPr>
          <w:rFonts w:cs="Arial"/>
        </w:rPr>
        <w:t>Latscha/Klein, „Anorganische Chemie“, Springer Lehrbuch, Berlin/Heidelberg 1996, 7.Auflage</w:t>
      </w:r>
    </w:p>
    <w:p w14:paraId="60DB526C" w14:textId="111130CF" w:rsidR="00067CE2" w:rsidRPr="00067CE2" w:rsidRDefault="00067CE2" w:rsidP="00067CE2">
      <w:pPr>
        <w:pStyle w:val="AufzhlungStandard"/>
      </w:pPr>
      <w:r>
        <w:rPr>
          <w:rFonts w:cs="Arial"/>
        </w:rPr>
        <w:t>Atkins/Beran, „Chemie – einfach alles“, VCH, Weinheim 1996, 1. Auflage</w:t>
      </w:r>
    </w:p>
    <w:p w14:paraId="5B8A320A" w14:textId="7793B0DB" w:rsidR="00067CE2" w:rsidRPr="00067CE2" w:rsidRDefault="00067CE2" w:rsidP="00067CE2">
      <w:pPr>
        <w:pStyle w:val="AufzhlungStandard"/>
      </w:pPr>
      <w:r>
        <w:rPr>
          <w:rFonts w:cs="Arial"/>
        </w:rPr>
        <w:t xml:space="preserve">Skript „Grundvorlesung AC1“ von Prof. Dr. </w:t>
      </w:r>
      <w:proofErr w:type="spellStart"/>
      <w:r>
        <w:rPr>
          <w:rFonts w:cs="Arial"/>
        </w:rPr>
        <w:t>Wrackmeyer</w:t>
      </w:r>
      <w:proofErr w:type="spellEnd"/>
      <w:r>
        <w:rPr>
          <w:rFonts w:cs="Arial"/>
        </w:rPr>
        <w:t>, Universität Bayreuth</w:t>
      </w:r>
    </w:p>
    <w:p w14:paraId="77F4AEF3" w14:textId="0650A43E" w:rsidR="00067CE2" w:rsidRPr="00067CE2" w:rsidRDefault="00B97F04" w:rsidP="00067CE2">
      <w:pPr>
        <w:pStyle w:val="AufzhlungStandard"/>
      </w:pPr>
      <w:hyperlink r:id="rId12" w:history="1">
        <w:r w:rsidR="00067CE2">
          <w:rPr>
            <w:rStyle w:val="Hyperlink"/>
            <w:rFonts w:cs="Arial"/>
          </w:rPr>
          <w:t>http://dc2.uni-bielefeld.de/dc2/indikator/indi02b.htm</w:t>
        </w:r>
      </w:hyperlink>
      <w:r w:rsidR="00067CE2">
        <w:rPr>
          <w:rFonts w:cs="Arial"/>
        </w:rPr>
        <w:t>; (</w:t>
      </w:r>
      <w:r w:rsidR="00067CE2" w:rsidRPr="00B97F04">
        <w:rPr>
          <w:rFonts w:cs="Arial"/>
        </w:rPr>
        <w:t>Quelle verschollen, 17.12.2020</w:t>
      </w:r>
      <w:r w:rsidR="00067CE2">
        <w:rPr>
          <w:rFonts w:cs="Arial"/>
        </w:rPr>
        <w:t>)</w:t>
      </w:r>
    </w:p>
    <w:p w14:paraId="51C75D49" w14:textId="5EB9966B" w:rsidR="00067CE2" w:rsidRPr="00CC1A1A" w:rsidRDefault="00B97F04" w:rsidP="00067CE2">
      <w:pPr>
        <w:pStyle w:val="AufzhlungStandard"/>
      </w:pPr>
      <w:hyperlink r:id="rId13" w:history="1">
        <w:r w:rsidR="00067CE2">
          <w:rPr>
            <w:rStyle w:val="Hyperlink"/>
            <w:rFonts w:cs="Arial"/>
          </w:rPr>
          <w:t>http://ac16.uni-paderborn.de/lehrveranstaltungen/_aac/prakt/titrat/titrat.html</w:t>
        </w:r>
      </w:hyperlink>
      <w:r w:rsidR="00067CE2">
        <w:rPr>
          <w:rFonts w:cs="Arial"/>
        </w:rPr>
        <w:t>; (</w:t>
      </w:r>
      <w:r w:rsidR="00067CE2" w:rsidRPr="00B97F04">
        <w:rPr>
          <w:rFonts w:cs="Arial"/>
        </w:rPr>
        <w:t>Quelle verschollen, 17.12.2020</w:t>
      </w:r>
      <w:r w:rsidR="00067CE2">
        <w:rPr>
          <w:rFonts w:cs="Arial"/>
        </w:rPr>
        <w:t>)</w:t>
      </w:r>
    </w:p>
    <w:sectPr w:rsidR="00067CE2" w:rsidRPr="00CC1A1A" w:rsidSect="009B4835">
      <w:footerReference w:type="default" r:id="rId14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C506" w14:textId="77777777" w:rsidR="006A4495" w:rsidRDefault="006A4495" w:rsidP="005A7DCE">
      <w:pPr>
        <w:spacing w:before="0"/>
      </w:pPr>
      <w:r>
        <w:separator/>
      </w:r>
    </w:p>
  </w:endnote>
  <w:endnote w:type="continuationSeparator" w:id="0">
    <w:p w14:paraId="3214F425" w14:textId="77777777" w:rsidR="006A4495" w:rsidRDefault="006A4495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6A4495" w:rsidRDefault="006A449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0048756F" w:rsidR="006A4495" w:rsidRDefault="006A449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97F04">
          <w:rPr>
            <w:noProof/>
          </w:rPr>
          <w:t>5</w:t>
        </w:r>
        <w:r>
          <w:fldChar w:fldCharType="end"/>
        </w:r>
      </w:p>
    </w:sdtContent>
  </w:sdt>
  <w:p w14:paraId="69DF8B39" w14:textId="77777777" w:rsidR="006A4495" w:rsidRDefault="006A4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33A" w14:textId="77777777" w:rsidR="006A4495" w:rsidRDefault="006A4495" w:rsidP="005A7DCE">
      <w:pPr>
        <w:spacing w:before="0"/>
      </w:pPr>
      <w:r>
        <w:separator/>
      </w:r>
    </w:p>
  </w:footnote>
  <w:footnote w:type="continuationSeparator" w:id="0">
    <w:p w14:paraId="026CC8B6" w14:textId="77777777" w:rsidR="006A4495" w:rsidRDefault="006A4495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731C54E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0000" w:themeColor="text1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3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67CE2"/>
    <w:rsid w:val="000712A2"/>
    <w:rsid w:val="00074491"/>
    <w:rsid w:val="000D4A1C"/>
    <w:rsid w:val="000E61E0"/>
    <w:rsid w:val="001B0E73"/>
    <w:rsid w:val="001D6942"/>
    <w:rsid w:val="00286533"/>
    <w:rsid w:val="0033663A"/>
    <w:rsid w:val="0036111E"/>
    <w:rsid w:val="004A4B07"/>
    <w:rsid w:val="0056051D"/>
    <w:rsid w:val="005633FE"/>
    <w:rsid w:val="005A7DCE"/>
    <w:rsid w:val="006841CE"/>
    <w:rsid w:val="006A4495"/>
    <w:rsid w:val="00700C20"/>
    <w:rsid w:val="007161D1"/>
    <w:rsid w:val="007514D3"/>
    <w:rsid w:val="00776456"/>
    <w:rsid w:val="00783295"/>
    <w:rsid w:val="007B2C80"/>
    <w:rsid w:val="007F18E1"/>
    <w:rsid w:val="008117E4"/>
    <w:rsid w:val="00825BFE"/>
    <w:rsid w:val="00850560"/>
    <w:rsid w:val="00883728"/>
    <w:rsid w:val="008A524D"/>
    <w:rsid w:val="00931B30"/>
    <w:rsid w:val="00953106"/>
    <w:rsid w:val="009710A6"/>
    <w:rsid w:val="009B4835"/>
    <w:rsid w:val="00A12AD9"/>
    <w:rsid w:val="00A21130"/>
    <w:rsid w:val="00A25B94"/>
    <w:rsid w:val="00A5383F"/>
    <w:rsid w:val="00AA5D66"/>
    <w:rsid w:val="00AB7E4B"/>
    <w:rsid w:val="00AE53F0"/>
    <w:rsid w:val="00AF7672"/>
    <w:rsid w:val="00B02691"/>
    <w:rsid w:val="00B10DD4"/>
    <w:rsid w:val="00B34E13"/>
    <w:rsid w:val="00B85024"/>
    <w:rsid w:val="00B97F04"/>
    <w:rsid w:val="00C511E6"/>
    <w:rsid w:val="00CA413D"/>
    <w:rsid w:val="00CC1A1A"/>
    <w:rsid w:val="00D97908"/>
    <w:rsid w:val="00E14DE1"/>
    <w:rsid w:val="00E20AF3"/>
    <w:rsid w:val="00E50811"/>
    <w:rsid w:val="00E54A99"/>
    <w:rsid w:val="00E8473B"/>
    <w:rsid w:val="00F76D18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56051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56051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C20"/>
    <w:pPr>
      <w:tabs>
        <w:tab w:val="left" w:pos="480"/>
        <w:tab w:val="right" w:leader="dot" w:pos="93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56051D"/>
    <w:pPr>
      <w:spacing w:before="240" w:after="24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67CE2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67CE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67CE2"/>
    <w:rPr>
      <w:i/>
      <w:iCs/>
    </w:rPr>
  </w:style>
  <w:style w:type="character" w:styleId="Fett">
    <w:name w:val="Strong"/>
    <w:basedOn w:val="Absatz-Standardschriftart"/>
    <w:uiPriority w:val="22"/>
    <w:qFormat/>
    <w:rsid w:val="0006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16.uni-paderborn.de/lehrveranstaltungen/_aac/prakt/titrat/titr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c2.uni-bielefeld.de/dc2/indikator/indi02b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CFCE-BACB-4E78-8E29-BD8AE52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5</cp:revision>
  <cp:lastPrinted>2021-03-02T14:36:00Z</cp:lastPrinted>
  <dcterms:created xsi:type="dcterms:W3CDTF">2020-12-17T06:44:00Z</dcterms:created>
  <dcterms:modified xsi:type="dcterms:W3CDTF">2021-03-02T14:36:00Z</dcterms:modified>
</cp:coreProperties>
</file>