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73B" w:rsidRDefault="00E8473B" w:rsidP="00E8473B">
      <w:pPr>
        <w:pStyle w:val="Bilder"/>
      </w:pPr>
      <w:r w:rsidRPr="00716CB6">
        <w:rPr>
          <w:lang w:eastAsia="de-DE"/>
        </w:rPr>
        <mc:AlternateContent>
          <mc:Choice Requires="wpg">
            <w:drawing>
              <wp:inline distT="0" distB="0" distL="0" distR="0" wp14:anchorId="42FE90C2" wp14:editId="3B0435CC">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7AC2" w:rsidRDefault="00167AC2"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w:pict>
              <v:group w14:anchorId="42FE90C2"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rsidR="00167AC2" w:rsidRDefault="00167AC2"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2B90AC5A" wp14:editId="6830B8FB">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rsidR="00AE53F0" w:rsidRPr="00422A52" w:rsidRDefault="00E8473B" w:rsidP="00422A52">
      <w:pPr>
        <w:pStyle w:val="Seminar"/>
      </w:pPr>
      <w:r w:rsidRPr="00422A52">
        <w:t>Seminar</w:t>
      </w:r>
      <w:r w:rsidR="00FD7888" w:rsidRPr="00422A52">
        <w:t xml:space="preserve"> „Übungen im Vortragen – </w:t>
      </w:r>
      <w:r w:rsidR="00422A52" w:rsidRPr="00422A52">
        <w:t>OC</w:t>
      </w:r>
      <w:r w:rsidR="00FD7888" w:rsidRPr="00422A52">
        <w:t>“</w:t>
      </w:r>
    </w:p>
    <w:p w:rsidR="00E8473B" w:rsidRDefault="00422A52" w:rsidP="005633FE">
      <w:pPr>
        <w:pStyle w:val="Titel"/>
      </w:pPr>
      <w:r>
        <w:t>Supramolekulare Chemie</w:t>
      </w:r>
    </w:p>
    <w:p w:rsidR="00E8473B" w:rsidRDefault="00422A52" w:rsidP="00E8473B">
      <w:pPr>
        <w:pStyle w:val="Autor"/>
      </w:pPr>
      <w:r>
        <w:t>Daniel Fleischer, WS 08/09</w:t>
      </w:r>
    </w:p>
    <w:sdt>
      <w:sdtPr>
        <w:rPr>
          <w:rFonts w:ascii="Arial" w:eastAsiaTheme="minorHAnsi" w:hAnsi="Arial" w:cstheme="minorBidi"/>
          <w:color w:val="auto"/>
          <w:sz w:val="24"/>
          <w:szCs w:val="22"/>
          <w:lang w:eastAsia="en-US"/>
        </w:rPr>
        <w:id w:val="-1976748905"/>
        <w:docPartObj>
          <w:docPartGallery w:val="Table of Contents"/>
          <w:docPartUnique/>
        </w:docPartObj>
      </w:sdtPr>
      <w:sdtEndPr>
        <w:rPr>
          <w:b/>
          <w:bCs/>
        </w:rPr>
      </w:sdtEndPr>
      <w:sdtContent>
        <w:p w:rsidR="006C46BC" w:rsidRPr="006C46BC" w:rsidRDefault="006C46BC" w:rsidP="006C46BC">
          <w:pPr>
            <w:pStyle w:val="Inhaltsverzeichnisberschrift"/>
          </w:pPr>
          <w:r>
            <w:t>Gliederung</w:t>
          </w:r>
        </w:p>
        <w:p w:rsidR="003F6485" w:rsidRDefault="006C46BC">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bookmarkStart w:id="0" w:name="_GoBack"/>
          <w:bookmarkEnd w:id="0"/>
          <w:r w:rsidR="003F6485" w:rsidRPr="00B801FB">
            <w:rPr>
              <w:rStyle w:val="Hyperlink"/>
              <w:noProof/>
            </w:rPr>
            <w:fldChar w:fldCharType="begin"/>
          </w:r>
          <w:r w:rsidR="003F6485" w:rsidRPr="00B801FB">
            <w:rPr>
              <w:rStyle w:val="Hyperlink"/>
              <w:noProof/>
            </w:rPr>
            <w:instrText xml:space="preserve"> </w:instrText>
          </w:r>
          <w:r w:rsidR="003F6485">
            <w:rPr>
              <w:noProof/>
            </w:rPr>
            <w:instrText>HYPERLINK \l "_Toc43993944"</w:instrText>
          </w:r>
          <w:r w:rsidR="003F6485" w:rsidRPr="00B801FB">
            <w:rPr>
              <w:rStyle w:val="Hyperlink"/>
              <w:noProof/>
            </w:rPr>
            <w:instrText xml:space="preserve"> </w:instrText>
          </w:r>
          <w:r w:rsidR="003F6485" w:rsidRPr="00B801FB">
            <w:rPr>
              <w:rStyle w:val="Hyperlink"/>
              <w:noProof/>
            </w:rPr>
          </w:r>
          <w:r w:rsidR="003F6485" w:rsidRPr="00B801FB">
            <w:rPr>
              <w:rStyle w:val="Hyperlink"/>
              <w:noProof/>
            </w:rPr>
            <w:fldChar w:fldCharType="separate"/>
          </w:r>
          <w:r w:rsidR="003F6485" w:rsidRPr="00B801FB">
            <w:rPr>
              <w:rStyle w:val="Hyperlink"/>
              <w:noProof/>
            </w:rPr>
            <w:t>1</w:t>
          </w:r>
          <w:r w:rsidR="003F6485">
            <w:rPr>
              <w:rFonts w:asciiTheme="minorHAnsi" w:eastAsiaTheme="minorEastAsia" w:hAnsiTheme="minorHAnsi"/>
              <w:noProof/>
              <w:sz w:val="22"/>
              <w:lang w:eastAsia="de-DE"/>
            </w:rPr>
            <w:tab/>
          </w:r>
          <w:r w:rsidR="003F6485" w:rsidRPr="00B801FB">
            <w:rPr>
              <w:rStyle w:val="Hyperlink"/>
              <w:noProof/>
            </w:rPr>
            <w:t>Was ist supramolekulare Chemie</w:t>
          </w:r>
          <w:r w:rsidR="003F6485">
            <w:rPr>
              <w:noProof/>
              <w:webHidden/>
            </w:rPr>
            <w:tab/>
          </w:r>
          <w:r w:rsidR="003F6485">
            <w:rPr>
              <w:noProof/>
              <w:webHidden/>
            </w:rPr>
            <w:fldChar w:fldCharType="begin"/>
          </w:r>
          <w:r w:rsidR="003F6485">
            <w:rPr>
              <w:noProof/>
              <w:webHidden/>
            </w:rPr>
            <w:instrText xml:space="preserve"> PAGEREF _Toc43993944 \h </w:instrText>
          </w:r>
          <w:r w:rsidR="003F6485">
            <w:rPr>
              <w:noProof/>
              <w:webHidden/>
            </w:rPr>
          </w:r>
          <w:r w:rsidR="003F6485">
            <w:rPr>
              <w:noProof/>
              <w:webHidden/>
            </w:rPr>
            <w:fldChar w:fldCharType="separate"/>
          </w:r>
          <w:r w:rsidR="003F6485">
            <w:rPr>
              <w:noProof/>
              <w:webHidden/>
            </w:rPr>
            <w:t>1</w:t>
          </w:r>
          <w:r w:rsidR="003F6485">
            <w:rPr>
              <w:noProof/>
              <w:webHidden/>
            </w:rPr>
            <w:fldChar w:fldCharType="end"/>
          </w:r>
          <w:r w:rsidR="003F6485" w:rsidRPr="00B801FB">
            <w:rPr>
              <w:rStyle w:val="Hyperlink"/>
              <w:noProof/>
            </w:rPr>
            <w:fldChar w:fldCharType="end"/>
          </w:r>
        </w:p>
        <w:p w:rsidR="003F6485" w:rsidRDefault="003F6485">
          <w:pPr>
            <w:pStyle w:val="Verzeichnis1"/>
            <w:tabs>
              <w:tab w:val="left" w:pos="480"/>
              <w:tab w:val="right" w:leader="dot" w:pos="9344"/>
            </w:tabs>
            <w:rPr>
              <w:rFonts w:asciiTheme="minorHAnsi" w:eastAsiaTheme="minorEastAsia" w:hAnsiTheme="minorHAnsi"/>
              <w:noProof/>
              <w:sz w:val="22"/>
              <w:lang w:eastAsia="de-DE"/>
            </w:rPr>
          </w:pPr>
          <w:hyperlink w:anchor="_Toc43993945" w:history="1">
            <w:r w:rsidRPr="00B801FB">
              <w:rPr>
                <w:rStyle w:val="Hyperlink"/>
                <w:noProof/>
              </w:rPr>
              <w:t>2</w:t>
            </w:r>
            <w:r>
              <w:rPr>
                <w:rFonts w:asciiTheme="minorHAnsi" w:eastAsiaTheme="minorEastAsia" w:hAnsiTheme="minorHAnsi"/>
                <w:noProof/>
                <w:sz w:val="22"/>
                <w:lang w:eastAsia="de-DE"/>
              </w:rPr>
              <w:tab/>
            </w:r>
            <w:r w:rsidRPr="00B801FB">
              <w:rPr>
                <w:rStyle w:val="Hyperlink"/>
                <w:noProof/>
              </w:rPr>
              <w:t>Verschiedene Wechselwirkungen [3]</w:t>
            </w:r>
            <w:r>
              <w:rPr>
                <w:noProof/>
                <w:webHidden/>
              </w:rPr>
              <w:tab/>
            </w:r>
            <w:r>
              <w:rPr>
                <w:noProof/>
                <w:webHidden/>
              </w:rPr>
              <w:fldChar w:fldCharType="begin"/>
            </w:r>
            <w:r>
              <w:rPr>
                <w:noProof/>
                <w:webHidden/>
              </w:rPr>
              <w:instrText xml:space="preserve"> PAGEREF _Toc43993945 \h </w:instrText>
            </w:r>
            <w:r>
              <w:rPr>
                <w:noProof/>
                <w:webHidden/>
              </w:rPr>
            </w:r>
            <w:r>
              <w:rPr>
                <w:noProof/>
                <w:webHidden/>
              </w:rPr>
              <w:fldChar w:fldCharType="separate"/>
            </w:r>
            <w:r>
              <w:rPr>
                <w:noProof/>
                <w:webHidden/>
              </w:rPr>
              <w:t>2</w:t>
            </w:r>
            <w:r>
              <w:rPr>
                <w:noProof/>
                <w:webHidden/>
              </w:rPr>
              <w:fldChar w:fldCharType="end"/>
            </w:r>
          </w:hyperlink>
        </w:p>
        <w:p w:rsidR="003F6485" w:rsidRDefault="003F6485">
          <w:pPr>
            <w:pStyle w:val="Verzeichnis2"/>
            <w:tabs>
              <w:tab w:val="left" w:pos="880"/>
              <w:tab w:val="right" w:leader="dot" w:pos="9344"/>
            </w:tabs>
            <w:rPr>
              <w:rFonts w:asciiTheme="minorHAnsi" w:eastAsiaTheme="minorEastAsia" w:hAnsiTheme="minorHAnsi"/>
              <w:noProof/>
              <w:sz w:val="22"/>
              <w:lang w:eastAsia="de-DE"/>
            </w:rPr>
          </w:pPr>
          <w:hyperlink w:anchor="_Toc43993946" w:history="1">
            <w:r w:rsidRPr="00B801FB">
              <w:rPr>
                <w:rStyle w:val="Hyperlink"/>
                <w:noProof/>
              </w:rPr>
              <w:t>2.1</w:t>
            </w:r>
            <w:r>
              <w:rPr>
                <w:rFonts w:asciiTheme="minorHAnsi" w:eastAsiaTheme="minorEastAsia" w:hAnsiTheme="minorHAnsi"/>
                <w:noProof/>
                <w:sz w:val="22"/>
                <w:lang w:eastAsia="de-DE"/>
              </w:rPr>
              <w:tab/>
            </w:r>
            <w:r w:rsidRPr="00B801FB">
              <w:rPr>
                <w:rStyle w:val="Hyperlink"/>
                <w:noProof/>
              </w:rPr>
              <w:t>Wasserstoffbrücken-Bindungen</w:t>
            </w:r>
            <w:r>
              <w:rPr>
                <w:noProof/>
                <w:webHidden/>
              </w:rPr>
              <w:tab/>
            </w:r>
            <w:r>
              <w:rPr>
                <w:noProof/>
                <w:webHidden/>
              </w:rPr>
              <w:fldChar w:fldCharType="begin"/>
            </w:r>
            <w:r>
              <w:rPr>
                <w:noProof/>
                <w:webHidden/>
              </w:rPr>
              <w:instrText xml:space="preserve"> PAGEREF _Toc43993946 \h </w:instrText>
            </w:r>
            <w:r>
              <w:rPr>
                <w:noProof/>
                <w:webHidden/>
              </w:rPr>
            </w:r>
            <w:r>
              <w:rPr>
                <w:noProof/>
                <w:webHidden/>
              </w:rPr>
              <w:fldChar w:fldCharType="separate"/>
            </w:r>
            <w:r>
              <w:rPr>
                <w:noProof/>
                <w:webHidden/>
              </w:rPr>
              <w:t>2</w:t>
            </w:r>
            <w:r>
              <w:rPr>
                <w:noProof/>
                <w:webHidden/>
              </w:rPr>
              <w:fldChar w:fldCharType="end"/>
            </w:r>
          </w:hyperlink>
        </w:p>
        <w:p w:rsidR="003F6485" w:rsidRDefault="003F6485">
          <w:pPr>
            <w:pStyle w:val="Verzeichnis2"/>
            <w:tabs>
              <w:tab w:val="left" w:pos="880"/>
              <w:tab w:val="right" w:leader="dot" w:pos="9344"/>
            </w:tabs>
            <w:rPr>
              <w:rFonts w:asciiTheme="minorHAnsi" w:eastAsiaTheme="minorEastAsia" w:hAnsiTheme="minorHAnsi"/>
              <w:noProof/>
              <w:sz w:val="22"/>
              <w:lang w:eastAsia="de-DE"/>
            </w:rPr>
          </w:pPr>
          <w:hyperlink w:anchor="_Toc43993947" w:history="1">
            <w:r w:rsidRPr="00B801FB">
              <w:rPr>
                <w:rStyle w:val="Hyperlink"/>
                <w:rFonts w:cstheme="majorHAnsi"/>
                <w:noProof/>
              </w:rPr>
              <w:t>2.2</w:t>
            </w:r>
            <w:r>
              <w:rPr>
                <w:rFonts w:asciiTheme="minorHAnsi" w:eastAsiaTheme="minorEastAsia" w:hAnsiTheme="minorHAnsi"/>
                <w:noProof/>
                <w:sz w:val="22"/>
                <w:lang w:eastAsia="de-DE"/>
              </w:rPr>
              <w:tab/>
            </w:r>
            <w:r w:rsidRPr="00B801FB">
              <w:rPr>
                <w:rStyle w:val="Hyperlink"/>
                <w:rFonts w:cstheme="majorHAnsi"/>
                <w:noProof/>
              </w:rPr>
              <w:t>π-π-Wechselwirkungen</w:t>
            </w:r>
            <w:r>
              <w:rPr>
                <w:noProof/>
                <w:webHidden/>
              </w:rPr>
              <w:tab/>
            </w:r>
            <w:r>
              <w:rPr>
                <w:noProof/>
                <w:webHidden/>
              </w:rPr>
              <w:fldChar w:fldCharType="begin"/>
            </w:r>
            <w:r>
              <w:rPr>
                <w:noProof/>
                <w:webHidden/>
              </w:rPr>
              <w:instrText xml:space="preserve"> PAGEREF _Toc43993947 \h </w:instrText>
            </w:r>
            <w:r>
              <w:rPr>
                <w:noProof/>
                <w:webHidden/>
              </w:rPr>
            </w:r>
            <w:r>
              <w:rPr>
                <w:noProof/>
                <w:webHidden/>
              </w:rPr>
              <w:fldChar w:fldCharType="separate"/>
            </w:r>
            <w:r>
              <w:rPr>
                <w:noProof/>
                <w:webHidden/>
              </w:rPr>
              <w:t>3</w:t>
            </w:r>
            <w:r>
              <w:rPr>
                <w:noProof/>
                <w:webHidden/>
              </w:rPr>
              <w:fldChar w:fldCharType="end"/>
            </w:r>
          </w:hyperlink>
        </w:p>
        <w:p w:rsidR="003F6485" w:rsidRDefault="003F6485">
          <w:pPr>
            <w:pStyle w:val="Verzeichnis2"/>
            <w:tabs>
              <w:tab w:val="left" w:pos="880"/>
              <w:tab w:val="right" w:leader="dot" w:pos="9344"/>
            </w:tabs>
            <w:rPr>
              <w:rFonts w:asciiTheme="minorHAnsi" w:eastAsiaTheme="minorEastAsia" w:hAnsiTheme="minorHAnsi"/>
              <w:noProof/>
              <w:sz w:val="22"/>
              <w:lang w:eastAsia="de-DE"/>
            </w:rPr>
          </w:pPr>
          <w:hyperlink w:anchor="_Toc43993948" w:history="1">
            <w:r w:rsidRPr="00B801FB">
              <w:rPr>
                <w:rStyle w:val="Hyperlink"/>
                <w:noProof/>
              </w:rPr>
              <w:t>2.3</w:t>
            </w:r>
            <w:r>
              <w:rPr>
                <w:rFonts w:asciiTheme="minorHAnsi" w:eastAsiaTheme="minorEastAsia" w:hAnsiTheme="minorHAnsi"/>
                <w:noProof/>
                <w:sz w:val="22"/>
                <w:lang w:eastAsia="de-DE"/>
              </w:rPr>
              <w:tab/>
            </w:r>
            <w:r w:rsidRPr="00B801FB">
              <w:rPr>
                <w:rStyle w:val="Hyperlink"/>
                <w:noProof/>
              </w:rPr>
              <w:t>Van-der-Waals-Wechselwirkungen</w:t>
            </w:r>
            <w:r>
              <w:rPr>
                <w:noProof/>
                <w:webHidden/>
              </w:rPr>
              <w:tab/>
            </w:r>
            <w:r>
              <w:rPr>
                <w:noProof/>
                <w:webHidden/>
              </w:rPr>
              <w:fldChar w:fldCharType="begin"/>
            </w:r>
            <w:r>
              <w:rPr>
                <w:noProof/>
                <w:webHidden/>
              </w:rPr>
              <w:instrText xml:space="preserve"> PAGEREF _Toc43993948 \h </w:instrText>
            </w:r>
            <w:r>
              <w:rPr>
                <w:noProof/>
                <w:webHidden/>
              </w:rPr>
            </w:r>
            <w:r>
              <w:rPr>
                <w:noProof/>
                <w:webHidden/>
              </w:rPr>
              <w:fldChar w:fldCharType="separate"/>
            </w:r>
            <w:r>
              <w:rPr>
                <w:noProof/>
                <w:webHidden/>
              </w:rPr>
              <w:t>3</w:t>
            </w:r>
            <w:r>
              <w:rPr>
                <w:noProof/>
                <w:webHidden/>
              </w:rPr>
              <w:fldChar w:fldCharType="end"/>
            </w:r>
          </w:hyperlink>
        </w:p>
        <w:p w:rsidR="003F6485" w:rsidRDefault="003F6485">
          <w:pPr>
            <w:pStyle w:val="Verzeichnis2"/>
            <w:tabs>
              <w:tab w:val="left" w:pos="880"/>
              <w:tab w:val="right" w:leader="dot" w:pos="9344"/>
            </w:tabs>
            <w:rPr>
              <w:rFonts w:asciiTheme="minorHAnsi" w:eastAsiaTheme="minorEastAsia" w:hAnsiTheme="minorHAnsi"/>
              <w:noProof/>
              <w:sz w:val="22"/>
              <w:lang w:eastAsia="de-DE"/>
            </w:rPr>
          </w:pPr>
          <w:hyperlink w:anchor="_Toc43993949" w:history="1">
            <w:r w:rsidRPr="00B801FB">
              <w:rPr>
                <w:rStyle w:val="Hyperlink"/>
                <w:noProof/>
              </w:rPr>
              <w:t>2.4</w:t>
            </w:r>
            <w:r>
              <w:rPr>
                <w:rFonts w:asciiTheme="minorHAnsi" w:eastAsiaTheme="minorEastAsia" w:hAnsiTheme="minorHAnsi"/>
                <w:noProof/>
                <w:sz w:val="22"/>
                <w:lang w:eastAsia="de-DE"/>
              </w:rPr>
              <w:tab/>
            </w:r>
            <w:r w:rsidRPr="00B801FB">
              <w:rPr>
                <w:rStyle w:val="Hyperlink"/>
                <w:noProof/>
              </w:rPr>
              <w:t>Übersicht über die Energien von Wechselwirkungen</w:t>
            </w:r>
            <w:r>
              <w:rPr>
                <w:noProof/>
                <w:webHidden/>
              </w:rPr>
              <w:tab/>
            </w:r>
            <w:r>
              <w:rPr>
                <w:noProof/>
                <w:webHidden/>
              </w:rPr>
              <w:fldChar w:fldCharType="begin"/>
            </w:r>
            <w:r>
              <w:rPr>
                <w:noProof/>
                <w:webHidden/>
              </w:rPr>
              <w:instrText xml:space="preserve"> PAGEREF _Toc43993949 \h </w:instrText>
            </w:r>
            <w:r>
              <w:rPr>
                <w:noProof/>
                <w:webHidden/>
              </w:rPr>
            </w:r>
            <w:r>
              <w:rPr>
                <w:noProof/>
                <w:webHidden/>
              </w:rPr>
              <w:fldChar w:fldCharType="separate"/>
            </w:r>
            <w:r>
              <w:rPr>
                <w:noProof/>
                <w:webHidden/>
              </w:rPr>
              <w:t>4</w:t>
            </w:r>
            <w:r>
              <w:rPr>
                <w:noProof/>
                <w:webHidden/>
              </w:rPr>
              <w:fldChar w:fldCharType="end"/>
            </w:r>
          </w:hyperlink>
        </w:p>
        <w:p w:rsidR="003F6485" w:rsidRDefault="003F6485">
          <w:pPr>
            <w:pStyle w:val="Verzeichnis1"/>
            <w:tabs>
              <w:tab w:val="left" w:pos="480"/>
              <w:tab w:val="right" w:leader="dot" w:pos="9344"/>
            </w:tabs>
            <w:rPr>
              <w:rFonts w:asciiTheme="minorHAnsi" w:eastAsiaTheme="minorEastAsia" w:hAnsiTheme="minorHAnsi"/>
              <w:noProof/>
              <w:sz w:val="22"/>
              <w:lang w:eastAsia="de-DE"/>
            </w:rPr>
          </w:pPr>
          <w:hyperlink w:anchor="_Toc43993950" w:history="1">
            <w:r w:rsidRPr="00B801FB">
              <w:rPr>
                <w:rStyle w:val="Hyperlink"/>
                <w:noProof/>
              </w:rPr>
              <w:t>3</w:t>
            </w:r>
            <w:r>
              <w:rPr>
                <w:rFonts w:asciiTheme="minorHAnsi" w:eastAsiaTheme="minorEastAsia" w:hAnsiTheme="minorHAnsi"/>
                <w:noProof/>
                <w:sz w:val="22"/>
                <w:lang w:eastAsia="de-DE"/>
              </w:rPr>
              <w:tab/>
            </w:r>
            <w:r w:rsidRPr="00B801FB">
              <w:rPr>
                <w:rStyle w:val="Hyperlink"/>
                <w:noProof/>
              </w:rPr>
              <w:t>Wichtige Prinzipien</w:t>
            </w:r>
            <w:r>
              <w:rPr>
                <w:noProof/>
                <w:webHidden/>
              </w:rPr>
              <w:tab/>
            </w:r>
            <w:r>
              <w:rPr>
                <w:noProof/>
                <w:webHidden/>
              </w:rPr>
              <w:fldChar w:fldCharType="begin"/>
            </w:r>
            <w:r>
              <w:rPr>
                <w:noProof/>
                <w:webHidden/>
              </w:rPr>
              <w:instrText xml:space="preserve"> PAGEREF _Toc43993950 \h </w:instrText>
            </w:r>
            <w:r>
              <w:rPr>
                <w:noProof/>
                <w:webHidden/>
              </w:rPr>
            </w:r>
            <w:r>
              <w:rPr>
                <w:noProof/>
                <w:webHidden/>
              </w:rPr>
              <w:fldChar w:fldCharType="separate"/>
            </w:r>
            <w:r>
              <w:rPr>
                <w:noProof/>
                <w:webHidden/>
              </w:rPr>
              <w:t>4</w:t>
            </w:r>
            <w:r>
              <w:rPr>
                <w:noProof/>
                <w:webHidden/>
              </w:rPr>
              <w:fldChar w:fldCharType="end"/>
            </w:r>
          </w:hyperlink>
        </w:p>
        <w:p w:rsidR="003F6485" w:rsidRDefault="003F6485">
          <w:pPr>
            <w:pStyle w:val="Verzeichnis2"/>
            <w:tabs>
              <w:tab w:val="left" w:pos="880"/>
              <w:tab w:val="right" w:leader="dot" w:pos="9344"/>
            </w:tabs>
            <w:rPr>
              <w:rFonts w:asciiTheme="minorHAnsi" w:eastAsiaTheme="minorEastAsia" w:hAnsiTheme="minorHAnsi"/>
              <w:noProof/>
              <w:sz w:val="22"/>
              <w:lang w:eastAsia="de-DE"/>
            </w:rPr>
          </w:pPr>
          <w:hyperlink w:anchor="_Toc43993951" w:history="1">
            <w:r w:rsidRPr="00B801FB">
              <w:rPr>
                <w:rStyle w:val="Hyperlink"/>
                <w:noProof/>
              </w:rPr>
              <w:t>3.1</w:t>
            </w:r>
            <w:r>
              <w:rPr>
                <w:rFonts w:asciiTheme="minorHAnsi" w:eastAsiaTheme="minorEastAsia" w:hAnsiTheme="minorHAnsi"/>
                <w:noProof/>
                <w:sz w:val="22"/>
                <w:lang w:eastAsia="de-DE"/>
              </w:rPr>
              <w:tab/>
            </w:r>
            <w:r w:rsidRPr="00B801FB">
              <w:rPr>
                <w:rStyle w:val="Hyperlink"/>
                <w:noProof/>
              </w:rPr>
              <w:t>Prinzip der Erkennung, Information und Komplementarität</w:t>
            </w:r>
            <w:r>
              <w:rPr>
                <w:noProof/>
                <w:webHidden/>
              </w:rPr>
              <w:tab/>
            </w:r>
            <w:r>
              <w:rPr>
                <w:noProof/>
                <w:webHidden/>
              </w:rPr>
              <w:fldChar w:fldCharType="begin"/>
            </w:r>
            <w:r>
              <w:rPr>
                <w:noProof/>
                <w:webHidden/>
              </w:rPr>
              <w:instrText xml:space="preserve"> PAGEREF _Toc43993951 \h </w:instrText>
            </w:r>
            <w:r>
              <w:rPr>
                <w:noProof/>
                <w:webHidden/>
              </w:rPr>
            </w:r>
            <w:r>
              <w:rPr>
                <w:noProof/>
                <w:webHidden/>
              </w:rPr>
              <w:fldChar w:fldCharType="separate"/>
            </w:r>
            <w:r>
              <w:rPr>
                <w:noProof/>
                <w:webHidden/>
              </w:rPr>
              <w:t>4</w:t>
            </w:r>
            <w:r>
              <w:rPr>
                <w:noProof/>
                <w:webHidden/>
              </w:rPr>
              <w:fldChar w:fldCharType="end"/>
            </w:r>
          </w:hyperlink>
        </w:p>
        <w:p w:rsidR="003F6485" w:rsidRDefault="003F6485">
          <w:pPr>
            <w:pStyle w:val="Verzeichnis2"/>
            <w:tabs>
              <w:tab w:val="left" w:pos="880"/>
              <w:tab w:val="right" w:leader="dot" w:pos="9344"/>
            </w:tabs>
            <w:rPr>
              <w:rFonts w:asciiTheme="minorHAnsi" w:eastAsiaTheme="minorEastAsia" w:hAnsiTheme="minorHAnsi"/>
              <w:noProof/>
              <w:sz w:val="22"/>
              <w:lang w:eastAsia="de-DE"/>
            </w:rPr>
          </w:pPr>
          <w:hyperlink w:anchor="_Toc43993952" w:history="1">
            <w:r w:rsidRPr="00B801FB">
              <w:rPr>
                <w:rStyle w:val="Hyperlink"/>
                <w:noProof/>
              </w:rPr>
              <w:t>3.2</w:t>
            </w:r>
            <w:r>
              <w:rPr>
                <w:rFonts w:asciiTheme="minorHAnsi" w:eastAsiaTheme="minorEastAsia" w:hAnsiTheme="minorHAnsi"/>
                <w:noProof/>
                <w:sz w:val="22"/>
                <w:lang w:eastAsia="de-DE"/>
              </w:rPr>
              <w:tab/>
            </w:r>
            <w:r w:rsidRPr="00B801FB">
              <w:rPr>
                <w:rStyle w:val="Hyperlink"/>
                <w:noProof/>
              </w:rPr>
              <w:t>Das Prinzip der Selbst-Anordnung</w:t>
            </w:r>
            <w:r>
              <w:rPr>
                <w:noProof/>
                <w:webHidden/>
              </w:rPr>
              <w:tab/>
            </w:r>
            <w:r>
              <w:rPr>
                <w:noProof/>
                <w:webHidden/>
              </w:rPr>
              <w:fldChar w:fldCharType="begin"/>
            </w:r>
            <w:r>
              <w:rPr>
                <w:noProof/>
                <w:webHidden/>
              </w:rPr>
              <w:instrText xml:space="preserve"> PAGEREF _Toc43993952 \h </w:instrText>
            </w:r>
            <w:r>
              <w:rPr>
                <w:noProof/>
                <w:webHidden/>
              </w:rPr>
            </w:r>
            <w:r>
              <w:rPr>
                <w:noProof/>
                <w:webHidden/>
              </w:rPr>
              <w:fldChar w:fldCharType="separate"/>
            </w:r>
            <w:r>
              <w:rPr>
                <w:noProof/>
                <w:webHidden/>
              </w:rPr>
              <w:t>5</w:t>
            </w:r>
            <w:r>
              <w:rPr>
                <w:noProof/>
                <w:webHidden/>
              </w:rPr>
              <w:fldChar w:fldCharType="end"/>
            </w:r>
          </w:hyperlink>
        </w:p>
        <w:p w:rsidR="003F6485" w:rsidRDefault="003F6485">
          <w:pPr>
            <w:pStyle w:val="Verzeichnis1"/>
            <w:tabs>
              <w:tab w:val="left" w:pos="480"/>
              <w:tab w:val="right" w:leader="dot" w:pos="9344"/>
            </w:tabs>
            <w:rPr>
              <w:rFonts w:asciiTheme="minorHAnsi" w:eastAsiaTheme="minorEastAsia" w:hAnsiTheme="minorHAnsi"/>
              <w:noProof/>
              <w:sz w:val="22"/>
              <w:lang w:eastAsia="de-DE"/>
            </w:rPr>
          </w:pPr>
          <w:hyperlink w:anchor="_Toc43993953" w:history="1">
            <w:r w:rsidRPr="00B801FB">
              <w:rPr>
                <w:rStyle w:val="Hyperlink"/>
                <w:noProof/>
              </w:rPr>
              <w:t>4</w:t>
            </w:r>
            <w:r>
              <w:rPr>
                <w:rFonts w:asciiTheme="minorHAnsi" w:eastAsiaTheme="minorEastAsia" w:hAnsiTheme="minorHAnsi"/>
                <w:noProof/>
                <w:sz w:val="22"/>
                <w:lang w:eastAsia="de-DE"/>
              </w:rPr>
              <w:tab/>
            </w:r>
            <w:r w:rsidRPr="00B801FB">
              <w:rPr>
                <w:rStyle w:val="Hyperlink"/>
                <w:noProof/>
              </w:rPr>
              <w:t>Beispiele</w:t>
            </w:r>
            <w:r>
              <w:rPr>
                <w:noProof/>
                <w:webHidden/>
              </w:rPr>
              <w:tab/>
            </w:r>
            <w:r>
              <w:rPr>
                <w:noProof/>
                <w:webHidden/>
              </w:rPr>
              <w:fldChar w:fldCharType="begin"/>
            </w:r>
            <w:r>
              <w:rPr>
                <w:noProof/>
                <w:webHidden/>
              </w:rPr>
              <w:instrText xml:space="preserve"> PAGEREF _Toc43993953 \h </w:instrText>
            </w:r>
            <w:r>
              <w:rPr>
                <w:noProof/>
                <w:webHidden/>
              </w:rPr>
            </w:r>
            <w:r>
              <w:rPr>
                <w:noProof/>
                <w:webHidden/>
              </w:rPr>
              <w:fldChar w:fldCharType="separate"/>
            </w:r>
            <w:r>
              <w:rPr>
                <w:noProof/>
                <w:webHidden/>
              </w:rPr>
              <w:t>5</w:t>
            </w:r>
            <w:r>
              <w:rPr>
                <w:noProof/>
                <w:webHidden/>
              </w:rPr>
              <w:fldChar w:fldCharType="end"/>
            </w:r>
          </w:hyperlink>
        </w:p>
        <w:p w:rsidR="003F6485" w:rsidRDefault="003F6485">
          <w:pPr>
            <w:pStyle w:val="Verzeichnis2"/>
            <w:tabs>
              <w:tab w:val="left" w:pos="880"/>
              <w:tab w:val="right" w:leader="dot" w:pos="9344"/>
            </w:tabs>
            <w:rPr>
              <w:rFonts w:asciiTheme="minorHAnsi" w:eastAsiaTheme="minorEastAsia" w:hAnsiTheme="minorHAnsi"/>
              <w:noProof/>
              <w:sz w:val="22"/>
              <w:lang w:eastAsia="de-DE"/>
            </w:rPr>
          </w:pPr>
          <w:hyperlink w:anchor="_Toc43993954" w:history="1">
            <w:r w:rsidRPr="00B801FB">
              <w:rPr>
                <w:rStyle w:val="Hyperlink"/>
                <w:noProof/>
              </w:rPr>
              <w:t>4.1</w:t>
            </w:r>
            <w:r>
              <w:rPr>
                <w:rFonts w:asciiTheme="minorHAnsi" w:eastAsiaTheme="minorEastAsia" w:hAnsiTheme="minorHAnsi"/>
                <w:noProof/>
                <w:sz w:val="22"/>
                <w:lang w:eastAsia="de-DE"/>
              </w:rPr>
              <w:tab/>
            </w:r>
            <w:r w:rsidRPr="00B801FB">
              <w:rPr>
                <w:rStyle w:val="Hyperlink"/>
                <w:noProof/>
              </w:rPr>
              <w:t>Kristalle</w:t>
            </w:r>
            <w:r>
              <w:rPr>
                <w:noProof/>
                <w:webHidden/>
              </w:rPr>
              <w:tab/>
            </w:r>
            <w:r>
              <w:rPr>
                <w:noProof/>
                <w:webHidden/>
              </w:rPr>
              <w:fldChar w:fldCharType="begin"/>
            </w:r>
            <w:r>
              <w:rPr>
                <w:noProof/>
                <w:webHidden/>
              </w:rPr>
              <w:instrText xml:space="preserve"> PAGEREF _Toc43993954 \h </w:instrText>
            </w:r>
            <w:r>
              <w:rPr>
                <w:noProof/>
                <w:webHidden/>
              </w:rPr>
            </w:r>
            <w:r>
              <w:rPr>
                <w:noProof/>
                <w:webHidden/>
              </w:rPr>
              <w:fldChar w:fldCharType="separate"/>
            </w:r>
            <w:r>
              <w:rPr>
                <w:noProof/>
                <w:webHidden/>
              </w:rPr>
              <w:t>5</w:t>
            </w:r>
            <w:r>
              <w:rPr>
                <w:noProof/>
                <w:webHidden/>
              </w:rPr>
              <w:fldChar w:fldCharType="end"/>
            </w:r>
          </w:hyperlink>
        </w:p>
        <w:p w:rsidR="003F6485" w:rsidRDefault="003F6485">
          <w:pPr>
            <w:pStyle w:val="Verzeichnis2"/>
            <w:tabs>
              <w:tab w:val="left" w:pos="880"/>
              <w:tab w:val="right" w:leader="dot" w:pos="9344"/>
            </w:tabs>
            <w:rPr>
              <w:rFonts w:asciiTheme="minorHAnsi" w:eastAsiaTheme="minorEastAsia" w:hAnsiTheme="minorHAnsi"/>
              <w:noProof/>
              <w:sz w:val="22"/>
              <w:lang w:eastAsia="de-DE"/>
            </w:rPr>
          </w:pPr>
          <w:hyperlink w:anchor="_Toc43993955" w:history="1">
            <w:r w:rsidRPr="00B801FB">
              <w:rPr>
                <w:rStyle w:val="Hyperlink"/>
                <w:noProof/>
              </w:rPr>
              <w:t>4.2</w:t>
            </w:r>
            <w:r>
              <w:rPr>
                <w:rFonts w:asciiTheme="minorHAnsi" w:eastAsiaTheme="minorEastAsia" w:hAnsiTheme="minorHAnsi"/>
                <w:noProof/>
                <w:sz w:val="22"/>
                <w:lang w:eastAsia="de-DE"/>
              </w:rPr>
              <w:tab/>
            </w:r>
            <w:r w:rsidRPr="00B801FB">
              <w:rPr>
                <w:rStyle w:val="Hyperlink"/>
                <w:noProof/>
              </w:rPr>
              <w:t>Helikale</w:t>
            </w:r>
            <w:r>
              <w:rPr>
                <w:noProof/>
                <w:webHidden/>
              </w:rPr>
              <w:tab/>
            </w:r>
            <w:r>
              <w:rPr>
                <w:noProof/>
                <w:webHidden/>
              </w:rPr>
              <w:fldChar w:fldCharType="begin"/>
            </w:r>
            <w:r>
              <w:rPr>
                <w:noProof/>
                <w:webHidden/>
              </w:rPr>
              <w:instrText xml:space="preserve"> PAGEREF _Toc43993955 \h </w:instrText>
            </w:r>
            <w:r>
              <w:rPr>
                <w:noProof/>
                <w:webHidden/>
              </w:rPr>
            </w:r>
            <w:r>
              <w:rPr>
                <w:noProof/>
                <w:webHidden/>
              </w:rPr>
              <w:fldChar w:fldCharType="separate"/>
            </w:r>
            <w:r>
              <w:rPr>
                <w:noProof/>
                <w:webHidden/>
              </w:rPr>
              <w:t>6</w:t>
            </w:r>
            <w:r>
              <w:rPr>
                <w:noProof/>
                <w:webHidden/>
              </w:rPr>
              <w:fldChar w:fldCharType="end"/>
            </w:r>
          </w:hyperlink>
        </w:p>
        <w:p w:rsidR="003F6485" w:rsidRDefault="003F6485">
          <w:pPr>
            <w:pStyle w:val="Verzeichnis2"/>
            <w:tabs>
              <w:tab w:val="left" w:pos="880"/>
              <w:tab w:val="right" w:leader="dot" w:pos="9344"/>
            </w:tabs>
            <w:rPr>
              <w:rFonts w:asciiTheme="minorHAnsi" w:eastAsiaTheme="minorEastAsia" w:hAnsiTheme="minorHAnsi"/>
              <w:noProof/>
              <w:sz w:val="22"/>
              <w:lang w:eastAsia="de-DE"/>
            </w:rPr>
          </w:pPr>
          <w:hyperlink w:anchor="_Toc43993956" w:history="1">
            <w:r w:rsidRPr="00B801FB">
              <w:rPr>
                <w:rStyle w:val="Hyperlink"/>
                <w:noProof/>
              </w:rPr>
              <w:t>4.3</w:t>
            </w:r>
            <w:r>
              <w:rPr>
                <w:rFonts w:asciiTheme="minorHAnsi" w:eastAsiaTheme="minorEastAsia" w:hAnsiTheme="minorHAnsi"/>
                <w:noProof/>
                <w:sz w:val="22"/>
                <w:lang w:eastAsia="de-DE"/>
              </w:rPr>
              <w:tab/>
            </w:r>
            <w:r w:rsidRPr="00B801FB">
              <w:rPr>
                <w:rStyle w:val="Hyperlink"/>
                <w:noProof/>
              </w:rPr>
              <w:t>Rechen und Leiter</w:t>
            </w:r>
            <w:r>
              <w:rPr>
                <w:noProof/>
                <w:webHidden/>
              </w:rPr>
              <w:tab/>
            </w:r>
            <w:r>
              <w:rPr>
                <w:noProof/>
                <w:webHidden/>
              </w:rPr>
              <w:fldChar w:fldCharType="begin"/>
            </w:r>
            <w:r>
              <w:rPr>
                <w:noProof/>
                <w:webHidden/>
              </w:rPr>
              <w:instrText xml:space="preserve"> PAGEREF _Toc43993956 \h </w:instrText>
            </w:r>
            <w:r>
              <w:rPr>
                <w:noProof/>
                <w:webHidden/>
              </w:rPr>
            </w:r>
            <w:r>
              <w:rPr>
                <w:noProof/>
                <w:webHidden/>
              </w:rPr>
              <w:fldChar w:fldCharType="separate"/>
            </w:r>
            <w:r>
              <w:rPr>
                <w:noProof/>
                <w:webHidden/>
              </w:rPr>
              <w:t>7</w:t>
            </w:r>
            <w:r>
              <w:rPr>
                <w:noProof/>
                <w:webHidden/>
              </w:rPr>
              <w:fldChar w:fldCharType="end"/>
            </w:r>
          </w:hyperlink>
        </w:p>
        <w:p w:rsidR="006C46BC" w:rsidRDefault="006C46BC">
          <w:r>
            <w:rPr>
              <w:b/>
              <w:bCs/>
            </w:rPr>
            <w:fldChar w:fldCharType="end"/>
          </w:r>
        </w:p>
      </w:sdtContent>
    </w:sdt>
    <w:p w:rsidR="00E8473B" w:rsidRDefault="00422A52" w:rsidP="008A524D">
      <w:pPr>
        <w:pStyle w:val="berschrift1"/>
      </w:pPr>
      <w:bookmarkStart w:id="1" w:name="_Überschrift_1"/>
      <w:bookmarkStart w:id="2" w:name="_Toc43993944"/>
      <w:bookmarkEnd w:id="1"/>
      <w:r>
        <w:t>Was ist supramolekulare Chemie</w:t>
      </w:r>
      <w:bookmarkEnd w:id="2"/>
    </w:p>
    <w:p w:rsidR="00422A52" w:rsidRPr="00422A52" w:rsidRDefault="00422A52" w:rsidP="00422A52">
      <w:r w:rsidRPr="00422A52">
        <w:t>Jean-Marie Lehn, der als Erfinder oder Entdecker dieser Chemie gilt und 1987 den Nobel</w:t>
      </w:r>
      <w:r>
        <w:t>-P</w:t>
      </w:r>
      <w:r w:rsidRPr="00422A52">
        <w:t>reis dafür gewonnen hat, definiert:</w:t>
      </w:r>
    </w:p>
    <w:p w:rsidR="00422A52" w:rsidRPr="00422A52" w:rsidRDefault="00422A52" w:rsidP="00422A52">
      <w:r w:rsidRPr="00422A52">
        <w:t>"Supramolekulare Chemie ist die Chemie der intermolekularen Bindungen und beschäftigt sich mit Struktur und Funktion von Einheiten, die durch Assoziation von zwei oder mehr chemischen Spezies gebildet werden. Molekulare Erkennung in diesen Übermolekülen, die bei der Rezeptor / Substrat- Bindung entstehen, beruht auf dem Prinzip der molekularen Komplementarität..." [</w:t>
      </w:r>
      <w:r>
        <w:fldChar w:fldCharType="begin"/>
      </w:r>
      <w:r>
        <w:instrText xml:space="preserve"> REF _Ref43710088 \r \h </w:instrText>
      </w:r>
      <w:r>
        <w:fldChar w:fldCharType="separate"/>
      </w:r>
      <w:r w:rsidR="003F6485">
        <w:t>1</w:t>
      </w:r>
      <w:r>
        <w:fldChar w:fldCharType="end"/>
      </w:r>
      <w:r w:rsidRPr="00422A52">
        <w:t xml:space="preserve">] </w:t>
      </w:r>
    </w:p>
    <w:p w:rsidR="00422A52" w:rsidRPr="00422A52" w:rsidRDefault="00422A52" w:rsidP="00422A52">
      <w:r w:rsidRPr="00422A52">
        <w:t>Supramolekulare Chemie beschreibt komplexe Gebilde oder Architekturen von genau definierter Größe, die auf verschiedenen Prinzipien beruhen und durch nicht-kovalente Bindungen zusammengehalten werden. Auf die Prinzipien und speziellen Bindungen wird später noch eingegangen.</w:t>
      </w:r>
    </w:p>
    <w:p w:rsidR="00422A52" w:rsidRPr="00422A52" w:rsidRDefault="00422A52" w:rsidP="00422A52">
      <w:r w:rsidRPr="00422A52">
        <w:t>Um eine grobe Einordnung zu haben, in welchem Teilbereich sich die supramolekulare Chemie bewegt, soll folgendes Schaubild dienen:</w:t>
      </w:r>
    </w:p>
    <w:p w:rsidR="00422A52" w:rsidRDefault="00422A52" w:rsidP="00422A52">
      <w:pPr>
        <w:pStyle w:val="Bilder"/>
      </w:pPr>
      <w:r>
        <w:rPr>
          <w:lang w:eastAsia="de-DE"/>
        </w:rPr>
        <w:lastRenderedPageBreak/>
        <w:drawing>
          <wp:inline distT="0" distB="0" distL="0" distR="0" wp14:anchorId="3BA14EC3">
            <wp:extent cx="3603812" cy="2381688"/>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18407" cy="2391334"/>
                    </a:xfrm>
                    <a:prstGeom prst="rect">
                      <a:avLst/>
                    </a:prstGeom>
                    <a:noFill/>
                  </pic:spPr>
                </pic:pic>
              </a:graphicData>
            </a:graphic>
          </wp:inline>
        </w:drawing>
      </w:r>
    </w:p>
    <w:p w:rsidR="00422A52" w:rsidRDefault="00422A52" w:rsidP="00422A52">
      <w:pPr>
        <w:pStyle w:val="Beschriftung"/>
      </w:pPr>
      <w:r>
        <w:t xml:space="preserve">Abb. </w:t>
      </w:r>
      <w:r w:rsidR="003F6485">
        <w:fldChar w:fldCharType="begin"/>
      </w:r>
      <w:r w:rsidR="003F6485">
        <w:instrText xml:space="preserve"> SEQ Abb. \* ARABIC </w:instrText>
      </w:r>
      <w:r w:rsidR="003F6485">
        <w:fldChar w:fldCharType="separate"/>
      </w:r>
      <w:r w:rsidR="003F6485">
        <w:rPr>
          <w:noProof/>
        </w:rPr>
        <w:t>1</w:t>
      </w:r>
      <w:r w:rsidR="003F6485">
        <w:rPr>
          <w:noProof/>
        </w:rPr>
        <w:fldChar w:fldCharType="end"/>
      </w:r>
      <w:r>
        <w:t>: Entwicklungsrichtung der supramolekularen Chemie [</w:t>
      </w:r>
      <w:r>
        <w:fldChar w:fldCharType="begin"/>
      </w:r>
      <w:r>
        <w:instrText xml:space="preserve"> REF _Ref43710601 \r \h </w:instrText>
      </w:r>
      <w:r>
        <w:fldChar w:fldCharType="separate"/>
      </w:r>
      <w:r w:rsidR="003F6485">
        <w:t>2</w:t>
      </w:r>
      <w:r>
        <w:fldChar w:fldCharType="end"/>
      </w:r>
      <w:r>
        <w:t>]</w:t>
      </w:r>
    </w:p>
    <w:p w:rsidR="00422A52" w:rsidRPr="00422A52" w:rsidRDefault="00422A52" w:rsidP="00422A52">
      <w:r w:rsidRPr="00422A52">
        <w:t xml:space="preserve">Der Forschungsbereich bewegt sich zwischen der Biologie und der Chemie. </w:t>
      </w:r>
    </w:p>
    <w:p w:rsidR="00422A52" w:rsidRPr="00422A52" w:rsidRDefault="00422A52" w:rsidP="00422A52">
      <w:r w:rsidRPr="00422A52">
        <w:t>Lässt sich die Komplexität der Strukturen aus der Biologie mit der Vielfalt und Band</w:t>
      </w:r>
      <w:r>
        <w:t>-B</w:t>
      </w:r>
      <w:r w:rsidRPr="00422A52">
        <w:t>reite an molekularen Bindungen und Verbindungen aus der Chemie vereinen, so öffnet sich eine völlig neue Welt. Dies ist die Welt der supramolekularen Chemie.</w:t>
      </w:r>
    </w:p>
    <w:p w:rsidR="00422A52" w:rsidRPr="00422A52" w:rsidRDefault="00422A52" w:rsidP="00422A52">
      <w:r w:rsidRPr="00422A52">
        <w:t>Man stelle sich vor, biologische komplexe Strukturen wie DNA, der Eisen-Hämoglobin-Komplex zum Sauerstoff</w:t>
      </w:r>
      <w:r w:rsidR="0095646D">
        <w:t>-T</w:t>
      </w:r>
      <w:r w:rsidRPr="00422A52">
        <w:t>ransport oder unzählige Arten von Enzymen lassen sich mit chemischen Synthesen gezielt nachbauen oder sogar verändern, um verschiedene Funktionen zu erzielen.</w:t>
      </w:r>
    </w:p>
    <w:p w:rsidR="00422A52" w:rsidRDefault="0095646D" w:rsidP="0095646D">
      <w:pPr>
        <w:pStyle w:val="berschrift1"/>
      </w:pPr>
      <w:bookmarkStart w:id="3" w:name="_Toc43993945"/>
      <w:r>
        <w:t>Verschiedene Wechselwirkungen [</w:t>
      </w:r>
      <w:r>
        <w:fldChar w:fldCharType="begin"/>
      </w:r>
      <w:r>
        <w:instrText xml:space="preserve"> REF _Ref43710648 \r \h </w:instrText>
      </w:r>
      <w:r>
        <w:fldChar w:fldCharType="separate"/>
      </w:r>
      <w:r w:rsidR="003F6485">
        <w:t>3</w:t>
      </w:r>
      <w:r>
        <w:fldChar w:fldCharType="end"/>
      </w:r>
      <w:r>
        <w:t>]</w:t>
      </w:r>
      <w:bookmarkEnd w:id="3"/>
    </w:p>
    <w:p w:rsidR="0095646D" w:rsidRDefault="0095646D" w:rsidP="0095646D">
      <w:r w:rsidRPr="0095646D">
        <w:t>Wie bereits erwähnt, spielen die nicht-kovalenten Bindungen bzw. Wechselwirkungen eine große Rolle. Solche Wechselwirkungen können sein Wasserstoffbrücken</w:t>
      </w:r>
      <w:r>
        <w:t>-B</w:t>
      </w:r>
      <w:r w:rsidRPr="0095646D">
        <w:t>indungen, π-π-Wechselwirkungen oder van-der-Waals-Wechselwirkungen.</w:t>
      </w:r>
    </w:p>
    <w:p w:rsidR="0095646D" w:rsidRDefault="0095646D" w:rsidP="0095646D">
      <w:pPr>
        <w:pStyle w:val="berschrift2"/>
      </w:pPr>
      <w:bookmarkStart w:id="4" w:name="_Toc43993946"/>
      <w:r>
        <w:t>Wasserstoffbrücken-Bindungen</w:t>
      </w:r>
      <w:bookmarkEnd w:id="4"/>
    </w:p>
    <w:p w:rsidR="0095646D" w:rsidRPr="0095646D" w:rsidRDefault="0095646D" w:rsidP="0095646D">
      <w:r w:rsidRPr="0095646D">
        <w:t>Wasserstoffbrücken</w:t>
      </w:r>
      <w:r>
        <w:t>-B</w:t>
      </w:r>
      <w:r w:rsidRPr="0095646D">
        <w:t>indungen gehören zu den elektrostatischen Wechselwirkungen. Durch Polarisation entsteht eine elektrostatische Anziehung und es ergeben sich angeordnete Assoziative über Wasserstoffbrücken.</w:t>
      </w:r>
    </w:p>
    <w:p w:rsidR="0095646D" w:rsidRPr="0095646D" w:rsidRDefault="0095646D" w:rsidP="0095646D">
      <w:r w:rsidRPr="0095646D">
        <w:t>Ist ein Wasserstoff ist an ein elektronegatives Atom (Fluor, Sauerstoff, Stickstoff) gebunden, so resultieren daraus Teil</w:t>
      </w:r>
      <w:r>
        <w:t>-L</w:t>
      </w:r>
      <w:r w:rsidRPr="0095646D">
        <w:t>adungen. Die positive Teilladung des Wasserstoffs tritt dann in Wechselwirkung mit einem anderen beliebigen elektronegativen Atom mit einem freien Elektronenpaar.</w:t>
      </w:r>
    </w:p>
    <w:p w:rsidR="0095646D" w:rsidRPr="0095646D" w:rsidRDefault="0095646D" w:rsidP="0095646D">
      <w:r w:rsidRPr="0095646D">
        <w:t>In diesem Beispiel wird die Wasserstoffbrücken</w:t>
      </w:r>
      <w:r>
        <w:t>-V</w:t>
      </w:r>
      <w:r w:rsidRPr="0095646D">
        <w:t>erbindung verdeutlicht an zwei Nukleinbasen und angedeutet mit gestrichelten Linien.</w:t>
      </w:r>
    </w:p>
    <w:p w:rsidR="0095646D" w:rsidRDefault="0095646D" w:rsidP="0095646D">
      <w:pPr>
        <w:pStyle w:val="Bilder"/>
      </w:pPr>
      <w:r>
        <w:rPr>
          <w:lang w:eastAsia="de-DE"/>
        </w:rPr>
        <w:drawing>
          <wp:inline distT="0" distB="0" distL="0" distR="0">
            <wp:extent cx="4152900" cy="1724025"/>
            <wp:effectExtent l="0" t="0" r="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52900" cy="1724025"/>
                    </a:xfrm>
                    <a:prstGeom prst="rect">
                      <a:avLst/>
                    </a:prstGeom>
                    <a:noFill/>
                    <a:ln>
                      <a:noFill/>
                    </a:ln>
                  </pic:spPr>
                </pic:pic>
              </a:graphicData>
            </a:graphic>
          </wp:inline>
        </w:drawing>
      </w:r>
    </w:p>
    <w:p w:rsidR="0095646D" w:rsidRDefault="0095646D" w:rsidP="0095646D">
      <w:pPr>
        <w:pStyle w:val="Beschriftung"/>
      </w:pPr>
      <w:r>
        <w:t xml:space="preserve">Abb. </w:t>
      </w:r>
      <w:r w:rsidR="003F6485">
        <w:fldChar w:fldCharType="begin"/>
      </w:r>
      <w:r w:rsidR="003F6485">
        <w:instrText xml:space="preserve"> SEQ Abb. \* ARABIC </w:instrText>
      </w:r>
      <w:r w:rsidR="003F6485">
        <w:fldChar w:fldCharType="separate"/>
      </w:r>
      <w:r w:rsidR="003F6485">
        <w:rPr>
          <w:noProof/>
        </w:rPr>
        <w:t>2</w:t>
      </w:r>
      <w:r w:rsidR="003F6485">
        <w:rPr>
          <w:noProof/>
        </w:rPr>
        <w:fldChar w:fldCharType="end"/>
      </w:r>
      <w:r>
        <w:t>: Wasserstoffbrücken-Bindungen über Cytosin (l.) und Guanin (r.) [</w:t>
      </w:r>
      <w:r>
        <w:fldChar w:fldCharType="begin"/>
      </w:r>
      <w:r>
        <w:instrText xml:space="preserve"> REF _Ref43711224 \r \h </w:instrText>
      </w:r>
      <w:r>
        <w:fldChar w:fldCharType="separate"/>
      </w:r>
      <w:r w:rsidR="003F6485">
        <w:t>4</w:t>
      </w:r>
      <w:r>
        <w:fldChar w:fldCharType="end"/>
      </w:r>
      <w:r>
        <w:t>]</w:t>
      </w:r>
    </w:p>
    <w:p w:rsidR="0095646D" w:rsidRDefault="0095646D" w:rsidP="0095646D">
      <w:pPr>
        <w:pStyle w:val="berschrift2"/>
        <w:rPr>
          <w:rFonts w:cstheme="majorHAnsi"/>
        </w:rPr>
      </w:pPr>
      <w:bookmarkStart w:id="5" w:name="_Toc43993947"/>
      <w:r>
        <w:rPr>
          <w:rFonts w:cstheme="majorHAnsi"/>
        </w:rPr>
        <w:lastRenderedPageBreak/>
        <w:t>π-π-Wechselwirkungen</w:t>
      </w:r>
      <w:bookmarkEnd w:id="5"/>
    </w:p>
    <w:p w:rsidR="0095646D" w:rsidRPr="0095646D" w:rsidRDefault="0095646D" w:rsidP="0095646D">
      <w:r w:rsidRPr="0095646D">
        <w:t xml:space="preserve">Bei der </w:t>
      </w:r>
      <w:r>
        <w:rPr>
          <w:rFonts w:cs="Arial"/>
        </w:rPr>
        <w:t>π</w:t>
      </w:r>
      <w:r w:rsidRPr="0095646D">
        <w:t>-</w:t>
      </w:r>
      <w:r>
        <w:rPr>
          <w:rFonts w:cs="Arial"/>
        </w:rPr>
        <w:t>π</w:t>
      </w:r>
      <w:r w:rsidRPr="0095646D">
        <w:t>-Wechselwirkung entsteht eine Polarisation eines Ringes. Innerhalb des Pi-Systems ist er negativ polarisiert, außerhalb positiv.</w:t>
      </w:r>
    </w:p>
    <w:p w:rsidR="0095646D" w:rsidRPr="0095646D" w:rsidRDefault="0095646D" w:rsidP="0095646D">
      <w:r w:rsidRPr="0095646D">
        <w:t xml:space="preserve">Hier als Beispiel ein </w:t>
      </w:r>
      <w:proofErr w:type="spellStart"/>
      <w:r w:rsidRPr="0095646D">
        <w:t>Benz</w:t>
      </w:r>
      <w:r w:rsidR="0063501B">
        <w:t>en</w:t>
      </w:r>
      <w:r w:rsidRPr="0095646D">
        <w:t>ring</w:t>
      </w:r>
      <w:proofErr w:type="spellEnd"/>
      <w:r w:rsidRPr="0095646D">
        <w:t xml:space="preserve">: </w:t>
      </w:r>
    </w:p>
    <w:p w:rsidR="0095646D" w:rsidRDefault="005F7292" w:rsidP="005F7292">
      <w:pPr>
        <w:pStyle w:val="Bilder"/>
      </w:pPr>
      <w:r>
        <w:rPr>
          <w:lang w:eastAsia="de-DE"/>
        </w:rPr>
        <w:drawing>
          <wp:inline distT="0" distB="0" distL="0" distR="0" wp14:anchorId="4403B47C" wp14:editId="5D2FE05F">
            <wp:extent cx="1876425" cy="2133600"/>
            <wp:effectExtent l="0" t="0" r="952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6425" cy="2133600"/>
                    </a:xfrm>
                    <a:prstGeom prst="rect">
                      <a:avLst/>
                    </a:prstGeom>
                    <a:noFill/>
                    <a:ln>
                      <a:noFill/>
                    </a:ln>
                  </pic:spPr>
                </pic:pic>
              </a:graphicData>
            </a:graphic>
          </wp:inline>
        </w:drawing>
      </w:r>
    </w:p>
    <w:p w:rsidR="005F7292" w:rsidRDefault="005F7292" w:rsidP="005F7292">
      <w:pPr>
        <w:pStyle w:val="Beschriftung"/>
      </w:pPr>
      <w:r>
        <w:t xml:space="preserve">Abb. </w:t>
      </w:r>
      <w:r w:rsidR="003F6485">
        <w:fldChar w:fldCharType="begin"/>
      </w:r>
      <w:r w:rsidR="003F6485">
        <w:instrText xml:space="preserve"> SEQ Abb. \* ARABIC </w:instrText>
      </w:r>
      <w:r w:rsidR="003F6485">
        <w:fldChar w:fldCharType="separate"/>
      </w:r>
      <w:r w:rsidR="003F6485">
        <w:rPr>
          <w:noProof/>
        </w:rPr>
        <w:t>3</w:t>
      </w:r>
      <w:r w:rsidR="003F6485">
        <w:rPr>
          <w:noProof/>
        </w:rPr>
        <w:fldChar w:fldCharType="end"/>
      </w:r>
      <w:r>
        <w:t xml:space="preserve">: Polarisierung eines </w:t>
      </w:r>
      <w:proofErr w:type="spellStart"/>
      <w:r>
        <w:t>Benz</w:t>
      </w:r>
      <w:r w:rsidR="0063501B">
        <w:t>en</w:t>
      </w:r>
      <w:r>
        <w:t>ringes</w:t>
      </w:r>
      <w:proofErr w:type="spellEnd"/>
      <w:r w:rsidR="0063501B">
        <w:t>.</w:t>
      </w:r>
    </w:p>
    <w:p w:rsidR="005F7292" w:rsidRDefault="005F7292" w:rsidP="005F7292">
      <w:r w:rsidRPr="005F7292">
        <w:t>Es ergeben sich daraus zwei mögliche Anordnungen, die versetzte und die T-förmige:</w:t>
      </w:r>
    </w:p>
    <w:p w:rsidR="005F7292" w:rsidRDefault="005F7292" w:rsidP="005F7292">
      <w:pPr>
        <w:pStyle w:val="Bilder"/>
        <w:sectPr w:rsidR="005F7292" w:rsidSect="00931B30">
          <w:footerReference w:type="default" r:id="rId12"/>
          <w:pgSz w:w="11906" w:h="16838"/>
          <w:pgMar w:top="851" w:right="1134" w:bottom="1134" w:left="1418" w:header="0" w:footer="0" w:gutter="0"/>
          <w:cols w:space="708"/>
          <w:titlePg/>
          <w:docGrid w:linePitch="360"/>
        </w:sectPr>
      </w:pPr>
    </w:p>
    <w:p w:rsidR="005F7292" w:rsidRDefault="005F7292" w:rsidP="005F7292">
      <w:pPr>
        <w:pStyle w:val="Bilder"/>
      </w:pPr>
      <w:r>
        <w:rPr>
          <w:lang w:eastAsia="de-DE"/>
        </w:rPr>
        <w:drawing>
          <wp:inline distT="0" distB="0" distL="0" distR="0">
            <wp:extent cx="2085975" cy="1514475"/>
            <wp:effectExtent l="0" t="0" r="9525"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85975" cy="1514475"/>
                    </a:xfrm>
                    <a:prstGeom prst="rect">
                      <a:avLst/>
                    </a:prstGeom>
                    <a:noFill/>
                    <a:ln>
                      <a:noFill/>
                    </a:ln>
                  </pic:spPr>
                </pic:pic>
              </a:graphicData>
            </a:graphic>
          </wp:inline>
        </w:drawing>
      </w:r>
    </w:p>
    <w:p w:rsidR="005F7292" w:rsidRDefault="005F7292" w:rsidP="005F7292">
      <w:pPr>
        <w:pStyle w:val="Beschriftung"/>
      </w:pPr>
      <w:r>
        <w:t xml:space="preserve">Abb. </w:t>
      </w:r>
      <w:r w:rsidR="003F6485">
        <w:fldChar w:fldCharType="begin"/>
      </w:r>
      <w:r w:rsidR="003F6485">
        <w:instrText xml:space="preserve"> SEQ Abb. \* ARABIC </w:instrText>
      </w:r>
      <w:r w:rsidR="003F6485">
        <w:fldChar w:fldCharType="separate"/>
      </w:r>
      <w:r w:rsidR="003F6485">
        <w:rPr>
          <w:noProof/>
        </w:rPr>
        <w:t>4</w:t>
      </w:r>
      <w:r w:rsidR="003F6485">
        <w:rPr>
          <w:noProof/>
        </w:rPr>
        <w:fldChar w:fldCharType="end"/>
      </w:r>
      <w:r>
        <w:t xml:space="preserve">: </w:t>
      </w:r>
      <w:r w:rsidR="0063501B">
        <w:t>V</w:t>
      </w:r>
      <w:r>
        <w:t>ersetzte Form</w:t>
      </w:r>
    </w:p>
    <w:p w:rsidR="005F7292" w:rsidRDefault="005F7292" w:rsidP="005F7292">
      <w:pPr>
        <w:pStyle w:val="Bilder"/>
      </w:pPr>
      <w:r>
        <w:rPr>
          <w:lang w:eastAsia="de-DE"/>
        </w:rPr>
        <w:drawing>
          <wp:inline distT="0" distB="0" distL="0" distR="0">
            <wp:extent cx="1314450" cy="19431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4450" cy="1943100"/>
                    </a:xfrm>
                    <a:prstGeom prst="rect">
                      <a:avLst/>
                    </a:prstGeom>
                    <a:noFill/>
                    <a:ln>
                      <a:noFill/>
                    </a:ln>
                  </pic:spPr>
                </pic:pic>
              </a:graphicData>
            </a:graphic>
          </wp:inline>
        </w:drawing>
      </w:r>
    </w:p>
    <w:p w:rsidR="005F7292" w:rsidRDefault="005F7292" w:rsidP="005F7292">
      <w:pPr>
        <w:pStyle w:val="Beschriftung"/>
      </w:pPr>
      <w:r>
        <w:t xml:space="preserve">Abb. </w:t>
      </w:r>
      <w:r w:rsidR="003F6485">
        <w:fldChar w:fldCharType="begin"/>
      </w:r>
      <w:r w:rsidR="003F6485">
        <w:instrText xml:space="preserve"> SEQ Abb. \* ARABIC </w:instrText>
      </w:r>
      <w:r w:rsidR="003F6485">
        <w:fldChar w:fldCharType="separate"/>
      </w:r>
      <w:r w:rsidR="003F6485">
        <w:rPr>
          <w:noProof/>
        </w:rPr>
        <w:t>5</w:t>
      </w:r>
      <w:r w:rsidR="003F6485">
        <w:rPr>
          <w:noProof/>
        </w:rPr>
        <w:fldChar w:fldCharType="end"/>
      </w:r>
      <w:r>
        <w:t>: T-Form</w:t>
      </w:r>
    </w:p>
    <w:p w:rsidR="005F7292" w:rsidRDefault="005F7292" w:rsidP="005F7292">
      <w:pPr>
        <w:pStyle w:val="berschrift2"/>
        <w:sectPr w:rsidR="005F7292" w:rsidSect="005F7292">
          <w:type w:val="continuous"/>
          <w:pgSz w:w="11906" w:h="16838"/>
          <w:pgMar w:top="851" w:right="1134" w:bottom="1134" w:left="1418" w:header="0" w:footer="0" w:gutter="0"/>
          <w:cols w:num="2" w:space="708"/>
          <w:titlePg/>
          <w:docGrid w:linePitch="360"/>
        </w:sectPr>
      </w:pPr>
    </w:p>
    <w:p w:rsidR="005F7292" w:rsidRDefault="005F7292" w:rsidP="005F7292">
      <w:pPr>
        <w:pStyle w:val="berschrift2"/>
      </w:pPr>
      <w:bookmarkStart w:id="6" w:name="_Toc43993948"/>
      <w:r>
        <w:t>Van-der-Waals-Wechselwirkungen</w:t>
      </w:r>
      <w:bookmarkEnd w:id="6"/>
    </w:p>
    <w:p w:rsidR="005F7292" w:rsidRDefault="005F7292" w:rsidP="005F7292">
      <w:r w:rsidRPr="005F7292">
        <w:t>Durch Schwankungen der Ladungsdichte in der Elektronen</w:t>
      </w:r>
      <w:r>
        <w:t>-H</w:t>
      </w:r>
      <w:r w:rsidRPr="005F7292">
        <w:t>ülle entsteht ein fluktuierender Dipol. Es tritt der so genannte Dispersionseffekt auf, d.</w:t>
      </w:r>
      <w:r>
        <w:t> </w:t>
      </w:r>
      <w:r w:rsidRPr="005F7292">
        <w:t>h. im Nachbar</w:t>
      </w:r>
      <w:r>
        <w:t>-A</w:t>
      </w:r>
      <w:r w:rsidRPr="005F7292">
        <w:t>tom wird ein gleichnamiger Dipol induziert.</w:t>
      </w:r>
    </w:p>
    <w:p w:rsidR="005F7292" w:rsidRDefault="002211CE" w:rsidP="002211CE">
      <w:pPr>
        <w:pStyle w:val="Bilder"/>
      </w:pPr>
      <w:r>
        <w:rPr>
          <w:lang w:eastAsia="de-DE"/>
        </w:rPr>
        <w:drawing>
          <wp:inline distT="0" distB="0" distL="0" distR="0">
            <wp:extent cx="3381375" cy="191452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81375" cy="1914525"/>
                    </a:xfrm>
                    <a:prstGeom prst="rect">
                      <a:avLst/>
                    </a:prstGeom>
                    <a:noFill/>
                    <a:ln>
                      <a:noFill/>
                    </a:ln>
                  </pic:spPr>
                </pic:pic>
              </a:graphicData>
            </a:graphic>
          </wp:inline>
        </w:drawing>
      </w:r>
    </w:p>
    <w:p w:rsidR="002211CE" w:rsidRDefault="002211CE" w:rsidP="002211CE">
      <w:pPr>
        <w:pStyle w:val="Beschriftung"/>
      </w:pPr>
      <w:r>
        <w:t xml:space="preserve">Abb. </w:t>
      </w:r>
      <w:r w:rsidR="003F6485">
        <w:fldChar w:fldCharType="begin"/>
      </w:r>
      <w:r w:rsidR="003F6485">
        <w:instrText xml:space="preserve"> SEQ Abb. \* ARABIC </w:instrText>
      </w:r>
      <w:r w:rsidR="003F6485">
        <w:fldChar w:fldCharType="separate"/>
      </w:r>
      <w:r w:rsidR="003F6485">
        <w:rPr>
          <w:noProof/>
        </w:rPr>
        <w:t>6</w:t>
      </w:r>
      <w:r w:rsidR="003F6485">
        <w:rPr>
          <w:noProof/>
        </w:rPr>
        <w:fldChar w:fldCharType="end"/>
      </w:r>
      <w:r>
        <w:t>: Dispersionseffekt [</w:t>
      </w:r>
      <w:r>
        <w:fldChar w:fldCharType="begin"/>
      </w:r>
      <w:r>
        <w:instrText xml:space="preserve"> REF _Ref43711954 \r \h </w:instrText>
      </w:r>
      <w:r>
        <w:fldChar w:fldCharType="separate"/>
      </w:r>
      <w:r w:rsidR="003F6485">
        <w:t>5</w:t>
      </w:r>
      <w:r>
        <w:fldChar w:fldCharType="end"/>
      </w:r>
      <w:r>
        <w:t>]</w:t>
      </w:r>
      <w:r w:rsidR="0063501B">
        <w:t>.</w:t>
      </w:r>
    </w:p>
    <w:p w:rsidR="002211CE" w:rsidRDefault="002211CE" w:rsidP="002211CE">
      <w:pPr>
        <w:pStyle w:val="berschrift2"/>
      </w:pPr>
      <w:bookmarkStart w:id="7" w:name="_Ref43714562"/>
      <w:bookmarkStart w:id="8" w:name="_Toc43993949"/>
      <w:r>
        <w:lastRenderedPageBreak/>
        <w:t>Übersicht über die Energien von Wechselwirkungen</w:t>
      </w:r>
      <w:bookmarkEnd w:id="7"/>
      <w:bookmarkEnd w:id="8"/>
    </w:p>
    <w:p w:rsidR="002211CE" w:rsidRDefault="002211CE" w:rsidP="002211CE">
      <w:r w:rsidRPr="002211CE">
        <w:t>Die Wechselwirkungen haben unterschiedlich hohe Energien, d.</w:t>
      </w:r>
      <w:r>
        <w:t> </w:t>
      </w:r>
      <w:r w:rsidRPr="002211CE">
        <w:t>h. die Bindungen sind unterschiedlich stark.</w:t>
      </w:r>
    </w:p>
    <w:p w:rsidR="002211CE" w:rsidRDefault="002211CE" w:rsidP="002211CE">
      <w:pPr>
        <w:pStyle w:val="Bilder"/>
      </w:pPr>
      <w:r>
        <w:rPr>
          <w:lang w:eastAsia="de-DE"/>
        </w:rPr>
        <w:drawing>
          <wp:inline distT="0" distB="0" distL="0" distR="0">
            <wp:extent cx="4514850" cy="2581275"/>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14850" cy="2581275"/>
                    </a:xfrm>
                    <a:prstGeom prst="rect">
                      <a:avLst/>
                    </a:prstGeom>
                    <a:noFill/>
                    <a:ln>
                      <a:noFill/>
                    </a:ln>
                  </pic:spPr>
                </pic:pic>
              </a:graphicData>
            </a:graphic>
          </wp:inline>
        </w:drawing>
      </w:r>
    </w:p>
    <w:p w:rsidR="002211CE" w:rsidRDefault="002211CE" w:rsidP="002211CE">
      <w:pPr>
        <w:pStyle w:val="Beschriftung"/>
      </w:pPr>
      <w:r>
        <w:t xml:space="preserve">Abb. </w:t>
      </w:r>
      <w:r w:rsidR="003F6485">
        <w:fldChar w:fldCharType="begin"/>
      </w:r>
      <w:r w:rsidR="003F6485">
        <w:instrText xml:space="preserve"> SEQ Abb. \* ARABIC </w:instrText>
      </w:r>
      <w:r w:rsidR="003F6485">
        <w:fldChar w:fldCharType="separate"/>
      </w:r>
      <w:r w:rsidR="003F6485">
        <w:rPr>
          <w:noProof/>
        </w:rPr>
        <w:t>7</w:t>
      </w:r>
      <w:r w:rsidR="003F6485">
        <w:rPr>
          <w:noProof/>
        </w:rPr>
        <w:fldChar w:fldCharType="end"/>
      </w:r>
      <w:r>
        <w:t>: Energie-Schema der Bindungen [</w:t>
      </w:r>
      <w:r>
        <w:fldChar w:fldCharType="begin"/>
      </w:r>
      <w:r>
        <w:instrText xml:space="preserve"> REF _Ref43712015 \r \h </w:instrText>
      </w:r>
      <w:r>
        <w:fldChar w:fldCharType="separate"/>
      </w:r>
      <w:r w:rsidR="003F6485">
        <w:t>6</w:t>
      </w:r>
      <w:r>
        <w:fldChar w:fldCharType="end"/>
      </w:r>
      <w:r>
        <w:t>]</w:t>
      </w:r>
      <w:r w:rsidR="0063501B">
        <w:t>.</w:t>
      </w:r>
    </w:p>
    <w:p w:rsidR="002211CE" w:rsidRPr="002211CE" w:rsidRDefault="002211CE" w:rsidP="002211CE">
      <w:r w:rsidRPr="002211CE">
        <w:t xml:space="preserve">Die Energien der Bindungen, die bei der supramolekularen Chemie auftreten, sind deutlich kleiner als kovalente oder dative Bindungen. </w:t>
      </w:r>
    </w:p>
    <w:p w:rsidR="002211CE" w:rsidRPr="002211CE" w:rsidRDefault="002211CE" w:rsidP="002211CE">
      <w:r w:rsidRPr="002211CE">
        <w:t>Diese Tatsache spielt z.</w:t>
      </w:r>
      <w:r>
        <w:t> </w:t>
      </w:r>
      <w:r w:rsidRPr="002211CE">
        <w:t xml:space="preserve">B. beim Transport bestimmter Moleküle oder Ionen eine große Rolle, der später näher beschrieben werden. </w:t>
      </w:r>
    </w:p>
    <w:p w:rsidR="002211CE" w:rsidRDefault="002211CE" w:rsidP="002211CE">
      <w:pPr>
        <w:pStyle w:val="berschrift1"/>
      </w:pPr>
      <w:bookmarkStart w:id="9" w:name="_Toc43993950"/>
      <w:r>
        <w:t>Wichtige Prinzipien</w:t>
      </w:r>
      <w:bookmarkEnd w:id="9"/>
    </w:p>
    <w:p w:rsidR="002211CE" w:rsidRDefault="002211CE" w:rsidP="002211CE">
      <w:r w:rsidRPr="002211CE">
        <w:t>In der supramolekularen Chemie findet man einige Prinzipien. Eine ganz zentrale Rolle spielen hierbei das Prinzip der Erkennung, Information und Komplementarität und das Prinzip der Selbst</w:t>
      </w:r>
      <w:r>
        <w:t>-A</w:t>
      </w:r>
      <w:r w:rsidRPr="002211CE">
        <w:t>nordnung und Selbst</w:t>
      </w:r>
      <w:r>
        <w:t>-O</w:t>
      </w:r>
      <w:r w:rsidRPr="002211CE">
        <w:t>rganisation.</w:t>
      </w:r>
    </w:p>
    <w:p w:rsidR="002211CE" w:rsidRDefault="002211CE" w:rsidP="002211CE">
      <w:pPr>
        <w:pStyle w:val="berschrift2"/>
      </w:pPr>
      <w:bookmarkStart w:id="10" w:name="_Toc43993951"/>
      <w:r w:rsidRPr="002211CE">
        <w:t>Prinzip der Erkennung, Information und Komplementarität</w:t>
      </w:r>
      <w:bookmarkEnd w:id="10"/>
    </w:p>
    <w:p w:rsidR="002211CE" w:rsidRPr="002211CE" w:rsidRDefault="002211CE" w:rsidP="002211CE">
      <w:r w:rsidRPr="002211CE">
        <w:t>Dieses Prinzip lässt sich an der Funktionsweise eines Transportes bestimmter Moleküle oder Ionen verdeutlichen.</w:t>
      </w:r>
    </w:p>
    <w:p w:rsidR="002211CE" w:rsidRPr="002211CE" w:rsidRDefault="002211CE" w:rsidP="002211CE">
      <w:r w:rsidRPr="002211CE">
        <w:t>Ein Rezeptor oder auch Wirt hat durch seine bestimmte Form eine spezifische Information gespeichert und hat damit auch eine spezifische Funktion. Auch das Substrat oder der Gast hat durch seinen Molekül</w:t>
      </w:r>
      <w:r>
        <w:t>-B</w:t>
      </w:r>
      <w:r w:rsidRPr="002211CE">
        <w:t xml:space="preserve">au eine bestimmte Information. Der Rezeptor </w:t>
      </w:r>
      <w:r>
        <w:t>„</w:t>
      </w:r>
      <w:r w:rsidRPr="002211CE">
        <w:t xml:space="preserve">erkennt" nun das Substrat und es entsteht ein Supermolekül. </w:t>
      </w:r>
    </w:p>
    <w:p w:rsidR="002211CE" w:rsidRPr="002211CE" w:rsidRDefault="002211CE" w:rsidP="002211CE">
      <w:r w:rsidRPr="002211CE">
        <w:t xml:space="preserve">In </w:t>
      </w:r>
      <w:r w:rsidR="00167AC2">
        <w:rPr>
          <w:color w:val="FF00FF" w:themeColor="accent4"/>
        </w:rPr>
        <w:fldChar w:fldCharType="begin"/>
      </w:r>
      <w:r w:rsidR="00167AC2">
        <w:instrText xml:space="preserve"> REF _Ref43714532 \h </w:instrText>
      </w:r>
      <w:r w:rsidR="00167AC2">
        <w:rPr>
          <w:color w:val="FF00FF" w:themeColor="accent4"/>
        </w:rPr>
        <w:fldChar w:fldCharType="separate"/>
      </w:r>
      <w:r w:rsidR="003F6485">
        <w:rPr>
          <w:b/>
          <w:bCs/>
          <w:color w:val="FF00FF" w:themeColor="accent4"/>
        </w:rPr>
        <w:t>Fehler! Verweisquelle konnte nicht gefunden werden.</w:t>
      </w:r>
      <w:r w:rsidR="00167AC2">
        <w:rPr>
          <w:color w:val="FF00FF" w:themeColor="accent4"/>
        </w:rPr>
        <w:fldChar w:fldCharType="end"/>
      </w:r>
      <w:r w:rsidRPr="002211CE">
        <w:rPr>
          <w:color w:val="FF00FF" w:themeColor="accent4"/>
        </w:rPr>
        <w:t xml:space="preserve"> </w:t>
      </w:r>
      <w:r w:rsidRPr="002211CE">
        <w:t>wird nochmals der Unterschied zwischen molekularer und supramolekularer veranschaulicht. Für die Bildung eines Wirtes sind kovalente Bindungen nötig. Das entstandene Molekül nimmt nun - formspezifisch - einen Gast auf, der genau durch seine Struktur in den Wirt passt. Allerdings findet hier keine kovalente Bindung statt, sondern nur Wechselwirkungen zwischen Gast und Wirt. Es hat sich ein Supermolekül gebildet.</w:t>
      </w:r>
    </w:p>
    <w:p w:rsidR="002211CE" w:rsidRPr="002211CE" w:rsidRDefault="002211CE" w:rsidP="002211CE">
      <w:r w:rsidRPr="002211CE">
        <w:t xml:space="preserve">Wie bereits in </w:t>
      </w:r>
      <w:r w:rsidRPr="00F77239">
        <w:rPr>
          <w:color w:val="000000" w:themeColor="text1"/>
        </w:rPr>
        <w:t xml:space="preserve">Abschnitt </w:t>
      </w:r>
      <w:r w:rsidR="00F77239" w:rsidRPr="00F77239">
        <w:rPr>
          <w:color w:val="000000" w:themeColor="text1"/>
        </w:rPr>
        <w:fldChar w:fldCharType="begin"/>
      </w:r>
      <w:r w:rsidR="00F77239" w:rsidRPr="00F77239">
        <w:rPr>
          <w:color w:val="000000" w:themeColor="text1"/>
        </w:rPr>
        <w:instrText xml:space="preserve"> REF _Ref43714562 \r \h </w:instrText>
      </w:r>
      <w:r w:rsidR="00F77239" w:rsidRPr="00F77239">
        <w:rPr>
          <w:color w:val="000000" w:themeColor="text1"/>
        </w:rPr>
      </w:r>
      <w:r w:rsidR="00F77239" w:rsidRPr="00F77239">
        <w:rPr>
          <w:color w:val="000000" w:themeColor="text1"/>
        </w:rPr>
        <w:fldChar w:fldCharType="separate"/>
      </w:r>
      <w:r w:rsidR="003F6485">
        <w:rPr>
          <w:color w:val="000000" w:themeColor="text1"/>
        </w:rPr>
        <w:t>2.4</w:t>
      </w:r>
      <w:r w:rsidR="00F77239" w:rsidRPr="00F77239">
        <w:rPr>
          <w:color w:val="000000" w:themeColor="text1"/>
        </w:rPr>
        <w:fldChar w:fldCharType="end"/>
      </w:r>
      <w:r w:rsidRPr="002211CE">
        <w:t xml:space="preserve"> gezeigt, sind nicht-kovalente Bindungen deutlich schwächer als kovalente. Dadurch lässt sich der Gast vom Wirt wieder leicht abspalten, der Wirt kann sich also zurückbilden und steht als Transportmittel wieder zur Verfügung. </w:t>
      </w:r>
    </w:p>
    <w:p w:rsidR="003F6485" w:rsidRDefault="003F6485">
      <w:pPr>
        <w:spacing w:before="0"/>
        <w:jc w:val="left"/>
        <w:rPr>
          <w:rFonts w:asciiTheme="majorHAnsi" w:eastAsiaTheme="majorEastAsia" w:hAnsiTheme="majorHAnsi" w:cstheme="majorBidi"/>
          <w:b/>
          <w:color w:val="000000" w:themeColor="text1"/>
          <w:sz w:val="28"/>
          <w:szCs w:val="26"/>
        </w:rPr>
      </w:pPr>
      <w:r>
        <w:br w:type="page"/>
      </w:r>
    </w:p>
    <w:p w:rsidR="002211CE" w:rsidRDefault="002211CE" w:rsidP="002211CE">
      <w:pPr>
        <w:pStyle w:val="berschrift2"/>
      </w:pPr>
      <w:bookmarkStart w:id="11" w:name="_Toc43993952"/>
      <w:r>
        <w:lastRenderedPageBreak/>
        <w:t>Das Prinzip der Selbs</w:t>
      </w:r>
      <w:r w:rsidR="003F6485">
        <w:t>t</w:t>
      </w:r>
      <w:r>
        <w:t>-Anordnung</w:t>
      </w:r>
      <w:bookmarkEnd w:id="11"/>
    </w:p>
    <w:p w:rsidR="002211CE" w:rsidRPr="002211CE" w:rsidRDefault="002211CE" w:rsidP="002211CE">
      <w:r w:rsidRPr="002211CE">
        <w:t>Supramolekulare Selbst</w:t>
      </w:r>
      <w:r>
        <w:t>-A</w:t>
      </w:r>
      <w:r w:rsidRPr="002211CE">
        <w:t>nordnung beschreibt die spontane Verbindung von wenigen oder vielen Komponenten hin zu diskreten Oligomolekularen Supermolekülen oder zu erweiterten Anordnungen wie molekulare Schichten, Feinschichten und Membranen. Diese spontane, aber spezielle Anordnung erfolgt durch eine sogenannte Templat</w:t>
      </w:r>
      <w:r>
        <w:t>-S</w:t>
      </w:r>
      <w:r w:rsidRPr="002211CE">
        <w:t>ynthese, d.</w:t>
      </w:r>
      <w:r>
        <w:t> </w:t>
      </w:r>
      <w:r w:rsidRPr="002211CE">
        <w:t xml:space="preserve">h. das Zentralion dient als eine Art Schablone für die umliegenden Liganden. </w:t>
      </w:r>
    </w:p>
    <w:p w:rsidR="002211CE" w:rsidRPr="002211CE" w:rsidRDefault="002211CE" w:rsidP="002211CE">
      <w:r w:rsidRPr="002211CE">
        <w:t>Unter Selbst</w:t>
      </w:r>
      <w:r>
        <w:t>-O</w:t>
      </w:r>
      <w:r w:rsidRPr="002211CE">
        <w:t>rganisation versteht man nach Lehn die “...spontane Erzeugung wohldefinierter (funktionaler), supramolekularer Architekturen aus den einzelnen Komponenten eines Systems unter bestimmten äußeren Randbedingungen“ (Lehn 1995). [</w:t>
      </w:r>
      <w:r>
        <w:fldChar w:fldCharType="begin"/>
      </w:r>
      <w:r>
        <w:instrText xml:space="preserve"> REF _Ref43712378 \r \h </w:instrText>
      </w:r>
      <w:r>
        <w:fldChar w:fldCharType="separate"/>
      </w:r>
      <w:r w:rsidR="003F6485">
        <w:t>8</w:t>
      </w:r>
      <w:r>
        <w:fldChar w:fldCharType="end"/>
      </w:r>
      <w:r w:rsidRPr="002211CE">
        <w:t xml:space="preserve">] </w:t>
      </w:r>
    </w:p>
    <w:p w:rsidR="002211CE" w:rsidRDefault="002211CE" w:rsidP="002211CE">
      <w:pPr>
        <w:pStyle w:val="berschrift1"/>
      </w:pPr>
      <w:bookmarkStart w:id="12" w:name="_Toc43993953"/>
      <w:r>
        <w:t>Beispiele</w:t>
      </w:r>
      <w:bookmarkEnd w:id="12"/>
    </w:p>
    <w:p w:rsidR="002211CE" w:rsidRDefault="002211CE" w:rsidP="002211CE">
      <w:r w:rsidRPr="002211CE">
        <w:t>Es finden sich zahlreiche Beispiele aus der supramolekularen Chemie. In diesem Kapitel wird diese Fülle an Exempeln auf Kristalle, Helikate, Rechen und Leiter beschränkt.</w:t>
      </w:r>
    </w:p>
    <w:p w:rsidR="002211CE" w:rsidRDefault="002211CE" w:rsidP="002211CE">
      <w:pPr>
        <w:pStyle w:val="berschrift2"/>
      </w:pPr>
      <w:bookmarkStart w:id="13" w:name="_Toc43993954"/>
      <w:r>
        <w:t>Kristalle</w:t>
      </w:r>
      <w:bookmarkEnd w:id="13"/>
    </w:p>
    <w:p w:rsidR="002211CE" w:rsidRPr="002211CE" w:rsidRDefault="002211CE" w:rsidP="002211CE">
      <w:r w:rsidRPr="002211CE">
        <w:t>Typisch für das Prinzip der Selbst</w:t>
      </w:r>
      <w:r>
        <w:t>-A</w:t>
      </w:r>
      <w:r w:rsidRPr="002211CE">
        <w:t>nordnung und Selbst</w:t>
      </w:r>
      <w:r>
        <w:t>-O</w:t>
      </w:r>
      <w:r w:rsidRPr="002211CE">
        <w:t>rganisation sind Kristalle.</w:t>
      </w:r>
    </w:p>
    <w:p w:rsidR="002211CE" w:rsidRDefault="002211CE" w:rsidP="002211CE">
      <w:r w:rsidRPr="002211CE">
        <w:t>Ein Kristall ist ein anisotroper, homogener Körper, der eine dreidimensionale periodische Anordnung der Bausteine aufweist. Man unterscheidet zwischen kubischen, trigonalen, hexagonalen, tetragonalen, orthorhombischen, monoklinen und triklinen Formen.</w:t>
      </w:r>
    </w:p>
    <w:p w:rsidR="002211CE" w:rsidRPr="002211CE" w:rsidRDefault="002211CE" w:rsidP="002211CE">
      <w:r w:rsidRPr="002211CE">
        <w:t>Den supramolekularen Charakter erhält der Kristall durch die nicht-kovalenten Bindungen zwischen den einzelnen Schichten und den Wechselwirkungen von in der Elementar</w:t>
      </w:r>
      <w:r>
        <w:t>-Z</w:t>
      </w:r>
      <w:r w:rsidRPr="002211CE">
        <w:t>elle eingelagerten Molekülen oder Ionen.</w:t>
      </w:r>
    </w:p>
    <w:p w:rsidR="002211CE" w:rsidRDefault="002211CE" w:rsidP="002211CE">
      <w:r w:rsidRPr="002211CE">
        <w:t>Erstaunlich ist hierbei das Auftreten von Polymorphie, was weitreichende Auswirkungen in der Pharma</w:t>
      </w:r>
      <w:r>
        <w:t>-I</w:t>
      </w:r>
      <w:r w:rsidRPr="002211CE">
        <w:t>ndustrie mit sich bringt, da die meisten Fälle von Polymorphismus immer noch per Zufall entdeckt werden.</w:t>
      </w:r>
    </w:p>
    <w:p w:rsidR="002211CE" w:rsidRPr="002211CE" w:rsidRDefault="002211CE" w:rsidP="002211CE">
      <w:r w:rsidRPr="002211CE">
        <w:t xml:space="preserve">Crystal </w:t>
      </w:r>
      <w:r w:rsidR="00F77239" w:rsidRPr="002211CE">
        <w:t>Engineering</w:t>
      </w:r>
      <w:r w:rsidRPr="002211CE">
        <w:t xml:space="preserve"> befasst sich mit pharmazeutischen Wirkstoffen und Polymorphie, versucht also theoretische Vorhersagen und experimentelle Nachweise zu finden</w:t>
      </w:r>
    </w:p>
    <w:p w:rsidR="002211CE" w:rsidRDefault="002211CE" w:rsidP="002211CE">
      <w:r w:rsidRPr="002211CE">
        <w:t>Ein Beispiel dieses zufälligen Auftretens von Polymorphie ist Ritonavir. Ritonavir ist ein Medikament, das für AIDS-Therapien verwendet und in Kapsel</w:t>
      </w:r>
      <w:r>
        <w:t>-F</w:t>
      </w:r>
      <w:r w:rsidRPr="002211CE">
        <w:t>orm verabreicht wird. Ursprünglich war</w:t>
      </w:r>
      <w:r>
        <w:t>en</w:t>
      </w:r>
      <w:r w:rsidRPr="002211CE">
        <w:t xml:space="preserve"> die Kristalle in monokliner Struktur vorzufinden. Doch plötzlich fiel bei der Kristallisation nicht mehr in monokliner, sondern in orthorhombischer Form aus. Es war für die Forscher nicht mehr möglich, die monokline Struktur zu erhalten. Diese neue Kristall</w:t>
      </w:r>
      <w:r>
        <w:t>-F</w:t>
      </w:r>
      <w:r w:rsidRPr="002211CE">
        <w:t>orm hat eine geringere Löslichkeit, was zur Folge hatte, dass man die gewünschte Dosis in Kapselform nicht mehr erreichen konnte.</w:t>
      </w:r>
    </w:p>
    <w:p w:rsidR="002211CE" w:rsidRPr="002211CE" w:rsidRDefault="002211CE" w:rsidP="002211CE">
      <w:r w:rsidRPr="002211CE">
        <w:t>Das Medikament wurde vom Markt genommen und erst nach einem Jahr hat man die Verabreichungsform in Gel geändert, in dem die orthorhombische Form von Ritonavir löslicher ist und stand der Medizin wieder zur Verfügung. [</w:t>
      </w:r>
      <w:r w:rsidR="009C602D">
        <w:fldChar w:fldCharType="begin"/>
      </w:r>
      <w:r w:rsidR="009C602D">
        <w:instrText xml:space="preserve"> REF _Ref43712515 \r \h </w:instrText>
      </w:r>
      <w:r w:rsidR="009C602D">
        <w:fldChar w:fldCharType="separate"/>
      </w:r>
      <w:r w:rsidR="003F6485">
        <w:t>8</w:t>
      </w:r>
      <w:r w:rsidR="009C602D">
        <w:fldChar w:fldCharType="end"/>
      </w:r>
      <w:r w:rsidRPr="002211CE">
        <w:t>]</w:t>
      </w:r>
    </w:p>
    <w:p w:rsidR="002211CE" w:rsidRDefault="009C602D" w:rsidP="009C602D">
      <w:pPr>
        <w:pStyle w:val="Bilder"/>
      </w:pPr>
      <w:r>
        <w:rPr>
          <w:lang w:eastAsia="de-DE"/>
        </w:rPr>
        <w:lastRenderedPageBreak/>
        <w:drawing>
          <wp:inline distT="0" distB="0" distL="0" distR="0">
            <wp:extent cx="5760000" cy="3143499"/>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000" cy="3143499"/>
                    </a:xfrm>
                    <a:prstGeom prst="rect">
                      <a:avLst/>
                    </a:prstGeom>
                    <a:noFill/>
                    <a:ln>
                      <a:noFill/>
                    </a:ln>
                  </pic:spPr>
                </pic:pic>
              </a:graphicData>
            </a:graphic>
          </wp:inline>
        </w:drawing>
      </w:r>
    </w:p>
    <w:p w:rsidR="009C602D" w:rsidRDefault="009C602D" w:rsidP="009C602D">
      <w:pPr>
        <w:pStyle w:val="Beschriftung"/>
      </w:pPr>
      <w:r>
        <w:t xml:space="preserve">Abb. </w:t>
      </w:r>
      <w:r w:rsidR="003F6485">
        <w:fldChar w:fldCharType="begin"/>
      </w:r>
      <w:r w:rsidR="003F6485">
        <w:instrText xml:space="preserve"> SEQ Abb. \* ARABIC </w:instrText>
      </w:r>
      <w:r w:rsidR="003F6485">
        <w:fldChar w:fldCharType="separate"/>
      </w:r>
      <w:r w:rsidR="003F6485">
        <w:rPr>
          <w:noProof/>
        </w:rPr>
        <w:t>8</w:t>
      </w:r>
      <w:r w:rsidR="003F6485">
        <w:rPr>
          <w:noProof/>
        </w:rPr>
        <w:fldChar w:fldCharType="end"/>
      </w:r>
      <w:r>
        <w:t xml:space="preserve">: Struktur von </w:t>
      </w:r>
      <w:proofErr w:type="spellStart"/>
      <w:r>
        <w:t>Ritonavir</w:t>
      </w:r>
      <w:proofErr w:type="spellEnd"/>
      <w:r w:rsidR="0063501B">
        <w:t>.</w:t>
      </w:r>
    </w:p>
    <w:p w:rsidR="009C602D" w:rsidRDefault="009C602D" w:rsidP="009C602D">
      <w:pPr>
        <w:pStyle w:val="berschrift2"/>
      </w:pPr>
      <w:bookmarkStart w:id="14" w:name="_Toc43993955"/>
      <w:r>
        <w:t>Helikale</w:t>
      </w:r>
      <w:bookmarkEnd w:id="14"/>
    </w:p>
    <w:p w:rsidR="00D01D2A" w:rsidRPr="00D01D2A" w:rsidRDefault="00D01D2A" w:rsidP="00D01D2A">
      <w:r w:rsidRPr="00D01D2A">
        <w:t>Helikate sind typische Beispiele für die oben genannte Templat</w:t>
      </w:r>
      <w:r>
        <w:t>-S</w:t>
      </w:r>
      <w:r w:rsidRPr="00D01D2A">
        <w:t>ynthese. Die Liganden lagern sich spiralförmig um das Metall</w:t>
      </w:r>
      <w:r>
        <w:t>-I</w:t>
      </w:r>
      <w:r w:rsidRPr="00D01D2A">
        <w:t>on an.</w:t>
      </w:r>
    </w:p>
    <w:p w:rsidR="00D01D2A" w:rsidRPr="00D01D2A" w:rsidRDefault="00D01D2A" w:rsidP="00D01D2A">
      <w:r w:rsidRPr="00D01D2A">
        <w:t>Hierbei ist vor allem die Beschaffenheit der Verbindungskette entscheidend. Einerseits muss sie flexibel genug für die Windung sein, anderseits aber starr genug, um eine Komplexierung am gleichen Metall</w:t>
      </w:r>
      <w:r>
        <w:t>-I</w:t>
      </w:r>
      <w:r w:rsidRPr="00D01D2A">
        <w:t xml:space="preserve">on zu verhindern. </w:t>
      </w:r>
    </w:p>
    <w:p w:rsidR="00167AC2" w:rsidRDefault="00D01D2A" w:rsidP="00D01D2A">
      <w:r w:rsidRPr="00D01D2A">
        <w:t>Erstaunlich ist auch die Selbst</w:t>
      </w:r>
      <w:r>
        <w:t>-E</w:t>
      </w:r>
      <w:r w:rsidRPr="00D01D2A">
        <w:t>rkennung und Selbst</w:t>
      </w:r>
      <w:r>
        <w:t>-O</w:t>
      </w:r>
      <w:r w:rsidRPr="00D01D2A">
        <w:t>rganisation solcher Helikate. Werden zu unterschiedlich langen helix</w:t>
      </w:r>
      <w:r>
        <w:t>-</w:t>
      </w:r>
      <w:r w:rsidRPr="00D01D2A">
        <w:t>bildenden Molekülen Metall</w:t>
      </w:r>
      <w:r>
        <w:t>-I</w:t>
      </w:r>
      <w:r w:rsidRPr="00D01D2A">
        <w:t xml:space="preserve">onen zugegeben, so bilden sich spontan Helikate aus und es binden sich immer gleich lange Stränge aneinander. </w:t>
      </w:r>
    </w:p>
    <w:p w:rsidR="00167AC2" w:rsidRDefault="00167AC2" w:rsidP="00D01D2A">
      <w:pPr>
        <w:sectPr w:rsidR="00167AC2" w:rsidSect="005F7292">
          <w:type w:val="continuous"/>
          <w:pgSz w:w="11906" w:h="16838"/>
          <w:pgMar w:top="851" w:right="1134" w:bottom="1134" w:left="1418" w:header="0" w:footer="0" w:gutter="0"/>
          <w:cols w:space="708"/>
          <w:titlePg/>
          <w:docGrid w:linePitch="360"/>
        </w:sectPr>
      </w:pPr>
    </w:p>
    <w:p w:rsidR="009C602D" w:rsidRDefault="00D01D2A" w:rsidP="00167AC2">
      <w:pPr>
        <w:spacing w:before="840"/>
      </w:pPr>
      <w:r>
        <w:rPr>
          <w:noProof/>
          <w:lang w:eastAsia="de-DE"/>
        </w:rPr>
        <w:drawing>
          <wp:inline distT="0" distB="0" distL="0" distR="0">
            <wp:extent cx="819150" cy="274320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19150" cy="2743200"/>
                    </a:xfrm>
                    <a:prstGeom prst="rect">
                      <a:avLst/>
                    </a:prstGeom>
                    <a:noFill/>
                    <a:ln>
                      <a:noFill/>
                    </a:ln>
                  </pic:spPr>
                </pic:pic>
              </a:graphicData>
            </a:graphic>
          </wp:inline>
        </w:drawing>
      </w:r>
    </w:p>
    <w:p w:rsidR="00D01D2A" w:rsidRDefault="00D01D2A" w:rsidP="00D01D2A">
      <w:pPr>
        <w:pStyle w:val="Listenabsatz"/>
        <w:numPr>
          <w:ilvl w:val="3"/>
          <w:numId w:val="5"/>
        </w:numPr>
      </w:pPr>
      <w:r>
        <w:t>Schematisch</w:t>
      </w:r>
    </w:p>
    <w:p w:rsidR="00D01D2A" w:rsidRDefault="00D01D2A" w:rsidP="00D01D2A">
      <w:r>
        <w:rPr>
          <w:noProof/>
          <w:lang w:eastAsia="de-DE"/>
        </w:rPr>
        <w:drawing>
          <wp:inline distT="0" distB="0" distL="0" distR="0">
            <wp:extent cx="1800000" cy="3238525"/>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0000" cy="3238525"/>
                    </a:xfrm>
                    <a:prstGeom prst="rect">
                      <a:avLst/>
                    </a:prstGeom>
                    <a:noFill/>
                    <a:ln>
                      <a:noFill/>
                    </a:ln>
                  </pic:spPr>
                </pic:pic>
              </a:graphicData>
            </a:graphic>
          </wp:inline>
        </w:drawing>
      </w:r>
    </w:p>
    <w:p w:rsidR="00D01D2A" w:rsidRDefault="00D01D2A" w:rsidP="00D01D2A">
      <w:pPr>
        <w:pStyle w:val="Listenabsatz"/>
        <w:numPr>
          <w:ilvl w:val="3"/>
          <w:numId w:val="5"/>
        </w:numPr>
      </w:pPr>
      <w:r>
        <w:t>Tetraedrisch</w:t>
      </w:r>
    </w:p>
    <w:p w:rsidR="00D01D2A" w:rsidRDefault="00D01D2A" w:rsidP="00167AC2">
      <w:pPr>
        <w:spacing w:before="720"/>
      </w:pPr>
      <w:r>
        <w:rPr>
          <w:noProof/>
          <w:lang w:eastAsia="de-DE"/>
        </w:rPr>
        <w:drawing>
          <wp:inline distT="0" distB="0" distL="0" distR="0">
            <wp:extent cx="1800000" cy="2873684"/>
            <wp:effectExtent l="0" t="0" r="0" b="317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0000" cy="2873684"/>
                    </a:xfrm>
                    <a:prstGeom prst="rect">
                      <a:avLst/>
                    </a:prstGeom>
                    <a:noFill/>
                    <a:ln>
                      <a:noFill/>
                    </a:ln>
                  </pic:spPr>
                </pic:pic>
              </a:graphicData>
            </a:graphic>
          </wp:inline>
        </w:drawing>
      </w:r>
    </w:p>
    <w:p w:rsidR="00167AC2" w:rsidRPr="00167AC2" w:rsidRDefault="00D01D2A" w:rsidP="00167AC2">
      <w:pPr>
        <w:pStyle w:val="Listenabsatz"/>
        <w:numPr>
          <w:ilvl w:val="3"/>
          <w:numId w:val="5"/>
        </w:numPr>
      </w:pPr>
      <w:r>
        <w:t>Oktaedrisch</w:t>
      </w:r>
    </w:p>
    <w:p w:rsidR="00167AC2" w:rsidRDefault="00167AC2" w:rsidP="00167AC2">
      <w:pPr>
        <w:pStyle w:val="Beschriftung"/>
        <w:sectPr w:rsidR="00167AC2" w:rsidSect="00167AC2">
          <w:type w:val="continuous"/>
          <w:pgSz w:w="11906" w:h="16838"/>
          <w:pgMar w:top="851" w:right="1134" w:bottom="1134" w:left="1418" w:header="0" w:footer="0" w:gutter="0"/>
          <w:cols w:num="3" w:space="708"/>
          <w:titlePg/>
          <w:docGrid w:linePitch="360"/>
        </w:sectPr>
      </w:pPr>
    </w:p>
    <w:p w:rsidR="00167AC2" w:rsidRDefault="00167AC2" w:rsidP="00167AC2">
      <w:pPr>
        <w:pStyle w:val="Beschriftung"/>
      </w:pPr>
      <w:r>
        <w:t xml:space="preserve">Abb. </w:t>
      </w:r>
      <w:r w:rsidR="003F6485">
        <w:fldChar w:fldCharType="begin"/>
      </w:r>
      <w:r w:rsidR="003F6485">
        <w:instrText xml:space="preserve"> SEQ Abb. \* ARABIC </w:instrText>
      </w:r>
      <w:r w:rsidR="003F6485">
        <w:fldChar w:fldCharType="separate"/>
      </w:r>
      <w:r w:rsidR="003F6485">
        <w:rPr>
          <w:noProof/>
        </w:rPr>
        <w:t>9</w:t>
      </w:r>
      <w:r w:rsidR="003F6485">
        <w:rPr>
          <w:noProof/>
        </w:rPr>
        <w:fldChar w:fldCharType="end"/>
      </w:r>
      <w:r>
        <w:t>: Doppel-Helix [</w:t>
      </w:r>
      <w:r>
        <w:fldChar w:fldCharType="begin"/>
      </w:r>
      <w:r>
        <w:instrText xml:space="preserve"> REF _Ref43713947 \r \h </w:instrText>
      </w:r>
      <w:r>
        <w:fldChar w:fldCharType="separate"/>
      </w:r>
      <w:r w:rsidR="003F6485">
        <w:t>10</w:t>
      </w:r>
      <w:r>
        <w:fldChar w:fldCharType="end"/>
      </w:r>
      <w:r>
        <w:t>]</w:t>
      </w:r>
    </w:p>
    <w:p w:rsidR="00167AC2" w:rsidRDefault="00167AC2" w:rsidP="00167AC2">
      <w:r w:rsidRPr="00167AC2">
        <w:lastRenderedPageBreak/>
        <w:t>Ein Beispiel einer solchen Helix ist die DNA, die wie oben schon erwähnt, durch Wasserstoffbrücken</w:t>
      </w:r>
      <w:r>
        <w:t>-B</w:t>
      </w:r>
      <w:r w:rsidRPr="00167AC2">
        <w:t>indungen zusammengehalten wird.</w:t>
      </w:r>
    </w:p>
    <w:p w:rsidR="00167AC2" w:rsidRDefault="00167AC2" w:rsidP="00167AC2">
      <w:pPr>
        <w:pStyle w:val="Bilder"/>
      </w:pPr>
      <w:r>
        <w:rPr>
          <w:lang w:eastAsia="de-DE"/>
        </w:rPr>
        <w:drawing>
          <wp:inline distT="0" distB="0" distL="0" distR="0">
            <wp:extent cx="2962275" cy="4314825"/>
            <wp:effectExtent l="0" t="0" r="9525" b="952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62275" cy="4314825"/>
                    </a:xfrm>
                    <a:prstGeom prst="rect">
                      <a:avLst/>
                    </a:prstGeom>
                    <a:noFill/>
                    <a:ln>
                      <a:noFill/>
                    </a:ln>
                  </pic:spPr>
                </pic:pic>
              </a:graphicData>
            </a:graphic>
          </wp:inline>
        </w:drawing>
      </w:r>
    </w:p>
    <w:p w:rsidR="00167AC2" w:rsidRDefault="00167AC2" w:rsidP="00167AC2">
      <w:pPr>
        <w:pStyle w:val="Beschriftung"/>
      </w:pPr>
      <w:r>
        <w:t xml:space="preserve">Abb. </w:t>
      </w:r>
      <w:r w:rsidR="003F6485">
        <w:fldChar w:fldCharType="begin"/>
      </w:r>
      <w:r w:rsidR="003F6485">
        <w:instrText xml:space="preserve"> SEQ Abb. \* ARABIC </w:instrText>
      </w:r>
      <w:r w:rsidR="003F6485">
        <w:fldChar w:fldCharType="separate"/>
      </w:r>
      <w:r w:rsidR="003F6485">
        <w:rPr>
          <w:noProof/>
        </w:rPr>
        <w:t>10</w:t>
      </w:r>
      <w:r w:rsidR="003F6485">
        <w:rPr>
          <w:noProof/>
        </w:rPr>
        <w:fldChar w:fldCharType="end"/>
      </w:r>
      <w:r>
        <w:t>: DNA als Doppel-Helix [</w:t>
      </w:r>
      <w:r>
        <w:fldChar w:fldCharType="begin"/>
      </w:r>
      <w:r>
        <w:instrText xml:space="preserve"> REF _Ref43714112 \r \h </w:instrText>
      </w:r>
      <w:r>
        <w:fldChar w:fldCharType="separate"/>
      </w:r>
      <w:r w:rsidR="003F6485">
        <w:t>11</w:t>
      </w:r>
      <w:r>
        <w:fldChar w:fldCharType="end"/>
      </w:r>
      <w:r>
        <w:t>]</w:t>
      </w:r>
      <w:r w:rsidR="0063501B">
        <w:t>.</w:t>
      </w:r>
    </w:p>
    <w:p w:rsidR="00167AC2" w:rsidRDefault="00167AC2" w:rsidP="00167AC2">
      <w:pPr>
        <w:pStyle w:val="berschrift2"/>
      </w:pPr>
      <w:bookmarkStart w:id="15" w:name="_Toc43993956"/>
      <w:r>
        <w:t>Rechen und Leiter</w:t>
      </w:r>
      <w:bookmarkEnd w:id="15"/>
    </w:p>
    <w:p w:rsidR="00167AC2" w:rsidRDefault="00167AC2" w:rsidP="00167AC2">
      <w:pPr>
        <w:rPr>
          <w:rFonts w:cs="Arial"/>
        </w:rPr>
      </w:pPr>
      <w:r>
        <w:rPr>
          <w:rFonts w:cs="Arial"/>
        </w:rPr>
        <w:t>Die so genannten Rechen- und Leiter-Strukturen zeichnen sich dadurch aus, dass ein fadenförmiges Molekül metall-induzierte Einheiten in definierten Abständen hat.</w:t>
      </w:r>
    </w:p>
    <w:p w:rsidR="00167AC2" w:rsidRDefault="00167AC2" w:rsidP="00167AC2">
      <w:pPr>
        <w:rPr>
          <w:rFonts w:cs="Arial"/>
        </w:rPr>
      </w:pPr>
    </w:p>
    <w:p w:rsidR="00167AC2" w:rsidRDefault="00167AC2" w:rsidP="00167AC2">
      <w:pPr>
        <w:sectPr w:rsidR="00167AC2" w:rsidSect="005F7292">
          <w:type w:val="continuous"/>
          <w:pgSz w:w="11906" w:h="16838"/>
          <w:pgMar w:top="851" w:right="1134" w:bottom="1134" w:left="1418" w:header="0" w:footer="0" w:gutter="0"/>
          <w:cols w:space="708"/>
          <w:titlePg/>
          <w:docGrid w:linePitch="360"/>
        </w:sectPr>
      </w:pPr>
    </w:p>
    <w:p w:rsidR="00167AC2" w:rsidRDefault="00167AC2" w:rsidP="00167AC2">
      <w:r>
        <w:rPr>
          <w:noProof/>
          <w:lang w:eastAsia="de-DE"/>
        </w:rPr>
        <w:drawing>
          <wp:inline distT="0" distB="0" distL="0" distR="0">
            <wp:extent cx="609600" cy="264795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9600" cy="2647950"/>
                    </a:xfrm>
                    <a:prstGeom prst="rect">
                      <a:avLst/>
                    </a:prstGeom>
                    <a:noFill/>
                    <a:ln>
                      <a:noFill/>
                    </a:ln>
                  </pic:spPr>
                </pic:pic>
              </a:graphicData>
            </a:graphic>
          </wp:inline>
        </w:drawing>
      </w:r>
    </w:p>
    <w:p w:rsidR="00167AC2" w:rsidRDefault="00167AC2" w:rsidP="00167AC2">
      <w:r>
        <w:t>schematisch</w:t>
      </w:r>
    </w:p>
    <w:p w:rsidR="00167AC2" w:rsidRDefault="00167AC2" w:rsidP="00167AC2">
      <w:r>
        <w:rPr>
          <w:noProof/>
          <w:lang w:eastAsia="de-DE"/>
        </w:rPr>
        <w:drawing>
          <wp:inline distT="0" distB="0" distL="0" distR="0">
            <wp:extent cx="1831709" cy="280800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31709" cy="2808000"/>
                    </a:xfrm>
                    <a:prstGeom prst="rect">
                      <a:avLst/>
                    </a:prstGeom>
                    <a:noFill/>
                    <a:ln>
                      <a:noFill/>
                    </a:ln>
                  </pic:spPr>
                </pic:pic>
              </a:graphicData>
            </a:graphic>
          </wp:inline>
        </w:drawing>
      </w:r>
    </w:p>
    <w:p w:rsidR="00167AC2" w:rsidRDefault="00167AC2" w:rsidP="00167AC2">
      <w:r>
        <w:t>auf Basis von Bipyridin-Derivaten</w:t>
      </w:r>
    </w:p>
    <w:p w:rsidR="00167AC2" w:rsidRDefault="00167AC2" w:rsidP="00167AC2">
      <w:pPr>
        <w:sectPr w:rsidR="00167AC2" w:rsidSect="00167AC2">
          <w:type w:val="continuous"/>
          <w:pgSz w:w="11906" w:h="16838"/>
          <w:pgMar w:top="851" w:right="1134" w:bottom="1134" w:left="1418" w:header="0" w:footer="0" w:gutter="0"/>
          <w:cols w:num="2" w:space="708"/>
          <w:titlePg/>
          <w:docGrid w:linePitch="360"/>
        </w:sectPr>
      </w:pPr>
    </w:p>
    <w:p w:rsidR="00167AC2" w:rsidRDefault="00167AC2" w:rsidP="00167AC2">
      <w:pPr>
        <w:pStyle w:val="Beschriftung"/>
      </w:pPr>
      <w:r>
        <w:t xml:space="preserve">Abb. </w:t>
      </w:r>
      <w:r w:rsidR="003F6485">
        <w:fldChar w:fldCharType="begin"/>
      </w:r>
      <w:r w:rsidR="003F6485">
        <w:instrText xml:space="preserve"> SEQ Abb. \* ARABIC </w:instrText>
      </w:r>
      <w:r w:rsidR="003F6485">
        <w:fldChar w:fldCharType="separate"/>
      </w:r>
      <w:r w:rsidR="003F6485">
        <w:rPr>
          <w:noProof/>
        </w:rPr>
        <w:t>11</w:t>
      </w:r>
      <w:r w:rsidR="003F6485">
        <w:rPr>
          <w:noProof/>
        </w:rPr>
        <w:fldChar w:fldCharType="end"/>
      </w:r>
      <w:r>
        <w:t>: Rechenförmige Struktur [</w:t>
      </w:r>
      <w:r>
        <w:fldChar w:fldCharType="begin"/>
      </w:r>
      <w:r>
        <w:instrText xml:space="preserve"> REF _Ref43713947 \r \h </w:instrText>
      </w:r>
      <w:r>
        <w:fldChar w:fldCharType="separate"/>
      </w:r>
      <w:r w:rsidR="003F6485">
        <w:t>10</w:t>
      </w:r>
      <w:r>
        <w:fldChar w:fldCharType="end"/>
      </w:r>
      <w:r>
        <w:t>]</w:t>
      </w:r>
      <w:r w:rsidR="0063501B">
        <w:t>.</w:t>
      </w:r>
    </w:p>
    <w:p w:rsidR="00167AC2" w:rsidRPr="00167AC2" w:rsidRDefault="00167AC2" w:rsidP="00167AC2"/>
    <w:p w:rsidR="00167AC2" w:rsidRDefault="00167AC2" w:rsidP="00167AC2">
      <w:pPr>
        <w:sectPr w:rsidR="00167AC2" w:rsidSect="005F7292">
          <w:type w:val="continuous"/>
          <w:pgSz w:w="11906" w:h="16838"/>
          <w:pgMar w:top="851" w:right="1134" w:bottom="1134" w:left="1418" w:header="0" w:footer="0" w:gutter="0"/>
          <w:cols w:space="708"/>
          <w:titlePg/>
          <w:docGrid w:linePitch="360"/>
        </w:sectPr>
      </w:pPr>
    </w:p>
    <w:p w:rsidR="00167AC2" w:rsidRDefault="00167AC2" w:rsidP="00167AC2">
      <w:r>
        <w:rPr>
          <w:noProof/>
          <w:lang w:eastAsia="de-DE"/>
        </w:rPr>
        <w:drawing>
          <wp:inline distT="0" distB="0" distL="0" distR="0">
            <wp:extent cx="714375" cy="2552700"/>
            <wp:effectExtent l="0" t="0" r="9525"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14375" cy="2552700"/>
                    </a:xfrm>
                    <a:prstGeom prst="rect">
                      <a:avLst/>
                    </a:prstGeom>
                    <a:noFill/>
                    <a:ln>
                      <a:noFill/>
                    </a:ln>
                  </pic:spPr>
                </pic:pic>
              </a:graphicData>
            </a:graphic>
          </wp:inline>
        </w:drawing>
      </w:r>
    </w:p>
    <w:p w:rsidR="00167AC2" w:rsidRDefault="00167AC2" w:rsidP="00167AC2">
      <w:r>
        <w:t>schematisch</w:t>
      </w:r>
    </w:p>
    <w:p w:rsidR="00167AC2" w:rsidRDefault="00167AC2" w:rsidP="00167AC2">
      <w:r>
        <w:rPr>
          <w:noProof/>
          <w:lang w:eastAsia="de-DE"/>
        </w:rPr>
        <w:drawing>
          <wp:inline distT="0" distB="0" distL="0" distR="0">
            <wp:extent cx="3381375" cy="3248025"/>
            <wp:effectExtent l="0" t="0" r="0" b="9525"/>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81375" cy="3248025"/>
                    </a:xfrm>
                    <a:prstGeom prst="rect">
                      <a:avLst/>
                    </a:prstGeom>
                    <a:noFill/>
                    <a:ln>
                      <a:noFill/>
                    </a:ln>
                  </pic:spPr>
                </pic:pic>
              </a:graphicData>
            </a:graphic>
          </wp:inline>
        </w:drawing>
      </w:r>
    </w:p>
    <w:p w:rsidR="00167AC2" w:rsidRDefault="00167AC2" w:rsidP="00167AC2">
      <w:r>
        <w:t>Auf Basis von Bipyridin-Liganden mit tetraedrischer Komplex-Geometrie</w:t>
      </w:r>
    </w:p>
    <w:p w:rsidR="00167AC2" w:rsidRDefault="00167AC2" w:rsidP="00167AC2">
      <w:pPr>
        <w:sectPr w:rsidR="00167AC2" w:rsidSect="00167AC2">
          <w:type w:val="continuous"/>
          <w:pgSz w:w="11906" w:h="16838"/>
          <w:pgMar w:top="851" w:right="1134" w:bottom="1134" w:left="1418" w:header="0" w:footer="0" w:gutter="0"/>
          <w:cols w:num="2" w:space="710" w:equalWidth="0">
            <w:col w:w="1985" w:space="710"/>
            <w:col w:w="6659"/>
          </w:cols>
          <w:titlePg/>
          <w:docGrid w:linePitch="360"/>
        </w:sectPr>
      </w:pPr>
    </w:p>
    <w:p w:rsidR="00167AC2" w:rsidRPr="00167AC2" w:rsidRDefault="00167AC2" w:rsidP="00167AC2">
      <w:pPr>
        <w:pStyle w:val="Beschriftung"/>
      </w:pPr>
      <w:r>
        <w:t xml:space="preserve">Abb. </w:t>
      </w:r>
      <w:r w:rsidR="003F6485">
        <w:fldChar w:fldCharType="begin"/>
      </w:r>
      <w:r w:rsidR="003F6485">
        <w:instrText xml:space="preserve"> SEQ Abb. \* ARABIC </w:instrText>
      </w:r>
      <w:r w:rsidR="003F6485">
        <w:fldChar w:fldCharType="separate"/>
      </w:r>
      <w:r w:rsidR="003F6485">
        <w:rPr>
          <w:noProof/>
        </w:rPr>
        <w:t>12</w:t>
      </w:r>
      <w:r w:rsidR="003F6485">
        <w:rPr>
          <w:noProof/>
        </w:rPr>
        <w:fldChar w:fldCharType="end"/>
      </w:r>
      <w:r>
        <w:t>: Leiter-förmige Struktur [</w:t>
      </w:r>
      <w:r>
        <w:fldChar w:fldCharType="begin"/>
      </w:r>
      <w:r>
        <w:instrText xml:space="preserve"> REF _Ref43713947 \r \h </w:instrText>
      </w:r>
      <w:r>
        <w:fldChar w:fldCharType="separate"/>
      </w:r>
      <w:r w:rsidR="003F6485">
        <w:t>10</w:t>
      </w:r>
      <w:r>
        <w:fldChar w:fldCharType="end"/>
      </w:r>
      <w:r>
        <w:t>]</w:t>
      </w:r>
      <w:r w:rsidR="0063501B">
        <w:t>.</w:t>
      </w:r>
    </w:p>
    <w:p w:rsidR="00931B30" w:rsidRPr="000E61E0" w:rsidRDefault="00931B30" w:rsidP="00931B30">
      <w:pPr>
        <w:rPr>
          <w:b/>
          <w:bCs/>
        </w:rPr>
      </w:pPr>
      <w:r w:rsidRPr="000E61E0">
        <w:rPr>
          <w:b/>
          <w:bCs/>
        </w:rPr>
        <w:t>Quellen:</w:t>
      </w:r>
    </w:p>
    <w:bookmarkStart w:id="16" w:name="_Ref43710088"/>
    <w:p w:rsidR="00931B30" w:rsidRPr="00422A52" w:rsidRDefault="00422A52" w:rsidP="00AA5678">
      <w:pPr>
        <w:pStyle w:val="AufzhlungStandard"/>
        <w:numPr>
          <w:ilvl w:val="0"/>
          <w:numId w:val="17"/>
        </w:numPr>
      </w:pPr>
      <w:r>
        <w:rPr>
          <w:rFonts w:cs="Arial"/>
        </w:rPr>
        <w:fldChar w:fldCharType="begin"/>
      </w:r>
      <w:r>
        <w:rPr>
          <w:rFonts w:cs="Arial"/>
        </w:rPr>
        <w:instrText xml:space="preserve"> HYPERLINK "http://www.bossert-bcs.de/biologie/supchem/index.htm" </w:instrText>
      </w:r>
      <w:r>
        <w:rPr>
          <w:rFonts w:cs="Arial"/>
        </w:rPr>
        <w:fldChar w:fldCharType="separate"/>
      </w:r>
      <w:r>
        <w:rPr>
          <w:rStyle w:val="Hyperlink"/>
          <w:rFonts w:cs="Arial"/>
        </w:rPr>
        <w:t>http://www.bossert-bcs.de/biologie/supchem/index.htm</w:t>
      </w:r>
      <w:r>
        <w:rPr>
          <w:rFonts w:cs="Arial"/>
        </w:rPr>
        <w:fldChar w:fldCharType="end"/>
      </w:r>
      <w:r>
        <w:rPr>
          <w:rFonts w:cs="Arial"/>
        </w:rPr>
        <w:t xml:space="preserve">, </w:t>
      </w:r>
      <w:bookmarkEnd w:id="16"/>
      <w:r w:rsidR="00167AC2">
        <w:rPr>
          <w:rFonts w:cs="Arial"/>
        </w:rPr>
        <w:t>(</w:t>
      </w:r>
      <w:r w:rsidR="00167AC2" w:rsidRPr="0063501B">
        <w:rPr>
          <w:rFonts w:cs="Arial"/>
        </w:rPr>
        <w:t>Quelle verschollen, 22.06.2020</w:t>
      </w:r>
      <w:r w:rsidR="00167AC2">
        <w:rPr>
          <w:rFonts w:cs="Arial"/>
        </w:rPr>
        <w:t>)</w:t>
      </w:r>
    </w:p>
    <w:p w:rsidR="00422A52" w:rsidRPr="00422A52" w:rsidRDefault="00422A52" w:rsidP="00AA5678">
      <w:pPr>
        <w:pStyle w:val="AufzhlungStandard"/>
        <w:numPr>
          <w:ilvl w:val="0"/>
          <w:numId w:val="17"/>
        </w:numPr>
      </w:pPr>
      <w:bookmarkStart w:id="17" w:name="_Ref43710601"/>
      <w:r>
        <w:rPr>
          <w:rFonts w:cs="Arial"/>
        </w:rPr>
        <w:t>Lehn, Jean-Marie: Supramolecular Chemistry. VHC Verlagsgesellschaft mbH, Weinheim 1995</w:t>
      </w:r>
      <w:bookmarkEnd w:id="17"/>
    </w:p>
    <w:bookmarkStart w:id="18" w:name="_Ref43710648"/>
    <w:p w:rsidR="00422A52" w:rsidRPr="00422A52" w:rsidRDefault="00422A52" w:rsidP="00AA5678">
      <w:pPr>
        <w:pStyle w:val="AufzhlungStandard"/>
        <w:numPr>
          <w:ilvl w:val="0"/>
          <w:numId w:val="17"/>
        </w:numPr>
      </w:pPr>
      <w:r>
        <w:rPr>
          <w:rFonts w:cs="Arial"/>
        </w:rPr>
        <w:fldChar w:fldCharType="begin"/>
      </w:r>
      <w:r>
        <w:rPr>
          <w:rFonts w:cs="Arial"/>
        </w:rPr>
        <w:instrText xml:space="preserve"> HYPERLINK "http://www.chemie.uni-kl.de/forschung/oc/kubik/index.php?lan=de&amp;act=0lecoc9&amp;sub_act=wec" </w:instrText>
      </w:r>
      <w:r>
        <w:rPr>
          <w:rFonts w:cs="Arial"/>
        </w:rPr>
        <w:fldChar w:fldCharType="separate"/>
      </w:r>
      <w:r>
        <w:rPr>
          <w:rStyle w:val="Hyperlink"/>
          <w:rFonts w:cs="Arial"/>
        </w:rPr>
        <w:t xml:space="preserve">http://www.chemie.uni-kl.de/forschung/oc/kubik/index.php?lan=de&amp;act=0lecoc9&amp;sub_act=wec, </w:t>
      </w:r>
      <w:r>
        <w:rPr>
          <w:rFonts w:cs="Arial"/>
        </w:rPr>
        <w:fldChar w:fldCharType="end"/>
      </w:r>
      <w:r>
        <w:rPr>
          <w:rFonts w:cs="Arial"/>
        </w:rPr>
        <w:t xml:space="preserve">wasserstoffbrücken, </w:t>
      </w:r>
      <w:proofErr w:type="spellStart"/>
      <w:r>
        <w:rPr>
          <w:rFonts w:cs="Arial"/>
        </w:rPr>
        <w:t>pi-pi</w:t>
      </w:r>
      <w:proofErr w:type="spellEnd"/>
      <w:r>
        <w:rPr>
          <w:rFonts w:cs="Arial"/>
        </w:rPr>
        <w:t>, 05.12.2008</w:t>
      </w:r>
      <w:bookmarkEnd w:id="18"/>
      <w:r w:rsidR="00167AC2">
        <w:rPr>
          <w:rFonts w:cs="Arial"/>
        </w:rPr>
        <w:t xml:space="preserve"> (</w:t>
      </w:r>
      <w:r w:rsidR="00167AC2" w:rsidRPr="0063501B">
        <w:rPr>
          <w:rFonts w:cs="Arial"/>
        </w:rPr>
        <w:t>Quelle verschollen, 22.06.2020</w:t>
      </w:r>
      <w:r w:rsidR="00167AC2">
        <w:rPr>
          <w:rFonts w:cs="Arial"/>
        </w:rPr>
        <w:t>)</w:t>
      </w:r>
    </w:p>
    <w:p w:rsidR="00422A52" w:rsidRPr="00422A52" w:rsidRDefault="003F6485" w:rsidP="00AA5678">
      <w:pPr>
        <w:pStyle w:val="AufzhlungStandard"/>
        <w:numPr>
          <w:ilvl w:val="0"/>
          <w:numId w:val="17"/>
        </w:numPr>
      </w:pPr>
      <w:hyperlink r:id="rId26" w:history="1">
        <w:bookmarkStart w:id="19" w:name="_Ref43711224"/>
        <w:r w:rsidR="00422A52" w:rsidRPr="00CD61E4">
          <w:rPr>
            <w:rStyle w:val="Hyperlink"/>
            <w:rFonts w:cs="Arial"/>
          </w:rPr>
          <w:t>http://de.wikipedia.org/wiki/GC-Gehalt 01.02.2009</w:t>
        </w:r>
        <w:bookmarkEnd w:id="19"/>
      </w:hyperlink>
      <w:r w:rsidR="00167AC2">
        <w:rPr>
          <w:rFonts w:cs="Arial"/>
        </w:rPr>
        <w:t>; (</w:t>
      </w:r>
      <w:r w:rsidR="00167AC2" w:rsidRPr="0063501B">
        <w:rPr>
          <w:rFonts w:cs="Arial"/>
        </w:rPr>
        <w:t>Quelle verschollen, 22.06.2020</w:t>
      </w:r>
      <w:r w:rsidR="00167AC2">
        <w:rPr>
          <w:rFonts w:cs="Arial"/>
        </w:rPr>
        <w:t>)</w:t>
      </w:r>
    </w:p>
    <w:p w:rsidR="00422A52" w:rsidRPr="00422A52" w:rsidRDefault="00422A52" w:rsidP="00AA5678">
      <w:pPr>
        <w:pStyle w:val="AufzhlungStandard"/>
        <w:numPr>
          <w:ilvl w:val="0"/>
          <w:numId w:val="17"/>
        </w:numPr>
      </w:pPr>
      <w:bookmarkStart w:id="20" w:name="_Ref43711954"/>
      <w:r>
        <w:rPr>
          <w:rFonts w:cs="Arial"/>
        </w:rPr>
        <w:t>Riedel, Erwin: Allgemeine und Anorganische Chemie, 8. Auflage, Walter de Gruyter GmbH &amp; Co. KG, Berlin 2004, S. 127</w:t>
      </w:r>
      <w:bookmarkEnd w:id="20"/>
    </w:p>
    <w:p w:rsidR="00422A52" w:rsidRPr="00422A52" w:rsidRDefault="00422A52" w:rsidP="00AA5678">
      <w:pPr>
        <w:pStyle w:val="AufzhlungStandard"/>
        <w:numPr>
          <w:ilvl w:val="0"/>
          <w:numId w:val="17"/>
        </w:numPr>
      </w:pPr>
      <w:bookmarkStart w:id="21" w:name="_Ref43712015"/>
      <w:r>
        <w:rPr>
          <w:rFonts w:cs="Arial"/>
        </w:rPr>
        <w:t>Wiss. Z. TU. Dresden, K. Gloe et.al.: Supramolekulare Chemie - Vom Einzelmolekül zur komplexen Funktionseinheit. Heft 1-2, Dresden 2007, S. 33</w:t>
      </w:r>
      <w:bookmarkEnd w:id="21"/>
    </w:p>
    <w:p w:rsidR="00422A52" w:rsidRPr="00422A52" w:rsidRDefault="003F6485" w:rsidP="00AA5678">
      <w:pPr>
        <w:pStyle w:val="AufzhlungStandard"/>
        <w:numPr>
          <w:ilvl w:val="0"/>
          <w:numId w:val="17"/>
        </w:numPr>
      </w:pPr>
      <w:hyperlink r:id="rId27" w:history="1">
        <w:r w:rsidR="00422A52">
          <w:rPr>
            <w:rStyle w:val="Hyperlink"/>
            <w:rFonts w:cs="Arial"/>
          </w:rPr>
          <w:t>http://www.chm.tu-dresden.de/ac/p</w:t>
        </w:r>
        <w:r w:rsidR="00422A52">
          <w:rPr>
            <w:rStyle w:val="Hyperlink"/>
            <w:rFonts w:cs="Arial"/>
          </w:rPr>
          <w:t>a</w:t>
        </w:r>
        <w:r w:rsidR="00422A52">
          <w:rPr>
            <w:rStyle w:val="Hyperlink"/>
            <w:rFonts w:cs="Arial"/>
          </w:rPr>
          <w:t>c/seminar/AS16_Supramol.pdf</w:t>
        </w:r>
      </w:hyperlink>
      <w:r w:rsidR="00422A52">
        <w:rPr>
          <w:rFonts w:cs="Arial"/>
        </w:rPr>
        <w:t xml:space="preserve">, </w:t>
      </w:r>
      <w:r w:rsidR="00167AC2">
        <w:rPr>
          <w:rFonts w:cs="Arial"/>
        </w:rPr>
        <w:t>(</w:t>
      </w:r>
      <w:r w:rsidR="00167AC2" w:rsidRPr="0063501B">
        <w:rPr>
          <w:rFonts w:cs="Arial"/>
        </w:rPr>
        <w:t>Quelle verschollen, 22.06.2020</w:t>
      </w:r>
      <w:r w:rsidR="00167AC2">
        <w:rPr>
          <w:rFonts w:cs="Arial"/>
        </w:rPr>
        <w:t>)</w:t>
      </w:r>
    </w:p>
    <w:bookmarkStart w:id="22" w:name="_Ref43712378"/>
    <w:p w:rsidR="00167AC2" w:rsidRPr="00167AC2" w:rsidRDefault="00422A52" w:rsidP="00167AC2">
      <w:pPr>
        <w:pStyle w:val="AufzhlungStandard"/>
        <w:numPr>
          <w:ilvl w:val="0"/>
          <w:numId w:val="17"/>
        </w:numPr>
      </w:pPr>
      <w:r w:rsidRPr="00167AC2">
        <w:rPr>
          <w:rFonts w:cs="Arial"/>
        </w:rPr>
        <w:fldChar w:fldCharType="begin"/>
      </w:r>
      <w:r w:rsidRPr="00167AC2">
        <w:rPr>
          <w:rFonts w:cs="Arial"/>
        </w:rPr>
        <w:instrText xml:space="preserve"> HYPERLINK "http://www.nano-science.de/external/research/publications/ownpapers/TheorienLeben.pdf" </w:instrText>
      </w:r>
      <w:r w:rsidRPr="00167AC2">
        <w:rPr>
          <w:rFonts w:cs="Arial"/>
        </w:rPr>
        <w:fldChar w:fldCharType="separate"/>
      </w:r>
      <w:r w:rsidRPr="00167AC2">
        <w:rPr>
          <w:rStyle w:val="Hyperlink"/>
          <w:rFonts w:cs="Arial"/>
        </w:rPr>
        <w:t>http://www.nano-science.de/external/research/publications/ownpapers/TheorienLeben.pdf</w:t>
      </w:r>
      <w:r w:rsidRPr="00167AC2">
        <w:rPr>
          <w:rFonts w:cs="Arial"/>
        </w:rPr>
        <w:fldChar w:fldCharType="end"/>
      </w:r>
      <w:r w:rsidRPr="00167AC2">
        <w:rPr>
          <w:rFonts w:cs="Arial"/>
        </w:rPr>
        <w:t xml:space="preserve">, </w:t>
      </w:r>
      <w:bookmarkStart w:id="23" w:name="_Ref43712515"/>
      <w:bookmarkEnd w:id="22"/>
      <w:r w:rsidR="00167AC2">
        <w:rPr>
          <w:rFonts w:cs="Arial"/>
        </w:rPr>
        <w:t>(</w:t>
      </w:r>
      <w:r w:rsidR="00167AC2" w:rsidRPr="0063501B">
        <w:rPr>
          <w:rFonts w:cs="Arial"/>
        </w:rPr>
        <w:t>Quelle verschollen, 22.06.2020</w:t>
      </w:r>
      <w:r w:rsidR="00167AC2">
        <w:rPr>
          <w:rFonts w:cs="Arial"/>
        </w:rPr>
        <w:t>)</w:t>
      </w:r>
    </w:p>
    <w:p w:rsidR="00422A52" w:rsidRPr="00422A52" w:rsidRDefault="00422A52" w:rsidP="00167AC2">
      <w:pPr>
        <w:pStyle w:val="AufzhlungStandard"/>
        <w:numPr>
          <w:ilvl w:val="0"/>
          <w:numId w:val="17"/>
        </w:numPr>
      </w:pPr>
      <w:r w:rsidRPr="00167AC2">
        <w:rPr>
          <w:rFonts w:cs="Arial"/>
        </w:rPr>
        <w:t>Chem. Unserer Zeit, K. Roth: Polymorphie. Heft 40, S. 398-406</w:t>
      </w:r>
      <w:bookmarkEnd w:id="23"/>
    </w:p>
    <w:p w:rsidR="00422A52" w:rsidRPr="00422A52" w:rsidRDefault="00422A52" w:rsidP="00AA5678">
      <w:pPr>
        <w:pStyle w:val="AufzhlungStandard"/>
        <w:numPr>
          <w:ilvl w:val="0"/>
          <w:numId w:val="17"/>
        </w:numPr>
      </w:pPr>
      <w:bookmarkStart w:id="24" w:name="_Ref43713947"/>
      <w:r>
        <w:rPr>
          <w:rFonts w:cs="Arial"/>
        </w:rPr>
        <w:t>Chem. Unserer Zeit, S. Schmatloch, U.S. Schubert: Vom einfachen Komplex zum komplexen Gitter. Heft 37, S. 180-187</w:t>
      </w:r>
      <w:bookmarkEnd w:id="24"/>
    </w:p>
    <w:bookmarkStart w:id="25" w:name="_Ref43714112"/>
    <w:p w:rsidR="00422A52" w:rsidRPr="0063501B" w:rsidRDefault="00422A52" w:rsidP="00AA5678">
      <w:pPr>
        <w:pStyle w:val="AufzhlungStandard"/>
        <w:numPr>
          <w:ilvl w:val="0"/>
          <w:numId w:val="17"/>
        </w:numPr>
        <w:rPr>
          <w:lang w:val="en-US"/>
        </w:rPr>
      </w:pPr>
      <w:r>
        <w:rPr>
          <w:rFonts w:cs="Arial"/>
        </w:rPr>
        <w:fldChar w:fldCharType="begin"/>
      </w:r>
      <w:r w:rsidR="0063501B" w:rsidRPr="0063501B">
        <w:rPr>
          <w:rFonts w:cs="Arial"/>
          <w:lang w:val="en-US"/>
        </w:rPr>
        <w:instrText>HYPERLINK "https://commons.wikimedia.org/wiki/File:229_Nucleotides-01.jpg"</w:instrText>
      </w:r>
      <w:r w:rsidR="0063501B">
        <w:rPr>
          <w:rFonts w:cs="Arial"/>
        </w:rPr>
      </w:r>
      <w:r>
        <w:rPr>
          <w:rFonts w:cs="Arial"/>
        </w:rPr>
        <w:fldChar w:fldCharType="separate"/>
      </w:r>
      <w:r w:rsidRPr="0063501B">
        <w:rPr>
          <w:rStyle w:val="Hyperlink"/>
          <w:rFonts w:cs="Arial"/>
          <w:lang w:val="en-US"/>
        </w:rPr>
        <w:t>https://commons.wikime</w:t>
      </w:r>
      <w:r w:rsidRPr="0063501B">
        <w:rPr>
          <w:rStyle w:val="Hyperlink"/>
          <w:rFonts w:cs="Arial"/>
          <w:lang w:val="en-US"/>
        </w:rPr>
        <w:t>d</w:t>
      </w:r>
      <w:r w:rsidRPr="0063501B">
        <w:rPr>
          <w:rStyle w:val="Hyperlink"/>
          <w:rFonts w:cs="Arial"/>
          <w:lang w:val="en-US"/>
        </w:rPr>
        <w:t>ia.org/wiki/File:229_Nucleotid</w:t>
      </w:r>
      <w:r w:rsidRPr="0063501B">
        <w:rPr>
          <w:rStyle w:val="Hyperlink"/>
          <w:rFonts w:cs="Arial"/>
          <w:lang w:val="en-US"/>
        </w:rPr>
        <w:t>e</w:t>
      </w:r>
      <w:r w:rsidRPr="0063501B">
        <w:rPr>
          <w:rStyle w:val="Hyperlink"/>
          <w:rFonts w:cs="Arial"/>
          <w:lang w:val="en-US"/>
        </w:rPr>
        <w:t>s-01.jpg</w:t>
      </w:r>
      <w:r>
        <w:rPr>
          <w:rFonts w:cs="Arial"/>
        </w:rPr>
        <w:fldChar w:fldCharType="end"/>
      </w:r>
      <w:r w:rsidRPr="0063501B">
        <w:rPr>
          <w:rFonts w:cs="Arial"/>
          <w:lang w:val="en-US"/>
        </w:rPr>
        <w:t xml:space="preserve"> </w:t>
      </w:r>
      <w:proofErr w:type="spellStart"/>
      <w:r w:rsidRPr="0063501B">
        <w:rPr>
          <w:rFonts w:cs="Arial"/>
          <w:lang w:val="en-US"/>
        </w:rPr>
        <w:t>Lizenz</w:t>
      </w:r>
      <w:proofErr w:type="spellEnd"/>
      <w:r w:rsidRPr="0063501B">
        <w:rPr>
          <w:rFonts w:cs="Arial"/>
          <w:lang w:val="en-US"/>
        </w:rPr>
        <w:t>: CC BY 3.0, 30.03.2017</w:t>
      </w:r>
      <w:bookmarkEnd w:id="25"/>
    </w:p>
    <w:sectPr w:rsidR="00422A52" w:rsidRPr="0063501B" w:rsidSect="005F7292">
      <w:type w:val="continuous"/>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AC2" w:rsidRDefault="00167AC2" w:rsidP="005A7DCE">
      <w:pPr>
        <w:spacing w:before="0"/>
      </w:pPr>
      <w:r>
        <w:separator/>
      </w:r>
    </w:p>
  </w:endnote>
  <w:endnote w:type="continuationSeparator" w:id="0">
    <w:p w:rsidR="00167AC2" w:rsidRDefault="00167AC2"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rsidR="00167AC2" w:rsidRDefault="00167AC2">
        <w:pPr>
          <w:pStyle w:val="Fuzeile"/>
          <w:jc w:val="center"/>
        </w:pPr>
        <w:r>
          <w:rPr>
            <w:noProof/>
            <w:lang w:eastAsia="de-DE"/>
          </w:rPr>
          <mc:AlternateContent>
            <mc:Choice Requires="wps">
              <w:drawing>
                <wp:inline distT="0" distB="0" distL="0" distR="0">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506A24"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rsidR="00167AC2" w:rsidRDefault="00167AC2">
        <w:pPr>
          <w:pStyle w:val="Fuzeile"/>
          <w:jc w:val="center"/>
        </w:pPr>
        <w:r>
          <w:fldChar w:fldCharType="begin"/>
        </w:r>
        <w:r>
          <w:instrText>PAGE    \* MERGEFORMAT</w:instrText>
        </w:r>
        <w:r>
          <w:fldChar w:fldCharType="separate"/>
        </w:r>
        <w:r w:rsidR="003F6485">
          <w:rPr>
            <w:noProof/>
          </w:rPr>
          <w:t>8</w:t>
        </w:r>
        <w:r>
          <w:fldChar w:fldCharType="end"/>
        </w:r>
      </w:p>
    </w:sdtContent>
  </w:sdt>
  <w:p w:rsidR="00167AC2" w:rsidRDefault="00167AC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AC2" w:rsidRDefault="00167AC2" w:rsidP="005A7DCE">
      <w:pPr>
        <w:spacing w:before="0"/>
      </w:pPr>
      <w:r>
        <w:separator/>
      </w:r>
    </w:p>
  </w:footnote>
  <w:footnote w:type="continuationSeparator" w:id="0">
    <w:p w:rsidR="00167AC2" w:rsidRDefault="00167AC2"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C081815"/>
    <w:multiLevelType w:val="multilevel"/>
    <w:tmpl w:val="8E8E4274"/>
    <w:lvl w:ilvl="0">
      <w:start w:val="1"/>
      <w:numFmt w:val="bullet"/>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5"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6"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7"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AD77D36"/>
    <w:multiLevelType w:val="multilevel"/>
    <w:tmpl w:val="92BEFC64"/>
    <w:lvl w:ilvl="0">
      <w:start w:val="1"/>
      <w:numFmt w:val="bullet"/>
      <w:pStyle w:val="Liste1Aufzhlung"/>
      <w:lvlText w:val=""/>
      <w:lvlJc w:val="left"/>
      <w:pPr>
        <w:ind w:left="454" w:hanging="454"/>
      </w:pPr>
      <w:rPr>
        <w:rFonts w:ascii="Symbol" w:hAnsi="Symbol" w:hint="default"/>
      </w:rPr>
    </w:lvl>
    <w:lvl w:ilvl="1">
      <w:start w:val="1"/>
      <w:numFmt w:val="ordin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9"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1"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1"/>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9"/>
  </w:num>
  <w:num w:numId="7">
    <w:abstractNumId w:val="5"/>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8"/>
  </w:num>
  <w:num w:numId="13">
    <w:abstractNumId w:val="7"/>
  </w:num>
  <w:num w:numId="14">
    <w:abstractNumId w:val="0"/>
  </w:num>
  <w:num w:numId="15">
    <w:abstractNumId w:val="1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256A8"/>
    <w:rsid w:val="00045EDE"/>
    <w:rsid w:val="000712A2"/>
    <w:rsid w:val="00074491"/>
    <w:rsid w:val="000D4A1C"/>
    <w:rsid w:val="000E61E0"/>
    <w:rsid w:val="0015543D"/>
    <w:rsid w:val="00167AC2"/>
    <w:rsid w:val="001D6942"/>
    <w:rsid w:val="002005EF"/>
    <w:rsid w:val="002211CE"/>
    <w:rsid w:val="0033663A"/>
    <w:rsid w:val="0036111E"/>
    <w:rsid w:val="003F6485"/>
    <w:rsid w:val="00422A52"/>
    <w:rsid w:val="004D0FAE"/>
    <w:rsid w:val="005633FE"/>
    <w:rsid w:val="0058690D"/>
    <w:rsid w:val="005A7DCE"/>
    <w:rsid w:val="005F7292"/>
    <w:rsid w:val="0063501B"/>
    <w:rsid w:val="006C46BC"/>
    <w:rsid w:val="007161D1"/>
    <w:rsid w:val="00783295"/>
    <w:rsid w:val="007B2C80"/>
    <w:rsid w:val="007F18E1"/>
    <w:rsid w:val="008117E4"/>
    <w:rsid w:val="00825BFE"/>
    <w:rsid w:val="00850560"/>
    <w:rsid w:val="00883728"/>
    <w:rsid w:val="008A524D"/>
    <w:rsid w:val="00931B30"/>
    <w:rsid w:val="00945ED7"/>
    <w:rsid w:val="0095646D"/>
    <w:rsid w:val="009710A6"/>
    <w:rsid w:val="009C602D"/>
    <w:rsid w:val="00A21130"/>
    <w:rsid w:val="00A5383F"/>
    <w:rsid w:val="00AA5678"/>
    <w:rsid w:val="00AA5D66"/>
    <w:rsid w:val="00AB7E4B"/>
    <w:rsid w:val="00AE53F0"/>
    <w:rsid w:val="00AF7672"/>
    <w:rsid w:val="00C45A12"/>
    <w:rsid w:val="00C47CC6"/>
    <w:rsid w:val="00C6611D"/>
    <w:rsid w:val="00D01D2A"/>
    <w:rsid w:val="00D97908"/>
    <w:rsid w:val="00DB7964"/>
    <w:rsid w:val="00E14DE1"/>
    <w:rsid w:val="00E20AF3"/>
    <w:rsid w:val="00E54A99"/>
    <w:rsid w:val="00E8473B"/>
    <w:rsid w:val="00F76D18"/>
    <w:rsid w:val="00F77239"/>
    <w:rsid w:val="00FD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6607E2"/>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15543D"/>
    <w:pPr>
      <w:numPr>
        <w:numId w:val="12"/>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15543D"/>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1Aufzhlung"/>
    <w:qFormat/>
    <w:rsid w:val="005633FE"/>
    <w:pPr>
      <w:ind w:left="681"/>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0256A8"/>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6C46BC"/>
    <w:pPr>
      <w:spacing w:after="100"/>
    </w:pPr>
  </w:style>
  <w:style w:type="paragraph" w:styleId="Verzeichnis2">
    <w:name w:val="toc 2"/>
    <w:basedOn w:val="Standard"/>
    <w:next w:val="Standard"/>
    <w:autoRedefine/>
    <w:uiPriority w:val="39"/>
    <w:unhideWhenUsed/>
    <w:rsid w:val="006C46BC"/>
    <w:pPr>
      <w:spacing w:after="100"/>
      <w:ind w:left="240"/>
    </w:pPr>
  </w:style>
  <w:style w:type="paragraph" w:styleId="Verzeichnis3">
    <w:name w:val="toc 3"/>
    <w:basedOn w:val="Standard"/>
    <w:next w:val="Standard"/>
    <w:autoRedefine/>
    <w:uiPriority w:val="39"/>
    <w:unhideWhenUsed/>
    <w:rsid w:val="006C46BC"/>
    <w:pPr>
      <w:spacing w:after="100"/>
      <w:ind w:left="480"/>
    </w:pPr>
  </w:style>
  <w:style w:type="character" w:styleId="SchwacheHervorhebung">
    <w:name w:val="Subtle Emphasis"/>
    <w:basedOn w:val="Absatz-Standardschriftart"/>
    <w:uiPriority w:val="19"/>
    <w:rsid w:val="00DB7964"/>
    <w:rPr>
      <w:i/>
      <w:iCs/>
      <w:color w:val="auto"/>
    </w:rPr>
  </w:style>
  <w:style w:type="character" w:styleId="Fett">
    <w:name w:val="Strong"/>
    <w:basedOn w:val="Absatz-Standardschriftart"/>
    <w:uiPriority w:val="22"/>
    <w:rsid w:val="00C47CC6"/>
    <w:rPr>
      <w:b/>
      <w:bCs/>
    </w:rPr>
  </w:style>
  <w:style w:type="paragraph" w:styleId="Untertitel">
    <w:name w:val="Subtitle"/>
    <w:basedOn w:val="Standard"/>
    <w:next w:val="Standard"/>
    <w:link w:val="UntertitelZchn"/>
    <w:uiPriority w:val="11"/>
    <w:rsid w:val="00C6611D"/>
    <w:pPr>
      <w:numPr>
        <w:ilvl w:val="1"/>
      </w:numPr>
      <w:spacing w:after="160"/>
      <w:jc w:val="center"/>
    </w:pPr>
    <w:rPr>
      <w:rFonts w:asciiTheme="minorHAnsi" w:eastAsiaTheme="minorEastAsia" w:hAnsiTheme="minorHAnsi"/>
      <w:color w:val="000000" w:themeColor="text1"/>
      <w:spacing w:val="15"/>
      <w:sz w:val="36"/>
    </w:rPr>
  </w:style>
  <w:style w:type="character" w:customStyle="1" w:styleId="UntertitelZchn">
    <w:name w:val="Untertitel Zchn"/>
    <w:basedOn w:val="Absatz-Standardschriftart"/>
    <w:link w:val="Untertitel"/>
    <w:uiPriority w:val="11"/>
    <w:rsid w:val="00C6611D"/>
    <w:rPr>
      <w:rFonts w:asciiTheme="minorHAnsi" w:eastAsiaTheme="minorEastAsia" w:hAnsiTheme="minorHAnsi"/>
      <w:color w:val="000000" w:themeColor="text1"/>
      <w:spacing w:val="15"/>
      <w:sz w:val="36"/>
    </w:rPr>
  </w:style>
  <w:style w:type="character" w:customStyle="1" w:styleId="UnresolvedMention">
    <w:name w:val="Unresolved Mention"/>
    <w:basedOn w:val="Absatz-Standardschriftart"/>
    <w:uiPriority w:val="99"/>
    <w:semiHidden/>
    <w:unhideWhenUsed/>
    <w:rsid w:val="00422A52"/>
    <w:rPr>
      <w:color w:val="605E5C"/>
      <w:shd w:val="clear" w:color="auto" w:fill="E1DFDD"/>
    </w:rPr>
  </w:style>
  <w:style w:type="character" w:styleId="BesuchterLink">
    <w:name w:val="FollowedHyperlink"/>
    <w:basedOn w:val="Absatz-Standardschriftart"/>
    <w:uiPriority w:val="99"/>
    <w:semiHidden/>
    <w:unhideWhenUsed/>
    <w:rsid w:val="00167AC2"/>
    <w:rPr>
      <w:color w:val="00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84536">
      <w:bodyDiv w:val="1"/>
      <w:marLeft w:val="0"/>
      <w:marRight w:val="0"/>
      <w:marTop w:val="0"/>
      <w:marBottom w:val="0"/>
      <w:divBdr>
        <w:top w:val="none" w:sz="0" w:space="0" w:color="auto"/>
        <w:left w:val="none" w:sz="0" w:space="0" w:color="auto"/>
        <w:bottom w:val="none" w:sz="0" w:space="0" w:color="auto"/>
        <w:right w:val="none" w:sz="0" w:space="0" w:color="auto"/>
      </w:divBdr>
    </w:div>
    <w:div w:id="184173176">
      <w:bodyDiv w:val="1"/>
      <w:marLeft w:val="0"/>
      <w:marRight w:val="0"/>
      <w:marTop w:val="0"/>
      <w:marBottom w:val="0"/>
      <w:divBdr>
        <w:top w:val="none" w:sz="0" w:space="0" w:color="auto"/>
        <w:left w:val="none" w:sz="0" w:space="0" w:color="auto"/>
        <w:bottom w:val="none" w:sz="0" w:space="0" w:color="auto"/>
        <w:right w:val="none" w:sz="0" w:space="0" w:color="auto"/>
      </w:divBdr>
    </w:div>
    <w:div w:id="260459671">
      <w:bodyDiv w:val="1"/>
      <w:marLeft w:val="0"/>
      <w:marRight w:val="0"/>
      <w:marTop w:val="0"/>
      <w:marBottom w:val="0"/>
      <w:divBdr>
        <w:top w:val="none" w:sz="0" w:space="0" w:color="auto"/>
        <w:left w:val="none" w:sz="0" w:space="0" w:color="auto"/>
        <w:bottom w:val="none" w:sz="0" w:space="0" w:color="auto"/>
        <w:right w:val="none" w:sz="0" w:space="0" w:color="auto"/>
      </w:divBdr>
    </w:div>
    <w:div w:id="363286622">
      <w:bodyDiv w:val="1"/>
      <w:marLeft w:val="0"/>
      <w:marRight w:val="0"/>
      <w:marTop w:val="0"/>
      <w:marBottom w:val="0"/>
      <w:divBdr>
        <w:top w:val="none" w:sz="0" w:space="0" w:color="auto"/>
        <w:left w:val="none" w:sz="0" w:space="0" w:color="auto"/>
        <w:bottom w:val="none" w:sz="0" w:space="0" w:color="auto"/>
        <w:right w:val="none" w:sz="0" w:space="0" w:color="auto"/>
      </w:divBdr>
    </w:div>
    <w:div w:id="410349151">
      <w:bodyDiv w:val="1"/>
      <w:marLeft w:val="0"/>
      <w:marRight w:val="0"/>
      <w:marTop w:val="0"/>
      <w:marBottom w:val="0"/>
      <w:divBdr>
        <w:top w:val="none" w:sz="0" w:space="0" w:color="auto"/>
        <w:left w:val="none" w:sz="0" w:space="0" w:color="auto"/>
        <w:bottom w:val="none" w:sz="0" w:space="0" w:color="auto"/>
        <w:right w:val="none" w:sz="0" w:space="0" w:color="auto"/>
      </w:divBdr>
    </w:div>
    <w:div w:id="473764657">
      <w:bodyDiv w:val="1"/>
      <w:marLeft w:val="0"/>
      <w:marRight w:val="0"/>
      <w:marTop w:val="0"/>
      <w:marBottom w:val="0"/>
      <w:divBdr>
        <w:top w:val="none" w:sz="0" w:space="0" w:color="auto"/>
        <w:left w:val="none" w:sz="0" w:space="0" w:color="auto"/>
        <w:bottom w:val="none" w:sz="0" w:space="0" w:color="auto"/>
        <w:right w:val="none" w:sz="0" w:space="0" w:color="auto"/>
      </w:divBdr>
    </w:div>
    <w:div w:id="1348213278">
      <w:bodyDiv w:val="1"/>
      <w:marLeft w:val="0"/>
      <w:marRight w:val="0"/>
      <w:marTop w:val="0"/>
      <w:marBottom w:val="0"/>
      <w:divBdr>
        <w:top w:val="none" w:sz="0" w:space="0" w:color="auto"/>
        <w:left w:val="none" w:sz="0" w:space="0" w:color="auto"/>
        <w:bottom w:val="none" w:sz="0" w:space="0" w:color="auto"/>
        <w:right w:val="none" w:sz="0" w:space="0" w:color="auto"/>
      </w:divBdr>
    </w:div>
    <w:div w:id="1473863681">
      <w:bodyDiv w:val="1"/>
      <w:marLeft w:val="0"/>
      <w:marRight w:val="0"/>
      <w:marTop w:val="0"/>
      <w:marBottom w:val="0"/>
      <w:divBdr>
        <w:top w:val="none" w:sz="0" w:space="0" w:color="auto"/>
        <w:left w:val="none" w:sz="0" w:space="0" w:color="auto"/>
        <w:bottom w:val="none" w:sz="0" w:space="0" w:color="auto"/>
        <w:right w:val="none" w:sz="0" w:space="0" w:color="auto"/>
      </w:divBdr>
    </w:div>
    <w:div w:id="1613050542">
      <w:bodyDiv w:val="1"/>
      <w:marLeft w:val="0"/>
      <w:marRight w:val="0"/>
      <w:marTop w:val="0"/>
      <w:marBottom w:val="0"/>
      <w:divBdr>
        <w:top w:val="none" w:sz="0" w:space="0" w:color="auto"/>
        <w:left w:val="none" w:sz="0" w:space="0" w:color="auto"/>
        <w:bottom w:val="none" w:sz="0" w:space="0" w:color="auto"/>
        <w:right w:val="none" w:sz="0" w:space="0" w:color="auto"/>
      </w:divBdr>
    </w:div>
    <w:div w:id="163414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gif"/><Relationship Id="rId18" Type="http://schemas.openxmlformats.org/officeDocument/2006/relationships/image" Target="media/image10.gif"/><Relationship Id="rId26" Type="http://schemas.openxmlformats.org/officeDocument/2006/relationships/hyperlink" Target="http://de.wikipedia.org/wiki/GC-Gehalt%2001.02.2009" TargetMode="Externa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9.gif"/><Relationship Id="rId25" Type="http://schemas.openxmlformats.org/officeDocument/2006/relationships/image" Target="media/image17.gif"/><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image" Target="media/image12.gi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image" Target="media/image16.gif"/><Relationship Id="rId5" Type="http://schemas.openxmlformats.org/officeDocument/2006/relationships/webSettings" Target="webSettings.xml"/><Relationship Id="rId15" Type="http://schemas.openxmlformats.org/officeDocument/2006/relationships/image" Target="media/image7.gif"/><Relationship Id="rId23" Type="http://schemas.openxmlformats.org/officeDocument/2006/relationships/image" Target="media/image15.gif"/><Relationship Id="rId28" Type="http://schemas.openxmlformats.org/officeDocument/2006/relationships/fontTable" Target="fontTable.xml"/><Relationship Id="rId10" Type="http://schemas.openxmlformats.org/officeDocument/2006/relationships/image" Target="media/image3.gif"/><Relationship Id="rId19" Type="http://schemas.openxmlformats.org/officeDocument/2006/relationships/image" Target="media/image11.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gif"/><Relationship Id="rId22" Type="http://schemas.openxmlformats.org/officeDocument/2006/relationships/image" Target="media/image14.gif"/><Relationship Id="rId27" Type="http://schemas.openxmlformats.org/officeDocument/2006/relationships/hyperlink" Target="http://www.chm.tu-dresden.de/ac/pac/seminar/AS16_Supramol.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Did Chemie">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90460-565E-4191-86A9-C95C13CAC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FBA092AC.dotm</Template>
  <TotalTime>0</TotalTime>
  <Pages>8</Pages>
  <Words>1747</Words>
  <Characters>11012</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4</cp:revision>
  <cp:lastPrinted>2020-06-25T14:12:00Z</cp:lastPrinted>
  <dcterms:created xsi:type="dcterms:W3CDTF">2020-06-22T07:17:00Z</dcterms:created>
  <dcterms:modified xsi:type="dcterms:W3CDTF">2020-06-25T14:12:00Z</dcterms:modified>
</cp:coreProperties>
</file>