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F8FFE" w14:textId="77777777" w:rsidR="00E8473B" w:rsidRDefault="00E8473B" w:rsidP="00A25B94">
      <w:pPr>
        <w:pStyle w:val="Bilder"/>
      </w:pPr>
      <w:r w:rsidRPr="00716CB6">
        <w:rPr>
          <w:lang w:eastAsia="de-DE"/>
        </w:rPr>
        <mc:AlternateContent>
          <mc:Choice Requires="wpg">
            <w:drawing>
              <wp:inline distT="0" distB="0" distL="0" distR="0" wp14:anchorId="6C927070" wp14:editId="48F0582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wps:txbx>
                        <wps:bodyPr>
                          <a:spAutoFit/>
                        </wps:bodyPr>
                      </wps:wsp>
                    </wpg:wgp>
                  </a:graphicData>
                </a:graphic>
              </wp:inline>
            </w:drawing>
          </mc:Choice>
          <mc:Fallback>
            <w:pict>
              <v:group w14:anchorId="6C927070"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111C584A" w14:textId="77777777" w:rsidR="008039D1" w:rsidRDefault="008039D1" w:rsidP="00E8473B">
                        <w:pPr>
                          <w:spacing w:before="168"/>
                          <w:textAlignment w:val="baseline"/>
                        </w:pPr>
                        <w:r>
                          <w:rPr>
                            <w:color w:val="000000" w:themeColor="text1"/>
                            <w:kern w:val="24"/>
                            <w:sz w:val="28"/>
                            <w:szCs w:val="28"/>
                          </w:rPr>
                          <w:t>UNIVERSITÄT</w:t>
                        </w:r>
                        <w:r>
                          <w:rPr>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47726D2A" wp14:editId="0BD2C96A">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383C91C" w14:textId="54FB8FC9" w:rsidR="00AE53F0" w:rsidRPr="005554C8" w:rsidRDefault="00E8473B" w:rsidP="005554C8">
      <w:pPr>
        <w:pStyle w:val="Seminar"/>
      </w:pPr>
      <w:r w:rsidRPr="005554C8">
        <w:t>Seminar</w:t>
      </w:r>
      <w:r w:rsidR="00FD7888" w:rsidRPr="005554C8">
        <w:t xml:space="preserve"> „Übungen im Vortragen –</w:t>
      </w:r>
      <w:r w:rsidR="0029716A" w:rsidRPr="005554C8">
        <w:t xml:space="preserve"> </w:t>
      </w:r>
      <w:r w:rsidR="00480635" w:rsidRPr="005554C8">
        <w:t>AC</w:t>
      </w:r>
      <w:r w:rsidR="00FD7888" w:rsidRPr="005554C8">
        <w:t>“</w:t>
      </w:r>
    </w:p>
    <w:p w14:paraId="61C6F5BC" w14:textId="30B36AFD" w:rsidR="00E8473B" w:rsidRDefault="005554C8" w:rsidP="005633FE">
      <w:pPr>
        <w:pStyle w:val="Titel"/>
      </w:pPr>
      <w:r>
        <w:t>Plutonium</w:t>
      </w:r>
      <w:r>
        <w:br/>
        <w:t>Eigenschaften, Darstellung und</w:t>
      </w:r>
      <w:r>
        <w:br/>
        <w:t>Anwendung</w:t>
      </w:r>
    </w:p>
    <w:p w14:paraId="28CE20D7" w14:textId="59DCB53F" w:rsidR="00E8473B" w:rsidRDefault="005554C8" w:rsidP="00E8473B">
      <w:pPr>
        <w:pStyle w:val="Autor"/>
      </w:pPr>
      <w:r>
        <w:t>Manuel Roder, WS 09/10</w:t>
      </w:r>
    </w:p>
    <w:sdt>
      <w:sdtPr>
        <w:rPr>
          <w:rFonts w:ascii="Arial" w:eastAsiaTheme="minorHAnsi" w:hAnsi="Arial" w:cstheme="minorBidi"/>
          <w:color w:val="auto"/>
          <w:sz w:val="24"/>
          <w:szCs w:val="22"/>
          <w:lang w:eastAsia="en-US"/>
        </w:rPr>
        <w:id w:val="1411498495"/>
        <w:docPartObj>
          <w:docPartGallery w:val="Table of Contents"/>
          <w:docPartUnique/>
        </w:docPartObj>
      </w:sdtPr>
      <w:sdtEndPr>
        <w:rPr>
          <w:b/>
          <w:bCs/>
        </w:rPr>
      </w:sdtEndPr>
      <w:sdtContent>
        <w:p w14:paraId="660EA471" w14:textId="5DF63EA1" w:rsidR="009B4835" w:rsidRDefault="009B4835">
          <w:pPr>
            <w:pStyle w:val="Inhaltsverzeichnisberschrift"/>
          </w:pPr>
          <w:r>
            <w:t>Gliederung</w:t>
          </w:r>
        </w:p>
        <w:p w14:paraId="69448577" w14:textId="71FF8F45" w:rsidR="008625A1" w:rsidRDefault="009B4835">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bookmarkStart w:id="0" w:name="_GoBack"/>
          <w:bookmarkEnd w:id="0"/>
          <w:r w:rsidR="008625A1" w:rsidRPr="0032013E">
            <w:rPr>
              <w:rStyle w:val="Hyperlink"/>
              <w:noProof/>
            </w:rPr>
            <w:fldChar w:fldCharType="begin"/>
          </w:r>
          <w:r w:rsidR="008625A1" w:rsidRPr="0032013E">
            <w:rPr>
              <w:rStyle w:val="Hyperlink"/>
              <w:noProof/>
            </w:rPr>
            <w:instrText xml:space="preserve"> </w:instrText>
          </w:r>
          <w:r w:rsidR="008625A1">
            <w:rPr>
              <w:noProof/>
            </w:rPr>
            <w:instrText>HYPERLINK \l "_Toc64985604"</w:instrText>
          </w:r>
          <w:r w:rsidR="008625A1" w:rsidRPr="0032013E">
            <w:rPr>
              <w:rStyle w:val="Hyperlink"/>
              <w:noProof/>
            </w:rPr>
            <w:instrText xml:space="preserve"> </w:instrText>
          </w:r>
          <w:r w:rsidR="008625A1" w:rsidRPr="0032013E">
            <w:rPr>
              <w:rStyle w:val="Hyperlink"/>
              <w:noProof/>
            </w:rPr>
          </w:r>
          <w:r w:rsidR="008625A1" w:rsidRPr="0032013E">
            <w:rPr>
              <w:rStyle w:val="Hyperlink"/>
              <w:noProof/>
            </w:rPr>
            <w:fldChar w:fldCharType="separate"/>
          </w:r>
          <w:r w:rsidR="008625A1" w:rsidRPr="0032013E">
            <w:rPr>
              <w:rStyle w:val="Hyperlink"/>
              <w:noProof/>
            </w:rPr>
            <w:t>1</w:t>
          </w:r>
          <w:r w:rsidR="008625A1">
            <w:rPr>
              <w:rFonts w:asciiTheme="minorHAnsi" w:eastAsiaTheme="minorEastAsia" w:hAnsiTheme="minorHAnsi"/>
              <w:noProof/>
              <w:sz w:val="22"/>
              <w:lang w:eastAsia="de-DE"/>
            </w:rPr>
            <w:tab/>
          </w:r>
          <w:r w:rsidR="008625A1" w:rsidRPr="0032013E">
            <w:rPr>
              <w:rStyle w:val="Hyperlink"/>
              <w:noProof/>
            </w:rPr>
            <w:t>Entdeckung</w:t>
          </w:r>
          <w:r w:rsidR="008625A1">
            <w:rPr>
              <w:noProof/>
              <w:webHidden/>
            </w:rPr>
            <w:tab/>
          </w:r>
          <w:r w:rsidR="008625A1">
            <w:rPr>
              <w:noProof/>
              <w:webHidden/>
            </w:rPr>
            <w:fldChar w:fldCharType="begin"/>
          </w:r>
          <w:r w:rsidR="008625A1">
            <w:rPr>
              <w:noProof/>
              <w:webHidden/>
            </w:rPr>
            <w:instrText xml:space="preserve"> PAGEREF _Toc64985604 \h </w:instrText>
          </w:r>
          <w:r w:rsidR="008625A1">
            <w:rPr>
              <w:noProof/>
              <w:webHidden/>
            </w:rPr>
          </w:r>
          <w:r w:rsidR="008625A1">
            <w:rPr>
              <w:noProof/>
              <w:webHidden/>
            </w:rPr>
            <w:fldChar w:fldCharType="separate"/>
          </w:r>
          <w:r w:rsidR="008625A1">
            <w:rPr>
              <w:noProof/>
              <w:webHidden/>
            </w:rPr>
            <w:t>1</w:t>
          </w:r>
          <w:r w:rsidR="008625A1">
            <w:rPr>
              <w:noProof/>
              <w:webHidden/>
            </w:rPr>
            <w:fldChar w:fldCharType="end"/>
          </w:r>
          <w:r w:rsidR="008625A1" w:rsidRPr="0032013E">
            <w:rPr>
              <w:rStyle w:val="Hyperlink"/>
              <w:noProof/>
            </w:rPr>
            <w:fldChar w:fldCharType="end"/>
          </w:r>
        </w:p>
        <w:p w14:paraId="04C12251" w14:textId="2727D0E9" w:rsidR="008625A1" w:rsidRDefault="008625A1">
          <w:pPr>
            <w:pStyle w:val="Verzeichnis1"/>
            <w:tabs>
              <w:tab w:val="left" w:pos="480"/>
              <w:tab w:val="right" w:leader="dot" w:pos="9344"/>
            </w:tabs>
            <w:rPr>
              <w:rFonts w:asciiTheme="minorHAnsi" w:eastAsiaTheme="minorEastAsia" w:hAnsiTheme="minorHAnsi"/>
              <w:noProof/>
              <w:sz w:val="22"/>
              <w:lang w:eastAsia="de-DE"/>
            </w:rPr>
          </w:pPr>
          <w:hyperlink w:anchor="_Toc64985605" w:history="1">
            <w:r w:rsidRPr="0032013E">
              <w:rPr>
                <w:rStyle w:val="Hyperlink"/>
                <w:noProof/>
              </w:rPr>
              <w:t>2</w:t>
            </w:r>
            <w:r>
              <w:rPr>
                <w:rFonts w:asciiTheme="minorHAnsi" w:eastAsiaTheme="minorEastAsia" w:hAnsiTheme="minorHAnsi"/>
                <w:noProof/>
                <w:sz w:val="22"/>
                <w:lang w:eastAsia="de-DE"/>
              </w:rPr>
              <w:tab/>
            </w:r>
            <w:r w:rsidRPr="0032013E">
              <w:rPr>
                <w:rStyle w:val="Hyperlink"/>
                <w:noProof/>
              </w:rPr>
              <w:t>Eigenschaften</w:t>
            </w:r>
            <w:r>
              <w:rPr>
                <w:noProof/>
                <w:webHidden/>
              </w:rPr>
              <w:tab/>
            </w:r>
            <w:r>
              <w:rPr>
                <w:noProof/>
                <w:webHidden/>
              </w:rPr>
              <w:fldChar w:fldCharType="begin"/>
            </w:r>
            <w:r>
              <w:rPr>
                <w:noProof/>
                <w:webHidden/>
              </w:rPr>
              <w:instrText xml:space="preserve"> PAGEREF _Toc64985605 \h </w:instrText>
            </w:r>
            <w:r>
              <w:rPr>
                <w:noProof/>
                <w:webHidden/>
              </w:rPr>
            </w:r>
            <w:r>
              <w:rPr>
                <w:noProof/>
                <w:webHidden/>
              </w:rPr>
              <w:fldChar w:fldCharType="separate"/>
            </w:r>
            <w:r>
              <w:rPr>
                <w:noProof/>
                <w:webHidden/>
              </w:rPr>
              <w:t>2</w:t>
            </w:r>
            <w:r>
              <w:rPr>
                <w:noProof/>
                <w:webHidden/>
              </w:rPr>
              <w:fldChar w:fldCharType="end"/>
            </w:r>
          </w:hyperlink>
        </w:p>
        <w:p w14:paraId="004E291D" w14:textId="64727595" w:rsidR="008625A1" w:rsidRDefault="008625A1">
          <w:pPr>
            <w:pStyle w:val="Verzeichnis1"/>
            <w:tabs>
              <w:tab w:val="left" w:pos="480"/>
              <w:tab w:val="right" w:leader="dot" w:pos="9344"/>
            </w:tabs>
            <w:rPr>
              <w:rFonts w:asciiTheme="minorHAnsi" w:eastAsiaTheme="minorEastAsia" w:hAnsiTheme="minorHAnsi"/>
              <w:noProof/>
              <w:sz w:val="22"/>
              <w:lang w:eastAsia="de-DE"/>
            </w:rPr>
          </w:pPr>
          <w:hyperlink w:anchor="_Toc64985606" w:history="1">
            <w:r w:rsidRPr="0032013E">
              <w:rPr>
                <w:rStyle w:val="Hyperlink"/>
                <w:noProof/>
              </w:rPr>
              <w:t>3</w:t>
            </w:r>
            <w:r>
              <w:rPr>
                <w:rFonts w:asciiTheme="minorHAnsi" w:eastAsiaTheme="minorEastAsia" w:hAnsiTheme="minorHAnsi"/>
                <w:noProof/>
                <w:sz w:val="22"/>
                <w:lang w:eastAsia="de-DE"/>
              </w:rPr>
              <w:tab/>
            </w:r>
            <w:r w:rsidRPr="0032013E">
              <w:rPr>
                <w:rStyle w:val="Hyperlink"/>
                <w:noProof/>
              </w:rPr>
              <w:t>Technische Darstellung und Aufreinigung</w:t>
            </w:r>
            <w:r>
              <w:rPr>
                <w:noProof/>
                <w:webHidden/>
              </w:rPr>
              <w:tab/>
            </w:r>
            <w:r>
              <w:rPr>
                <w:noProof/>
                <w:webHidden/>
              </w:rPr>
              <w:fldChar w:fldCharType="begin"/>
            </w:r>
            <w:r>
              <w:rPr>
                <w:noProof/>
                <w:webHidden/>
              </w:rPr>
              <w:instrText xml:space="preserve"> PAGEREF _Toc64985606 \h </w:instrText>
            </w:r>
            <w:r>
              <w:rPr>
                <w:noProof/>
                <w:webHidden/>
              </w:rPr>
            </w:r>
            <w:r>
              <w:rPr>
                <w:noProof/>
                <w:webHidden/>
              </w:rPr>
              <w:fldChar w:fldCharType="separate"/>
            </w:r>
            <w:r>
              <w:rPr>
                <w:noProof/>
                <w:webHidden/>
              </w:rPr>
              <w:t>2</w:t>
            </w:r>
            <w:r>
              <w:rPr>
                <w:noProof/>
                <w:webHidden/>
              </w:rPr>
              <w:fldChar w:fldCharType="end"/>
            </w:r>
          </w:hyperlink>
        </w:p>
        <w:p w14:paraId="518BED0A" w14:textId="58F770FD" w:rsidR="008625A1" w:rsidRDefault="008625A1">
          <w:pPr>
            <w:pStyle w:val="Verzeichnis2"/>
            <w:tabs>
              <w:tab w:val="left" w:pos="880"/>
              <w:tab w:val="right" w:leader="dot" w:pos="9344"/>
            </w:tabs>
            <w:rPr>
              <w:rFonts w:asciiTheme="minorHAnsi" w:eastAsiaTheme="minorEastAsia" w:hAnsiTheme="minorHAnsi"/>
              <w:noProof/>
              <w:sz w:val="22"/>
              <w:lang w:eastAsia="de-DE"/>
            </w:rPr>
          </w:pPr>
          <w:hyperlink w:anchor="_Toc64985607" w:history="1">
            <w:r w:rsidRPr="0032013E">
              <w:rPr>
                <w:rStyle w:val="Hyperlink"/>
                <w:noProof/>
              </w:rPr>
              <w:t>3.1</w:t>
            </w:r>
            <w:r>
              <w:rPr>
                <w:rFonts w:asciiTheme="minorHAnsi" w:eastAsiaTheme="minorEastAsia" w:hAnsiTheme="minorHAnsi"/>
                <w:noProof/>
                <w:sz w:val="22"/>
                <w:lang w:eastAsia="de-DE"/>
              </w:rPr>
              <w:tab/>
            </w:r>
            <w:r w:rsidRPr="0032013E">
              <w:rPr>
                <w:rStyle w:val="Hyperlink"/>
                <w:noProof/>
              </w:rPr>
              <w:t>Darstellung in Hochtemperatur-Druckreaktoren</w:t>
            </w:r>
            <w:r>
              <w:rPr>
                <w:noProof/>
                <w:webHidden/>
              </w:rPr>
              <w:tab/>
            </w:r>
            <w:r>
              <w:rPr>
                <w:noProof/>
                <w:webHidden/>
              </w:rPr>
              <w:fldChar w:fldCharType="begin"/>
            </w:r>
            <w:r>
              <w:rPr>
                <w:noProof/>
                <w:webHidden/>
              </w:rPr>
              <w:instrText xml:space="preserve"> PAGEREF _Toc64985607 \h </w:instrText>
            </w:r>
            <w:r>
              <w:rPr>
                <w:noProof/>
                <w:webHidden/>
              </w:rPr>
            </w:r>
            <w:r>
              <w:rPr>
                <w:noProof/>
                <w:webHidden/>
              </w:rPr>
              <w:fldChar w:fldCharType="separate"/>
            </w:r>
            <w:r>
              <w:rPr>
                <w:noProof/>
                <w:webHidden/>
              </w:rPr>
              <w:t>2</w:t>
            </w:r>
            <w:r>
              <w:rPr>
                <w:noProof/>
                <w:webHidden/>
              </w:rPr>
              <w:fldChar w:fldCharType="end"/>
            </w:r>
          </w:hyperlink>
        </w:p>
        <w:p w14:paraId="0011789F" w14:textId="1F7D47AA" w:rsidR="008625A1" w:rsidRDefault="008625A1">
          <w:pPr>
            <w:pStyle w:val="Verzeichnis2"/>
            <w:tabs>
              <w:tab w:val="left" w:pos="880"/>
              <w:tab w:val="right" w:leader="dot" w:pos="9344"/>
            </w:tabs>
            <w:rPr>
              <w:rFonts w:asciiTheme="minorHAnsi" w:eastAsiaTheme="minorEastAsia" w:hAnsiTheme="minorHAnsi"/>
              <w:noProof/>
              <w:sz w:val="22"/>
              <w:lang w:eastAsia="de-DE"/>
            </w:rPr>
          </w:pPr>
          <w:hyperlink w:anchor="_Toc64985608" w:history="1">
            <w:r w:rsidRPr="0032013E">
              <w:rPr>
                <w:rStyle w:val="Hyperlink"/>
                <w:noProof/>
              </w:rPr>
              <w:t>3.2</w:t>
            </w:r>
            <w:r>
              <w:rPr>
                <w:rFonts w:asciiTheme="minorHAnsi" w:eastAsiaTheme="minorEastAsia" w:hAnsiTheme="minorHAnsi"/>
                <w:noProof/>
                <w:sz w:val="22"/>
                <w:lang w:eastAsia="de-DE"/>
              </w:rPr>
              <w:tab/>
            </w:r>
            <w:r w:rsidRPr="0032013E">
              <w:rPr>
                <w:rStyle w:val="Hyperlink"/>
                <w:noProof/>
              </w:rPr>
              <w:t>Aufreinigung mittels PUREx-Verfahren</w:t>
            </w:r>
            <w:r>
              <w:rPr>
                <w:noProof/>
                <w:webHidden/>
              </w:rPr>
              <w:tab/>
            </w:r>
            <w:r>
              <w:rPr>
                <w:noProof/>
                <w:webHidden/>
              </w:rPr>
              <w:fldChar w:fldCharType="begin"/>
            </w:r>
            <w:r>
              <w:rPr>
                <w:noProof/>
                <w:webHidden/>
              </w:rPr>
              <w:instrText xml:space="preserve"> PAGEREF _Toc64985608 \h </w:instrText>
            </w:r>
            <w:r>
              <w:rPr>
                <w:noProof/>
                <w:webHidden/>
              </w:rPr>
            </w:r>
            <w:r>
              <w:rPr>
                <w:noProof/>
                <w:webHidden/>
              </w:rPr>
              <w:fldChar w:fldCharType="separate"/>
            </w:r>
            <w:r>
              <w:rPr>
                <w:noProof/>
                <w:webHidden/>
              </w:rPr>
              <w:t>3</w:t>
            </w:r>
            <w:r>
              <w:rPr>
                <w:noProof/>
                <w:webHidden/>
              </w:rPr>
              <w:fldChar w:fldCharType="end"/>
            </w:r>
          </w:hyperlink>
        </w:p>
        <w:p w14:paraId="394D2169" w14:textId="52E2A209" w:rsidR="008625A1" w:rsidRDefault="008625A1">
          <w:pPr>
            <w:pStyle w:val="Verzeichnis1"/>
            <w:tabs>
              <w:tab w:val="left" w:pos="480"/>
              <w:tab w:val="right" w:leader="dot" w:pos="9344"/>
            </w:tabs>
            <w:rPr>
              <w:rFonts w:asciiTheme="minorHAnsi" w:eastAsiaTheme="minorEastAsia" w:hAnsiTheme="minorHAnsi"/>
              <w:noProof/>
              <w:sz w:val="22"/>
              <w:lang w:eastAsia="de-DE"/>
            </w:rPr>
          </w:pPr>
          <w:hyperlink w:anchor="_Toc64985609" w:history="1">
            <w:r w:rsidRPr="0032013E">
              <w:rPr>
                <w:rStyle w:val="Hyperlink"/>
                <w:noProof/>
              </w:rPr>
              <w:t>4</w:t>
            </w:r>
            <w:r>
              <w:rPr>
                <w:rFonts w:asciiTheme="minorHAnsi" w:eastAsiaTheme="minorEastAsia" w:hAnsiTheme="minorHAnsi"/>
                <w:noProof/>
                <w:sz w:val="22"/>
                <w:lang w:eastAsia="de-DE"/>
              </w:rPr>
              <w:tab/>
            </w:r>
            <w:r w:rsidRPr="0032013E">
              <w:rPr>
                <w:rStyle w:val="Hyperlink"/>
                <w:noProof/>
              </w:rPr>
              <w:t>Anwendung</w:t>
            </w:r>
            <w:r>
              <w:rPr>
                <w:noProof/>
                <w:webHidden/>
              </w:rPr>
              <w:tab/>
            </w:r>
            <w:r>
              <w:rPr>
                <w:noProof/>
                <w:webHidden/>
              </w:rPr>
              <w:fldChar w:fldCharType="begin"/>
            </w:r>
            <w:r>
              <w:rPr>
                <w:noProof/>
                <w:webHidden/>
              </w:rPr>
              <w:instrText xml:space="preserve"> PAGEREF _Toc64985609 \h </w:instrText>
            </w:r>
            <w:r>
              <w:rPr>
                <w:noProof/>
                <w:webHidden/>
              </w:rPr>
            </w:r>
            <w:r>
              <w:rPr>
                <w:noProof/>
                <w:webHidden/>
              </w:rPr>
              <w:fldChar w:fldCharType="separate"/>
            </w:r>
            <w:r>
              <w:rPr>
                <w:noProof/>
                <w:webHidden/>
              </w:rPr>
              <w:t>4</w:t>
            </w:r>
            <w:r>
              <w:rPr>
                <w:noProof/>
                <w:webHidden/>
              </w:rPr>
              <w:fldChar w:fldCharType="end"/>
            </w:r>
          </w:hyperlink>
        </w:p>
        <w:p w14:paraId="5AC765BB" w14:textId="60CB107D" w:rsidR="009B4835" w:rsidRDefault="009B4835">
          <w:r>
            <w:rPr>
              <w:b/>
              <w:bCs/>
            </w:rPr>
            <w:fldChar w:fldCharType="end"/>
          </w:r>
        </w:p>
      </w:sdtContent>
    </w:sdt>
    <w:p w14:paraId="523FB7AD" w14:textId="6295A619" w:rsidR="005554C8" w:rsidRDefault="00FD7888" w:rsidP="005554C8">
      <w:pPr>
        <w:pStyle w:val="EinstiegAbschluss"/>
      </w:pPr>
      <w:bookmarkStart w:id="1" w:name="_Überschrift_1"/>
      <w:bookmarkEnd w:id="1"/>
      <w:r w:rsidRPr="0029716A">
        <w:rPr>
          <w:rStyle w:val="Fett"/>
        </w:rPr>
        <w:t>Einstieg</w:t>
      </w:r>
      <w:r>
        <w:t>:</w:t>
      </w:r>
      <w:r w:rsidR="0029716A">
        <w:t xml:space="preserve"> </w:t>
      </w:r>
      <w:r w:rsidR="005554C8">
        <w:t xml:space="preserve">Am 9. August 1945 wird über Nagasaki die erste Plutonium-Bombe der Welt über bewohntem Gebiet abgeworfen. Ca. 73.000 Menschen sterben sofort, mehr als 100.000 sterben bis Jahresende an den Folgen der Explosion. </w:t>
      </w:r>
      <w:r w:rsidR="008625A1">
        <w:t>W</w:t>
      </w:r>
      <w:r w:rsidR="005554C8">
        <w:t xml:space="preserve">as Plutonium zu solch einem überaus gefährlichen Sprengstoff </w:t>
      </w:r>
      <w:r w:rsidR="008625A1">
        <w:t xml:space="preserve">macht </w:t>
      </w:r>
      <w:r w:rsidR="005554C8">
        <w:t xml:space="preserve">und welche </w:t>
      </w:r>
      <w:r w:rsidR="008625A1">
        <w:t>s</w:t>
      </w:r>
      <w:r w:rsidR="005554C8">
        <w:t xml:space="preserve">onstigen, möglicherweise nutzbaren, Eigenschaften </w:t>
      </w:r>
      <w:r w:rsidR="008625A1">
        <w:t xml:space="preserve">es </w:t>
      </w:r>
      <w:r w:rsidR="005554C8">
        <w:t xml:space="preserve">besitzt </w:t>
      </w:r>
      <w:r w:rsidR="008625A1">
        <w:t>ist Gegenstand dieses Beitrages.</w:t>
      </w:r>
    </w:p>
    <w:p w14:paraId="3D51DEDA" w14:textId="6A39A2BF" w:rsidR="00E8473B" w:rsidRDefault="005554C8" w:rsidP="008A524D">
      <w:pPr>
        <w:pStyle w:val="berschrift1"/>
      </w:pPr>
      <w:bookmarkStart w:id="2" w:name="_Toc64985604"/>
      <w:r>
        <w:t>Entdeckung</w:t>
      </w:r>
      <w:bookmarkEnd w:id="2"/>
    </w:p>
    <w:p w14:paraId="40255E51" w14:textId="48E75E83" w:rsidR="005554C8" w:rsidRDefault="005554C8" w:rsidP="005554C8">
      <w:pPr>
        <w:rPr>
          <w:rFonts w:cs="Arial"/>
        </w:rPr>
      </w:pPr>
      <w:r>
        <w:rPr>
          <w:rFonts w:cs="Arial"/>
        </w:rPr>
        <w:t xml:space="preserve">Glenn T. Seaborg und seine Forschungsgruppe beschossen 1940 </w:t>
      </w:r>
      <w:r>
        <w:rPr>
          <w:rFonts w:cs="Arial"/>
          <w:vertAlign w:val="superscript"/>
        </w:rPr>
        <w:t>238</w:t>
      </w:r>
      <w:r>
        <w:rPr>
          <w:rFonts w:cs="Arial"/>
        </w:rPr>
        <w:t xml:space="preserve">Uran mit Deuteron. Das dabei entstehende </w:t>
      </w:r>
      <w:r>
        <w:rPr>
          <w:rFonts w:cs="Arial"/>
          <w:vertAlign w:val="superscript"/>
        </w:rPr>
        <w:t>238</w:t>
      </w:r>
      <w:r>
        <w:rPr>
          <w:rFonts w:cs="Arial"/>
        </w:rPr>
        <w:t>Neptunium zerfiel innerhalb weniger Tage zu</w:t>
      </w:r>
      <w:r>
        <w:rPr>
          <w:rFonts w:cs="Arial"/>
          <w:vertAlign w:val="superscript"/>
        </w:rPr>
        <w:t xml:space="preserve"> 238</w:t>
      </w:r>
      <w:r>
        <w:rPr>
          <w:rFonts w:cs="Arial"/>
        </w:rPr>
        <w:t>Plutonium.</w:t>
      </w:r>
    </w:p>
    <w:p w14:paraId="6F219D75" w14:textId="72FC67D5" w:rsidR="005554C8" w:rsidRPr="005554C8" w:rsidRDefault="008625A1" w:rsidP="005554C8">
      <w:pPr>
        <w:pStyle w:val="Formeln"/>
        <w:rPr>
          <w:rFonts w:eastAsiaTheme="minorEastAsia"/>
        </w:rPr>
      </w:pPr>
      <m:oMathPara>
        <m:oMath>
          <m:sPre>
            <m:sPrePr>
              <m:ctrlPr>
                <w:rPr>
                  <w:rFonts w:ascii="Cambria Math" w:hAnsi="Cambria Math"/>
                </w:rPr>
              </m:ctrlPr>
            </m:sPrePr>
            <m:sub>
              <m:r>
                <m:rPr>
                  <m:nor/>
                </m:rPr>
                <m:t>92</m:t>
              </m:r>
            </m:sub>
            <m:sup>
              <m:r>
                <m:rPr>
                  <m:nor/>
                </m:rPr>
                <m:t>238</m:t>
              </m:r>
            </m:sup>
            <m:e>
              <m:r>
                <m:rPr>
                  <m:nor/>
                </m:rPr>
                <m:t>U</m:t>
              </m:r>
            </m:e>
          </m:sPre>
          <m:r>
            <m:rPr>
              <m:nor/>
            </m:rPr>
            <m:t xml:space="preserve"> + </m:t>
          </m:r>
          <m:sPre>
            <m:sPrePr>
              <m:ctrlPr>
                <w:rPr>
                  <w:rFonts w:ascii="Cambria Math" w:hAnsi="Cambria Math"/>
                </w:rPr>
              </m:ctrlPr>
            </m:sPrePr>
            <m:sub>
              <m:r>
                <m:rPr>
                  <m:nor/>
                </m:rPr>
                <m:t>1</m:t>
              </m:r>
            </m:sub>
            <m:sup>
              <m:r>
                <m:rPr>
                  <m:nor/>
                </m:rPr>
                <m:t>2</m:t>
              </m:r>
            </m:sup>
            <m:e>
              <m:r>
                <m:rPr>
                  <m:nor/>
                </m:rPr>
                <m:t>D</m:t>
              </m:r>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93</m:t>
              </m:r>
            </m:sub>
            <m:sup>
              <m:r>
                <m:rPr>
                  <m:nor/>
                </m:rPr>
                <m:t>238</m:t>
              </m:r>
            </m:sup>
            <m:e>
              <m:r>
                <m:rPr>
                  <m:nor/>
                </m:rPr>
                <m:t>Np</m:t>
              </m:r>
            </m:e>
          </m:sPre>
          <m:r>
            <m:rPr>
              <m:nor/>
            </m:rPr>
            <m:t xml:space="preserve"> + 2 </m:t>
          </m:r>
          <m:sPre>
            <m:sPrePr>
              <m:ctrlPr>
                <w:rPr>
                  <w:rFonts w:ascii="Cambria Math" w:hAnsi="Cambria Math"/>
                </w:rPr>
              </m:ctrlPr>
            </m:sPrePr>
            <m:sub>
              <m:r>
                <m:rPr>
                  <m:nor/>
                </m:rPr>
                <m:t>0</m:t>
              </m:r>
            </m:sub>
            <m:sup>
              <m:r>
                <m:rPr>
                  <m:nor/>
                </m:rPr>
                <m:t>1</m:t>
              </m:r>
            </m:sup>
            <m:e>
              <m:r>
                <m:rPr>
                  <m:nor/>
                </m:rPr>
                <m:t>n</m:t>
              </m:r>
            </m:e>
          </m:sPre>
        </m:oMath>
      </m:oMathPara>
    </w:p>
    <w:p w14:paraId="58283FBA" w14:textId="45A8F9C9" w:rsidR="005554C8" w:rsidRPr="005554C8" w:rsidRDefault="008625A1" w:rsidP="005554C8">
      <w:pPr>
        <w:pStyle w:val="Formeln"/>
      </w:pPr>
      <m:oMathPara>
        <m:oMath>
          <m:sPre>
            <m:sPrePr>
              <m:ctrlPr>
                <w:rPr>
                  <w:rFonts w:ascii="Cambria Math" w:hAnsi="Cambria Math"/>
                </w:rPr>
              </m:ctrlPr>
            </m:sPrePr>
            <m:sub>
              <m:r>
                <m:rPr>
                  <m:nor/>
                </m:rPr>
                <m:t>93</m:t>
              </m:r>
            </m:sub>
            <m:sup>
              <m:r>
                <m:rPr>
                  <m:nor/>
                </m:rPr>
                <m:t>238</m:t>
              </m:r>
            </m:sup>
            <m:e>
              <m:r>
                <m:rPr>
                  <m:nor/>
                </m:rPr>
                <m:t>Np</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sSup>
                    <m:sSupPr>
                      <m:ctrlPr>
                        <w:rPr>
                          <w:rFonts w:ascii="Cambria Math" w:hAnsi="Cambria Math"/>
                        </w:rPr>
                      </m:ctrlPr>
                    </m:sSupPr>
                    <m:e>
                      <m:r>
                        <m:rPr>
                          <m:nor/>
                        </m:rPr>
                        <m:t>β</m:t>
                      </m:r>
                    </m:e>
                    <m:sup>
                      <m:r>
                        <m:rPr>
                          <m:nor/>
                        </m:rPr>
                        <m:t>-</m:t>
                      </m:r>
                    </m:sup>
                  </m:sSup>
                  <m:r>
                    <m:rPr>
                      <m:nor/>
                    </m:rPr>
                    <m:t xml:space="preserve"> (2,117d)</m:t>
                  </m:r>
                </m:e>
              </m:groupChr>
            </m:e>
          </m:box>
          <m:r>
            <m:rPr>
              <m:nor/>
            </m:rPr>
            <m:t xml:space="preserve"> </m:t>
          </m:r>
          <m:sPre>
            <m:sPrePr>
              <m:ctrlPr>
                <w:rPr>
                  <w:rFonts w:ascii="Cambria Math" w:hAnsi="Cambria Math"/>
                </w:rPr>
              </m:ctrlPr>
            </m:sPrePr>
            <m:sub>
              <m:r>
                <m:rPr>
                  <m:nor/>
                </m:rPr>
                <m:t>94</m:t>
              </m:r>
            </m:sub>
            <m:sup>
              <m:r>
                <m:rPr>
                  <m:nor/>
                </m:rPr>
                <m:t>238</m:t>
              </m:r>
            </m:sup>
            <m:e>
              <m:r>
                <m:rPr>
                  <m:nor/>
                </m:rPr>
                <m:t>Pu</m:t>
              </m:r>
            </m:e>
          </m:sPre>
        </m:oMath>
      </m:oMathPara>
    </w:p>
    <w:p w14:paraId="4D0E681F" w14:textId="11D33F5A" w:rsidR="005554C8" w:rsidRDefault="005554C8" w:rsidP="005554C8">
      <w:pPr>
        <w:pStyle w:val="Beschriftung"/>
      </w:pPr>
      <w:r>
        <w:t xml:space="preserve">Abb. </w:t>
      </w:r>
      <w:fldSimple w:instr=" SEQ Abb. \* ARABIC ">
        <w:r w:rsidR="008625A1">
          <w:rPr>
            <w:noProof/>
          </w:rPr>
          <w:t>1</w:t>
        </w:r>
      </w:fldSimple>
      <w:r>
        <w:t xml:space="preserve">: Darstellung von </w:t>
      </w:r>
      <w:r>
        <w:rPr>
          <w:vertAlign w:val="superscript"/>
        </w:rPr>
        <w:t>238</w:t>
      </w:r>
      <w:r>
        <w:t>Pu</w:t>
      </w:r>
    </w:p>
    <w:p w14:paraId="50774977" w14:textId="11D2B157" w:rsidR="005554C8" w:rsidRDefault="005554C8" w:rsidP="005554C8">
      <w:r>
        <w:t xml:space="preserve">Ein zweites Isotop </w:t>
      </w:r>
      <w:proofErr w:type="spellStart"/>
      <w:r>
        <w:t>konnt</w:t>
      </w:r>
      <w:proofErr w:type="spellEnd"/>
      <w:r>
        <w:t xml:space="preserve"> </w:t>
      </w:r>
      <w:proofErr w:type="spellStart"/>
      <w:r>
        <w:t>duch</w:t>
      </w:r>
      <w:proofErr w:type="spellEnd"/>
      <w:r>
        <w:t xml:space="preserve"> Beschuss mit schnellen Neutronen erzeugt werden.</w:t>
      </w:r>
    </w:p>
    <w:p w14:paraId="1C23ECCC" w14:textId="18C2F217" w:rsidR="005554C8" w:rsidRPr="005554C8" w:rsidRDefault="008625A1" w:rsidP="005554C8">
      <w:pPr>
        <w:pStyle w:val="Formeln"/>
        <w:rPr>
          <w:rFonts w:eastAsiaTheme="minorEastAsia"/>
        </w:rPr>
      </w:pPr>
      <m:oMathPara>
        <m:oMath>
          <m:sPre>
            <m:sPrePr>
              <m:ctrlPr>
                <w:rPr>
                  <w:rFonts w:ascii="Cambria Math" w:hAnsi="Cambria Math"/>
                </w:rPr>
              </m:ctrlPr>
            </m:sPrePr>
            <m:sub>
              <m:r>
                <m:rPr>
                  <m:nor/>
                </m:rPr>
                <m:t>92</m:t>
              </m:r>
            </m:sub>
            <m:sup>
              <m:r>
                <m:rPr>
                  <m:nor/>
                </m:rPr>
                <m:t>238</m:t>
              </m:r>
            </m:sup>
            <m:e>
              <m:r>
                <m:rPr>
                  <m:nor/>
                </m:rPr>
                <m:t>U</m:t>
              </m:r>
            </m:e>
          </m:sPre>
          <m:r>
            <m:rPr>
              <m:nor/>
            </m:rPr>
            <m:t xml:space="preserve"> + </m:t>
          </m:r>
          <m:sPre>
            <m:sPrePr>
              <m:ctrlPr>
                <w:rPr>
                  <w:rFonts w:ascii="Cambria Math" w:hAnsi="Cambria Math"/>
                </w:rPr>
              </m:ctrlPr>
            </m:sPrePr>
            <m:sub>
              <m:r>
                <m:rPr>
                  <m:nor/>
                </m:rPr>
                <m:t>0</m:t>
              </m:r>
            </m:sub>
            <m:sup>
              <m:r>
                <m:rPr>
                  <m:nor/>
                </m:rPr>
                <m:t>1</m:t>
              </m:r>
            </m:sup>
            <m:e>
              <m:r>
                <m:rPr>
                  <m:nor/>
                </m:rPr>
                <m:t>n</m:t>
              </m:r>
            </m:e>
          </m:sPre>
          <m:r>
            <m:rPr>
              <m:nor/>
            </m:rPr>
            <m:t xml:space="preserve"> </m:t>
          </m:r>
          <m:r>
            <m:rPr>
              <m:nor/>
            </m:rPr>
            <w:rPr>
              <w:rFonts w:ascii="Cambria Math" w:hAnsi="Cambria Math" w:cs="Cambria Math"/>
            </w:rPr>
            <m:t>⟶</m:t>
          </m:r>
          <m:r>
            <m:rPr>
              <m:nor/>
            </m:rPr>
            <m:t xml:space="preserve"> </m:t>
          </m:r>
          <m:sPre>
            <m:sPrePr>
              <m:ctrlPr>
                <w:rPr>
                  <w:rFonts w:ascii="Cambria Math" w:hAnsi="Cambria Math"/>
                </w:rPr>
              </m:ctrlPr>
            </m:sPrePr>
            <m:sub>
              <m:r>
                <m:rPr>
                  <m:nor/>
                </m:rPr>
                <m:t>92</m:t>
              </m:r>
            </m:sub>
            <m:sup>
              <m:r>
                <m:rPr>
                  <m:nor/>
                </m:rPr>
                <m:t>239</m:t>
              </m:r>
            </m:sup>
            <m:e>
              <m:r>
                <m:rPr>
                  <m:nor/>
                </m:rPr>
                <m:t>U</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sSup>
                    <m:sSupPr>
                      <m:ctrlPr>
                        <w:rPr>
                          <w:rFonts w:ascii="Cambria Math" w:hAnsi="Cambria Math"/>
                        </w:rPr>
                      </m:ctrlPr>
                    </m:sSupPr>
                    <m:e>
                      <m:r>
                        <m:rPr>
                          <m:nor/>
                        </m:rPr>
                        <m:t>β</m:t>
                      </m:r>
                    </m:e>
                    <m:sup>
                      <m:r>
                        <m:rPr>
                          <m:nor/>
                        </m:rPr>
                        <m:t>-</m:t>
                      </m:r>
                    </m:sup>
                  </m:sSup>
                  <m:r>
                    <m:rPr>
                      <m:nor/>
                    </m:rPr>
                    <m:t xml:space="preserve"> (23,5min)</m:t>
                  </m:r>
                </m:e>
              </m:groupChr>
            </m:e>
          </m:box>
          <m:r>
            <m:rPr>
              <m:nor/>
            </m:rPr>
            <m:t xml:space="preserve"> </m:t>
          </m:r>
          <m:sPre>
            <m:sPrePr>
              <m:ctrlPr>
                <w:rPr>
                  <w:rFonts w:ascii="Cambria Math" w:hAnsi="Cambria Math"/>
                </w:rPr>
              </m:ctrlPr>
            </m:sPrePr>
            <m:sub>
              <m:r>
                <m:rPr>
                  <m:nor/>
                </m:rPr>
                <m:t>93</m:t>
              </m:r>
            </m:sub>
            <m:sup>
              <m:r>
                <m:rPr>
                  <m:nor/>
                </m:rPr>
                <m:t>239</m:t>
              </m:r>
            </m:sup>
            <m:e>
              <m:r>
                <m:rPr>
                  <m:nor/>
                </m:rPr>
                <m:t>Np</m:t>
              </m:r>
            </m:e>
          </m:sPre>
          <m:r>
            <m:rPr>
              <m:nor/>
            </m:rPr>
            <m:t xml:space="preserve"> </m:t>
          </m:r>
          <m:box>
            <m:boxPr>
              <m:opEmu m:val="1"/>
              <m:ctrlPr>
                <w:rPr>
                  <w:rFonts w:ascii="Cambria Math" w:hAnsi="Cambria Math"/>
                </w:rPr>
              </m:ctrlPr>
            </m:boxPr>
            <m:e>
              <m:groupChr>
                <m:groupChrPr>
                  <m:chr m:val="→"/>
                  <m:vertJc m:val="bot"/>
                  <m:ctrlPr>
                    <w:rPr>
                      <w:rFonts w:ascii="Cambria Math" w:hAnsi="Cambria Math"/>
                    </w:rPr>
                  </m:ctrlPr>
                </m:groupChrPr>
                <m:e>
                  <m:sSup>
                    <m:sSupPr>
                      <m:ctrlPr>
                        <w:rPr>
                          <w:rFonts w:ascii="Cambria Math" w:hAnsi="Cambria Math"/>
                        </w:rPr>
                      </m:ctrlPr>
                    </m:sSupPr>
                    <m:e>
                      <m:r>
                        <m:rPr>
                          <m:nor/>
                        </m:rPr>
                        <m:t>β</m:t>
                      </m:r>
                    </m:e>
                    <m:sup>
                      <m:r>
                        <m:rPr>
                          <m:nor/>
                        </m:rPr>
                        <m:t>-</m:t>
                      </m:r>
                    </m:sup>
                  </m:sSup>
                  <m:r>
                    <m:rPr>
                      <m:nor/>
                    </m:rPr>
                    <m:t xml:space="preserve"> (23536d)</m:t>
                  </m:r>
                </m:e>
              </m:groupChr>
            </m:e>
          </m:box>
          <m:r>
            <m:rPr>
              <m:nor/>
            </m:rPr>
            <m:t xml:space="preserve"> </m:t>
          </m:r>
          <m:sPre>
            <m:sPrePr>
              <m:ctrlPr>
                <w:rPr>
                  <w:rFonts w:ascii="Cambria Math" w:hAnsi="Cambria Math"/>
                </w:rPr>
              </m:ctrlPr>
            </m:sPrePr>
            <m:sub>
              <m:r>
                <m:rPr>
                  <m:nor/>
                </m:rPr>
                <m:t>94</m:t>
              </m:r>
            </m:sub>
            <m:sup>
              <m:r>
                <m:rPr>
                  <m:nor/>
                </m:rPr>
                <m:t>239</m:t>
              </m:r>
            </m:sup>
            <m:e>
              <m:r>
                <m:rPr>
                  <m:nor/>
                </m:rPr>
                <m:t>Pu</m:t>
              </m:r>
            </m:e>
          </m:sPre>
        </m:oMath>
      </m:oMathPara>
    </w:p>
    <w:p w14:paraId="09CE11C8" w14:textId="4BF4DFEC" w:rsidR="005554C8" w:rsidRDefault="005554C8" w:rsidP="005554C8">
      <w:pPr>
        <w:pStyle w:val="Beschriftung"/>
      </w:pPr>
      <w:r>
        <w:t xml:space="preserve">Abb. </w:t>
      </w:r>
      <w:fldSimple w:instr=" SEQ Abb. \* ARABIC ">
        <w:r w:rsidR="008625A1">
          <w:rPr>
            <w:noProof/>
          </w:rPr>
          <w:t>2</w:t>
        </w:r>
      </w:fldSimple>
      <w:r>
        <w:t xml:space="preserve">: Darstellung von </w:t>
      </w:r>
      <w:r>
        <w:rPr>
          <w:vertAlign w:val="superscript"/>
        </w:rPr>
        <w:t>239</w:t>
      </w:r>
      <w:r>
        <w:t>Pu</w:t>
      </w:r>
    </w:p>
    <w:p w14:paraId="50A4CF70" w14:textId="77777777" w:rsidR="005A26C3" w:rsidRDefault="005A26C3">
      <w:pPr>
        <w:spacing w:before="0"/>
        <w:jc w:val="left"/>
        <w:rPr>
          <w:rFonts w:asciiTheme="majorHAnsi" w:eastAsiaTheme="majorEastAsia" w:hAnsiTheme="majorHAnsi" w:cstheme="majorBidi"/>
          <w:b/>
          <w:sz w:val="32"/>
          <w:szCs w:val="32"/>
        </w:rPr>
      </w:pPr>
      <w:r>
        <w:br w:type="page"/>
      </w:r>
    </w:p>
    <w:p w14:paraId="0260BF30" w14:textId="6B7DB565" w:rsidR="005554C8" w:rsidRDefault="0039566D" w:rsidP="0039566D">
      <w:pPr>
        <w:pStyle w:val="berschrift1"/>
      </w:pPr>
      <w:bookmarkStart w:id="3" w:name="_Toc64985605"/>
      <w:r>
        <w:lastRenderedPageBreak/>
        <w:t>Eigenschaften</w:t>
      </w:r>
      <w:bookmarkEnd w:id="3"/>
    </w:p>
    <w:p w14:paraId="76029BBC" w14:textId="1C4CC3BD" w:rsidR="0039566D" w:rsidRDefault="0039566D" w:rsidP="0039566D">
      <w:pPr>
        <w:rPr>
          <w:rFonts w:cs="Arial"/>
        </w:rPr>
      </w:pPr>
      <w:r>
        <w:rPr>
          <w:rFonts w:cs="Arial"/>
        </w:rPr>
        <w:t>Plutonium ist ein silberfarbenes Metall mit hoher Dichte (19,86 g/cm</w:t>
      </w:r>
      <w:r>
        <w:rPr>
          <w:rFonts w:cs="Arial"/>
          <w:vertAlign w:val="superscript"/>
        </w:rPr>
        <w:t>3</w:t>
      </w:r>
      <w:r>
        <w:rPr>
          <w:rFonts w:cs="Arial"/>
        </w:rPr>
        <w:t>), welches je nach Herstellungsprozess entweder spröde oder duktil ist. Ähnlich wie Wasser dehnt es sich beim Erstarren aus, weist jedoch die höchste Viskosität aller Elemente im geschmolzenen Zustand auf. Plutonium wirkt stark reduzierend und reagiert bei Kontakt sofort mit dem Luft-Sauerstoff, sowie der in der Luft enthaltenen Feuchtigkeit. Es sind bei Normal-Druck 6 Kristall-Strukturen bekannt, sowie eine Hochdruck-Modifikation. Eine Abkühlung unter Raum-Temperatur führt zu einer Erhöhung des elektrischen Widerstands. Plutonium befindet sich bezüglich der Elektronen-Konfiguration an der Grenze zwischen Metallen und Nicht-Metallen und hat die sowohl die höchste Kern-Ladung wie auch die höchste Atom-Masse aller natürlich vorkommenden Elemente.</w:t>
      </w:r>
    </w:p>
    <w:p w14:paraId="5E9573B9" w14:textId="7AA3462B" w:rsidR="0039566D" w:rsidRDefault="0039566D" w:rsidP="0039566D">
      <w:pPr>
        <w:rPr>
          <w:rFonts w:cs="Arial"/>
        </w:rPr>
      </w:pPr>
      <w:r>
        <w:rPr>
          <w:rFonts w:cs="Arial"/>
        </w:rPr>
        <w:t xml:space="preserve">Plutonium ist stark </w:t>
      </w:r>
      <w:r w:rsidRPr="0039566D">
        <w:rPr>
          <w:rStyle w:val="Fett"/>
        </w:rPr>
        <w:t>RADIOAKTIV!</w:t>
      </w:r>
      <w:r>
        <w:rPr>
          <w:rFonts w:cs="Arial"/>
          <w:b/>
          <w:bCs/>
        </w:rPr>
        <w:t xml:space="preserve"> </w:t>
      </w:r>
      <w:r>
        <w:rPr>
          <w:rFonts w:cs="Arial"/>
        </w:rPr>
        <w:t xml:space="preserve">Durch die Selbst-Bestrahlung ändern sich die Eigenschaften dabei mit der Zeit drastisch (beispielsweise spröde/duktil). Zudem ist es </w:t>
      </w:r>
      <w:r w:rsidRPr="0039566D">
        <w:rPr>
          <w:rStyle w:val="Fett"/>
        </w:rPr>
        <w:t>extrem toxisch!</w:t>
      </w:r>
      <w:r>
        <w:rPr>
          <w:rFonts w:cs="Arial"/>
        </w:rPr>
        <w:t xml:space="preserve"> Es wird im Knochen-Mark eingelagert, wo durch die Strahlen-Schäden Krebs entsteht. Zur Verdeutlichung: die letale Dosis bei Hunden liegt bei 0,32 mg/kg Körper-Gewicht. Plutonium ist darüber hinaus mit schnellen Neutronen spaltbar, was es für den Einsatz in Kern-Kraftwerken und nuklearen Spreng-Köpfen nutzbar macht.</w:t>
      </w:r>
    </w:p>
    <w:p w14:paraId="64C7D209" w14:textId="6649314B" w:rsidR="0039566D" w:rsidRDefault="0039566D" w:rsidP="0039566D">
      <w:pPr>
        <w:pStyle w:val="berschrift1"/>
      </w:pPr>
      <w:bookmarkStart w:id="4" w:name="_Toc64985606"/>
      <w:r>
        <w:t>Technische Darstellung und Aufreinigung</w:t>
      </w:r>
      <w:bookmarkEnd w:id="4"/>
    </w:p>
    <w:p w14:paraId="77AF0811" w14:textId="0DF1D15E" w:rsidR="0039566D" w:rsidRDefault="0039566D" w:rsidP="0039566D">
      <w:pPr>
        <w:pStyle w:val="berschrift2"/>
      </w:pPr>
      <w:bookmarkStart w:id="5" w:name="_Toc64985607"/>
      <w:r>
        <w:t>Darstellung in Hochtemperatur-Druckreaktoren</w:t>
      </w:r>
      <w:bookmarkEnd w:id="5"/>
    </w:p>
    <w:p w14:paraId="10F9B6C7" w14:textId="48B4934C" w:rsidR="0039566D" w:rsidRDefault="0039566D" w:rsidP="0039566D">
      <w:pPr>
        <w:rPr>
          <w:rFonts w:cs="Arial"/>
        </w:rPr>
      </w:pPr>
      <w:r>
        <w:rPr>
          <w:rFonts w:cs="Arial"/>
        </w:rPr>
        <w:t>Großtechnisch wird Plutonium in sog. „Brutreaktoren" gewonnen. Hierbei handelt es sich um Hochtemperatur-Druckreaktoren, die mit flüssigem Natrium als Kühlmittel arbeiten. Das in herkömmlichen Siedewasser-Reaktoren verwendete Wasser würde die Neutronen abbremsen und so den Prozess stoppen. Als Moderatoren werden in diesem Reaktortyp Stäbe aus Bor-Stahl eingesetzt.</w:t>
      </w:r>
    </w:p>
    <w:p w14:paraId="52839889" w14:textId="49984506" w:rsidR="0039566D" w:rsidRDefault="0039566D" w:rsidP="0039566D">
      <w:pPr>
        <w:rPr>
          <w:rFonts w:cs="Arial"/>
        </w:rPr>
      </w:pPr>
      <w:r>
        <w:rPr>
          <w:rFonts w:cs="Arial"/>
        </w:rPr>
        <w:t>Ähnlich wie bei Siedewasser-Reaktoren besitzen Hochtemperatur-Druckreaktoren mehrere Kreisläufe, um das Austreten von Radioaktivität zu verhindern. Erst der letzte Wasser-Kreislauf dient der Strom-Gewinnung mittels durch Dampf angetriebener, und an einen Generator angeschlossener Turbinen.</w:t>
      </w:r>
    </w:p>
    <w:p w14:paraId="719CDDFB" w14:textId="42A5AB89" w:rsidR="0039566D" w:rsidRDefault="0039566D" w:rsidP="0039566D">
      <w:pPr>
        <w:pStyle w:val="Formeln"/>
      </w:pPr>
      <w:r>
        <w:rPr>
          <w:noProof/>
          <w:lang w:eastAsia="de-DE"/>
        </w:rPr>
        <w:drawing>
          <wp:inline distT="0" distB="0" distL="0" distR="0" wp14:anchorId="69A25BB1" wp14:editId="58DD06C6">
            <wp:extent cx="5400000" cy="2584148"/>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00" cy="2584148"/>
                    </a:xfrm>
                    <a:prstGeom prst="rect">
                      <a:avLst/>
                    </a:prstGeom>
                    <a:noFill/>
                    <a:ln>
                      <a:noFill/>
                    </a:ln>
                  </pic:spPr>
                </pic:pic>
              </a:graphicData>
            </a:graphic>
          </wp:inline>
        </w:drawing>
      </w:r>
    </w:p>
    <w:p w14:paraId="68B2784A" w14:textId="3501CD83" w:rsidR="0039566D" w:rsidRDefault="0039566D" w:rsidP="0039566D">
      <w:pPr>
        <w:pStyle w:val="Beschriftung"/>
      </w:pPr>
      <w:r>
        <w:t xml:space="preserve">Abb. </w:t>
      </w:r>
      <w:fldSimple w:instr=" SEQ Abb. \* ARABIC ">
        <w:r w:rsidR="008625A1">
          <w:rPr>
            <w:noProof/>
          </w:rPr>
          <w:t>3</w:t>
        </w:r>
      </w:fldSimple>
      <w:r>
        <w:t>: Schema Brutreaktor [</w:t>
      </w:r>
      <w:r>
        <w:fldChar w:fldCharType="begin"/>
      </w:r>
      <w:r>
        <w:instrText xml:space="preserve"> REF _Ref57271815 \r \h </w:instrText>
      </w:r>
      <w:r>
        <w:fldChar w:fldCharType="separate"/>
      </w:r>
      <w:r w:rsidR="008625A1">
        <w:t>2</w:t>
      </w:r>
      <w:r>
        <w:fldChar w:fldCharType="end"/>
      </w:r>
      <w:r>
        <w:t>]</w:t>
      </w:r>
    </w:p>
    <w:p w14:paraId="344508EA" w14:textId="77777777" w:rsidR="0039566D" w:rsidRDefault="0039566D" w:rsidP="0039566D">
      <w:r>
        <w:t xml:space="preserve">Die verwendeten Brennstäbe lassen sich in unterschiedliche Bereiche gliedern: </w:t>
      </w:r>
    </w:p>
    <w:p w14:paraId="5773C523" w14:textId="128AFEC2" w:rsidR="0039566D" w:rsidRDefault="0039566D" w:rsidP="0039566D">
      <w:r>
        <w:t>In der Mantel-Zone laufen die „Brutreaktionen" ab, es entsteht also Plutonium. In der Kern-Zone (Spaltungszone) laufen die Spalt-Prozesse ab, die die Neutronen für die Brut-Prozesse liefern.</w:t>
      </w:r>
    </w:p>
    <w:p w14:paraId="5B3E0BDC" w14:textId="76D4B2FE" w:rsidR="0039566D" w:rsidRDefault="0039566D" w:rsidP="0039566D">
      <w:pPr>
        <w:pStyle w:val="Bilder"/>
      </w:pPr>
      <w:r>
        <w:rPr>
          <w:lang w:eastAsia="de-DE"/>
        </w:rPr>
        <w:lastRenderedPageBreak/>
        <w:drawing>
          <wp:inline distT="0" distB="0" distL="0" distR="0" wp14:anchorId="759CFF1E" wp14:editId="1F533096">
            <wp:extent cx="2689933"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9933" cy="1800000"/>
                    </a:xfrm>
                    <a:prstGeom prst="rect">
                      <a:avLst/>
                    </a:prstGeom>
                    <a:noFill/>
                    <a:ln>
                      <a:noFill/>
                    </a:ln>
                  </pic:spPr>
                </pic:pic>
              </a:graphicData>
            </a:graphic>
          </wp:inline>
        </w:drawing>
      </w:r>
    </w:p>
    <w:p w14:paraId="58E3A5B8" w14:textId="206AD07B" w:rsidR="0039566D" w:rsidRDefault="0039566D" w:rsidP="0039566D">
      <w:pPr>
        <w:pStyle w:val="Beschriftung"/>
      </w:pPr>
      <w:r>
        <w:t xml:space="preserve">Abb. </w:t>
      </w:r>
      <w:fldSimple w:instr=" SEQ Abb. \* ARABIC ">
        <w:r w:rsidR="008625A1">
          <w:rPr>
            <w:noProof/>
          </w:rPr>
          <w:t>4</w:t>
        </w:r>
      </w:fldSimple>
      <w:r>
        <w:t>: Schema Brennelement-Zonen</w:t>
      </w:r>
    </w:p>
    <w:p w14:paraId="5C7B0F70" w14:textId="2355DAA0" w:rsidR="0039566D" w:rsidRDefault="0039566D" w:rsidP="0039566D">
      <w:pPr>
        <w:rPr>
          <w:rFonts w:cs="Arial"/>
        </w:rPr>
      </w:pPr>
      <w:r>
        <w:rPr>
          <w:rFonts w:cs="Arial"/>
        </w:rPr>
        <w:t xml:space="preserve">Im Betrieb entstehen sowohl Spalt-Produkte als auch die gewünschten Plutonium-Isotope. Für den militärischen Einsatz wird </w:t>
      </w:r>
      <w:r>
        <w:rPr>
          <w:rFonts w:cs="Arial"/>
          <w:vertAlign w:val="superscript"/>
        </w:rPr>
        <w:t>239</w:t>
      </w:r>
      <w:r>
        <w:rPr>
          <w:rFonts w:cs="Arial"/>
        </w:rPr>
        <w:t xml:space="preserve">Pu benötigt. Ist der Anteil an </w:t>
      </w:r>
      <w:r>
        <w:rPr>
          <w:rFonts w:cs="Arial"/>
          <w:vertAlign w:val="superscript"/>
        </w:rPr>
        <w:t>240</w:t>
      </w:r>
      <w:r>
        <w:rPr>
          <w:rFonts w:cs="Arial"/>
        </w:rPr>
        <w:t xml:space="preserve">Pu kleiner als 7% spricht man von waffenfähigem Plutonium. Um den Anteil der zu schweren Isotope möglichst gering zu halten darf die Reaktion nicht zu lange laufen, weswegen Brutreaktoren die Möglichkeit bieten, die Brennstäbe auch bei laufendem Betrieb zu entnehmen, und so den Anteil an </w:t>
      </w:r>
      <w:r>
        <w:rPr>
          <w:rFonts w:cs="Arial"/>
          <w:vertAlign w:val="superscript"/>
        </w:rPr>
        <w:t>240</w:t>
      </w:r>
      <w:r>
        <w:rPr>
          <w:rFonts w:cs="Arial"/>
        </w:rPr>
        <w:t>Pu zu kontrollieren. Zusätzlich besteht jedoch trotzdem die Notwendigkeit der Aufreinigung, um Rein-Elemente zu erhalten.</w:t>
      </w:r>
    </w:p>
    <w:p w14:paraId="2FB0E30C" w14:textId="23542C3B" w:rsidR="0039566D" w:rsidRDefault="0039566D" w:rsidP="0039566D">
      <w:pPr>
        <w:pStyle w:val="berschrift2"/>
      </w:pPr>
      <w:bookmarkStart w:id="6" w:name="_Toc64985608"/>
      <w:r>
        <w:t xml:space="preserve">Aufreinigung mittels </w:t>
      </w:r>
      <w:proofErr w:type="spellStart"/>
      <w:r>
        <w:t>PUREx</w:t>
      </w:r>
      <w:proofErr w:type="spellEnd"/>
      <w:r>
        <w:t>-Verfahren</w:t>
      </w:r>
      <w:bookmarkEnd w:id="6"/>
    </w:p>
    <w:p w14:paraId="6F3197FE" w14:textId="3ED2BC58" w:rsidR="0039566D" w:rsidRPr="008625A1" w:rsidRDefault="0039566D" w:rsidP="0039566D">
      <w:pPr>
        <w:rPr>
          <w:rFonts w:cs="Arial"/>
          <w:lang w:val="en-US"/>
        </w:rPr>
      </w:pPr>
      <w:proofErr w:type="spellStart"/>
      <w:r w:rsidRPr="008625A1">
        <w:rPr>
          <w:rFonts w:cs="Arial"/>
          <w:lang w:val="en-US"/>
        </w:rPr>
        <w:t>PUREx</w:t>
      </w:r>
      <w:proofErr w:type="spellEnd"/>
      <w:r w:rsidRPr="008625A1">
        <w:rPr>
          <w:rFonts w:cs="Arial"/>
          <w:lang w:val="en-US"/>
        </w:rPr>
        <w:t xml:space="preserve"> </w:t>
      </w:r>
      <w:proofErr w:type="spellStart"/>
      <w:r w:rsidRPr="008625A1">
        <w:rPr>
          <w:rFonts w:cs="Arial"/>
          <w:lang w:val="en-US"/>
        </w:rPr>
        <w:t>steht</w:t>
      </w:r>
      <w:proofErr w:type="spellEnd"/>
      <w:r w:rsidRPr="008625A1">
        <w:rPr>
          <w:rFonts w:cs="Arial"/>
          <w:lang w:val="en-US"/>
        </w:rPr>
        <w:t xml:space="preserve"> </w:t>
      </w:r>
      <w:proofErr w:type="spellStart"/>
      <w:r w:rsidRPr="008625A1">
        <w:rPr>
          <w:rFonts w:cs="Arial"/>
          <w:lang w:val="en-US"/>
        </w:rPr>
        <w:t>für</w:t>
      </w:r>
      <w:proofErr w:type="spellEnd"/>
      <w:r w:rsidRPr="008625A1">
        <w:rPr>
          <w:rFonts w:cs="Arial"/>
          <w:lang w:val="en-US"/>
        </w:rPr>
        <w:t xml:space="preserve"> </w:t>
      </w:r>
      <w:r w:rsidRPr="008625A1">
        <w:rPr>
          <w:rStyle w:val="Fett"/>
          <w:lang w:val="en-US"/>
        </w:rPr>
        <w:t>P</w:t>
      </w:r>
      <w:r w:rsidRPr="008625A1">
        <w:rPr>
          <w:rFonts w:cs="Arial"/>
          <w:lang w:val="en-US"/>
        </w:rPr>
        <w:t>lutonium-</w:t>
      </w:r>
      <w:r w:rsidRPr="008625A1">
        <w:rPr>
          <w:rStyle w:val="Fett"/>
          <w:lang w:val="en-US"/>
        </w:rPr>
        <w:t>U</w:t>
      </w:r>
      <w:r w:rsidRPr="008625A1">
        <w:rPr>
          <w:rFonts w:cs="Arial"/>
          <w:lang w:val="en-US"/>
        </w:rPr>
        <w:t>ranium-</w:t>
      </w:r>
      <w:r w:rsidRPr="008625A1">
        <w:rPr>
          <w:rStyle w:val="Fett"/>
          <w:lang w:val="en-US"/>
        </w:rPr>
        <w:t>R</w:t>
      </w:r>
      <w:r w:rsidRPr="008625A1">
        <w:rPr>
          <w:rFonts w:cs="Arial"/>
          <w:lang w:val="en-US"/>
        </w:rPr>
        <w:t>ecovery-</w:t>
      </w:r>
      <w:r w:rsidRPr="008625A1">
        <w:rPr>
          <w:rStyle w:val="Fett"/>
          <w:lang w:val="en-US"/>
        </w:rPr>
        <w:t>Ex</w:t>
      </w:r>
      <w:r w:rsidRPr="008625A1">
        <w:rPr>
          <w:rFonts w:cs="Arial"/>
          <w:lang w:val="en-US"/>
        </w:rPr>
        <w:t>traction.</w:t>
      </w:r>
    </w:p>
    <w:p w14:paraId="35905D14" w14:textId="3EFBF2E6" w:rsidR="0039566D" w:rsidRDefault="0039566D" w:rsidP="0039566D">
      <w:pPr>
        <w:rPr>
          <w:rFonts w:cs="Arial"/>
        </w:rPr>
      </w:pPr>
      <w:r>
        <w:rPr>
          <w:rFonts w:cs="Arial"/>
        </w:rPr>
        <w:t>Zunächst werden die Brennstäbe in ca. 5 cm lange Stücke zersägt und in siedende Salpetersäure gegeben. Es entstehen Uranylnitrat UO</w:t>
      </w:r>
      <w:r>
        <w:rPr>
          <w:rFonts w:cs="Arial"/>
          <w:vertAlign w:val="subscript"/>
        </w:rPr>
        <w:t>2</w:t>
      </w:r>
      <w:r>
        <w:rPr>
          <w:rFonts w:cs="Arial"/>
        </w:rPr>
        <w:t>(NO</w:t>
      </w:r>
      <w:r>
        <w:rPr>
          <w:rFonts w:cs="Arial"/>
          <w:vertAlign w:val="subscript"/>
        </w:rPr>
        <w:t>3</w:t>
      </w:r>
      <w:r>
        <w:rPr>
          <w:rFonts w:cs="Arial"/>
        </w:rPr>
        <w:t>)</w:t>
      </w:r>
      <w:r>
        <w:rPr>
          <w:rFonts w:cs="Arial"/>
          <w:vertAlign w:val="subscript"/>
        </w:rPr>
        <w:t>2</w:t>
      </w:r>
      <w:r>
        <w:rPr>
          <w:rFonts w:cs="Arial"/>
        </w:rPr>
        <w:t>, Plutonium(IV)-Nitrat Pu(NO</w:t>
      </w:r>
      <w:r>
        <w:rPr>
          <w:rFonts w:cs="Arial"/>
          <w:vertAlign w:val="subscript"/>
        </w:rPr>
        <w:t>3</w:t>
      </w:r>
      <w:r>
        <w:rPr>
          <w:rFonts w:cs="Arial"/>
        </w:rPr>
        <w:t>)</w:t>
      </w:r>
      <w:r>
        <w:rPr>
          <w:rFonts w:cs="Arial"/>
          <w:vertAlign w:val="subscript"/>
        </w:rPr>
        <w:t xml:space="preserve">4 </w:t>
      </w:r>
      <w:r>
        <w:rPr>
          <w:rFonts w:cs="Arial"/>
        </w:rPr>
        <w:t>, sowie die Nitrate der Spalt-Produkte und Aktiniden.</w:t>
      </w:r>
    </w:p>
    <w:p w14:paraId="62A235B3" w14:textId="0757C590" w:rsidR="0039566D" w:rsidRDefault="0039566D" w:rsidP="0039566D">
      <w:pPr>
        <w:rPr>
          <w:rFonts w:cs="Arial"/>
        </w:rPr>
      </w:pPr>
      <w:r>
        <w:rPr>
          <w:rFonts w:cs="Arial"/>
        </w:rPr>
        <w:t>Die Abtrennung der Spalt-Produkte und Aktiniden erfolgt mithilfe des Extraktionsmittels TBP 30 (</w:t>
      </w:r>
      <w:proofErr w:type="spellStart"/>
      <w:r>
        <w:rPr>
          <w:rFonts w:cs="Arial"/>
        </w:rPr>
        <w:t>Tri</w:t>
      </w:r>
      <w:proofErr w:type="spellEnd"/>
      <w:r>
        <w:rPr>
          <w:rFonts w:cs="Arial"/>
        </w:rPr>
        <w:t>-n-Butyl-Phosphat, verdünnt mit 70% Kerosin), welches in Anwesenheit von Salpetersäure die Nitrate des Plutoniums und Urans unter Komplex-Bildung löst. Die Nitrate der Spalt-Produkte und Aktiniden verbleiben dagegen in der wässrigen Phase. Durch Abtrennung der organischen Phase können so Uran und Plutonium abgetrennt werden. Durch mehrmaliges hintereinanderschalten dieses Prozesses wird eine möglichst vollständige Trennung von Plutonium und Uran von den Spalt-Produkten und Aktiniden erreicht.</w:t>
      </w:r>
    </w:p>
    <w:p w14:paraId="4D42DCFC" w14:textId="3924DE97" w:rsidR="0039566D" w:rsidRDefault="0039566D" w:rsidP="0039566D">
      <w:pPr>
        <w:pStyle w:val="Bilder"/>
      </w:pPr>
      <w:r>
        <w:rPr>
          <w:lang w:eastAsia="de-DE"/>
        </w:rPr>
        <w:drawing>
          <wp:inline distT="0" distB="0" distL="0" distR="0" wp14:anchorId="06216A1C" wp14:editId="5EE46F06">
            <wp:extent cx="3268035" cy="2880000"/>
            <wp:effectExtent l="0" t="0" r="889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8035" cy="2880000"/>
                    </a:xfrm>
                    <a:prstGeom prst="rect">
                      <a:avLst/>
                    </a:prstGeom>
                    <a:noFill/>
                    <a:ln>
                      <a:noFill/>
                    </a:ln>
                  </pic:spPr>
                </pic:pic>
              </a:graphicData>
            </a:graphic>
          </wp:inline>
        </w:drawing>
      </w:r>
    </w:p>
    <w:p w14:paraId="567C2736" w14:textId="362EE6DD" w:rsidR="0039566D" w:rsidRDefault="0039566D" w:rsidP="0039566D">
      <w:pPr>
        <w:pStyle w:val="Beschriftung"/>
      </w:pPr>
      <w:r>
        <w:t xml:space="preserve">Abb. </w:t>
      </w:r>
      <w:fldSimple w:instr=" SEQ Abb. \* ARABIC ">
        <w:r w:rsidR="008625A1">
          <w:rPr>
            <w:noProof/>
          </w:rPr>
          <w:t>5</w:t>
        </w:r>
      </w:fldSimple>
      <w:r>
        <w:t xml:space="preserve">: Schema des </w:t>
      </w:r>
      <w:proofErr w:type="spellStart"/>
      <w:r>
        <w:t>PUREx</w:t>
      </w:r>
      <w:proofErr w:type="spellEnd"/>
      <w:r>
        <w:t>-Prozesses [</w:t>
      </w:r>
      <w:r>
        <w:fldChar w:fldCharType="begin"/>
      </w:r>
      <w:r>
        <w:instrText xml:space="preserve"> REF _Ref57272050 \r \h </w:instrText>
      </w:r>
      <w:r>
        <w:fldChar w:fldCharType="separate"/>
      </w:r>
      <w:r w:rsidR="008625A1">
        <w:t>7</w:t>
      </w:r>
      <w:r>
        <w:fldChar w:fldCharType="end"/>
      </w:r>
      <w:r>
        <w:t>]</w:t>
      </w:r>
    </w:p>
    <w:p w14:paraId="20BC2E9E" w14:textId="54D2D27F" w:rsidR="0039566D" w:rsidRDefault="0039566D" w:rsidP="0039566D">
      <w:pPr>
        <w:pStyle w:val="berschrift1"/>
      </w:pPr>
      <w:bookmarkStart w:id="7" w:name="_Toc64985609"/>
      <w:r>
        <w:t>Anwendung</w:t>
      </w:r>
      <w:bookmarkEnd w:id="7"/>
    </w:p>
    <w:p w14:paraId="36E24441" w14:textId="67BA8393" w:rsidR="0039566D" w:rsidRDefault="0039566D" w:rsidP="0039566D">
      <w:pPr>
        <w:rPr>
          <w:rFonts w:cs="Arial"/>
        </w:rPr>
      </w:pPr>
      <w:r>
        <w:rPr>
          <w:rFonts w:cs="Arial"/>
        </w:rPr>
        <w:t>Plutonium wird zivil in Kern-Reaktoren als Brennstoff zur Energie-Gewinnung, und militärisch in nuklearen Spreng-Köpfen eingesetzt. In zivilen Kern-Reaktoren wird jedoch kein reines Plutonium eingesetzt, sondern Brennstäbe mit unterschiedlichen Misch-Verhältnissen von Uranoxid und Plutoniumoxid, sogenannte MOX-Brennelemente. Laut Nuklearforum Schweiz beträgt dabei der Anteil an Plutoniumoxid zwischen 7% und 8%.</w:t>
      </w:r>
    </w:p>
    <w:p w14:paraId="7956899F" w14:textId="5E466F3C" w:rsidR="0039566D" w:rsidRDefault="0039566D" w:rsidP="0039566D">
      <w:pPr>
        <w:rPr>
          <w:rFonts w:cs="Arial"/>
        </w:rPr>
      </w:pPr>
      <w:r>
        <w:rPr>
          <w:rFonts w:cs="Arial"/>
        </w:rPr>
        <w:t>Zur militärischen Anwendung benötigt man hochreines</w:t>
      </w:r>
      <w:r>
        <w:rPr>
          <w:rFonts w:cs="Arial"/>
          <w:vertAlign w:val="superscript"/>
        </w:rPr>
        <w:t xml:space="preserve"> 239</w:t>
      </w:r>
      <w:r>
        <w:rPr>
          <w:rFonts w:cs="Arial"/>
        </w:rPr>
        <w:t xml:space="preserve">Pu, sog. waffenfähiges Plutonium. Allein die USA besitzen über 100 Tonnen. Russland, als alleiniger Halter des Plutoniums der ehemaligen UdSSR soll ähnliche Mengen besitzen. Aufgrund des nicht vermeidbaren Anteils an </w:t>
      </w:r>
      <w:r>
        <w:rPr>
          <w:rFonts w:cs="Arial"/>
          <w:vertAlign w:val="superscript"/>
        </w:rPr>
        <w:t>240</w:t>
      </w:r>
      <w:r>
        <w:rPr>
          <w:rFonts w:cs="Arial"/>
        </w:rPr>
        <w:t>Pu, welcher bei der Darstellung in Brutreaktoren auf unter 7% gebracht wird, sind nukleare Sprengköpfe die mit diesem Spaltstoff arbeiten, auf das Implosionsdesign beschränkt. Hierbei befindet sich das spaltbare Material meist in Form einer Hohlkugel (</w:t>
      </w:r>
      <w:r>
        <w:rPr>
          <w:rFonts w:cs="Arial"/>
          <w:color w:val="FF00FF" w:themeColor="accent4"/>
        </w:rPr>
        <w:fldChar w:fldCharType="begin"/>
      </w:r>
      <w:r>
        <w:rPr>
          <w:rFonts w:cs="Arial"/>
        </w:rPr>
        <w:instrText xml:space="preserve"> REF _Ref57272230 \h </w:instrText>
      </w:r>
      <w:r>
        <w:rPr>
          <w:rFonts w:cs="Arial"/>
          <w:color w:val="FF00FF" w:themeColor="accent4"/>
        </w:rPr>
      </w:r>
      <w:r>
        <w:rPr>
          <w:rFonts w:cs="Arial"/>
          <w:color w:val="FF00FF" w:themeColor="accent4"/>
        </w:rPr>
        <w:fldChar w:fldCharType="separate"/>
      </w:r>
      <w:r w:rsidR="008625A1">
        <w:t xml:space="preserve">Abb. </w:t>
      </w:r>
      <w:r w:rsidR="008625A1">
        <w:rPr>
          <w:noProof/>
        </w:rPr>
        <w:t>6</w:t>
      </w:r>
      <w:r>
        <w:rPr>
          <w:rFonts w:cs="Arial"/>
          <w:color w:val="FF00FF" w:themeColor="accent4"/>
        </w:rPr>
        <w:fldChar w:fldCharType="end"/>
      </w:r>
      <w:r>
        <w:rPr>
          <w:rFonts w:cs="Arial"/>
        </w:rPr>
        <w:t xml:space="preserve">, beide blauen Ringe) innerhalb einer Anordnung herkömmlicher Sprengsätze (beispielsweise TNT, </w:t>
      </w:r>
      <w:r>
        <w:rPr>
          <w:rFonts w:cs="Arial"/>
          <w:color w:val="FF00FF" w:themeColor="accent4"/>
        </w:rPr>
        <w:fldChar w:fldCharType="begin"/>
      </w:r>
      <w:r>
        <w:rPr>
          <w:rFonts w:cs="Arial"/>
        </w:rPr>
        <w:instrText xml:space="preserve"> REF _Ref57272230 \h </w:instrText>
      </w:r>
      <w:r>
        <w:rPr>
          <w:rFonts w:cs="Arial"/>
          <w:color w:val="FF00FF" w:themeColor="accent4"/>
        </w:rPr>
      </w:r>
      <w:r>
        <w:rPr>
          <w:rFonts w:cs="Arial"/>
          <w:color w:val="FF00FF" w:themeColor="accent4"/>
        </w:rPr>
        <w:fldChar w:fldCharType="separate"/>
      </w:r>
      <w:r w:rsidR="008625A1">
        <w:t xml:space="preserve">Abb. </w:t>
      </w:r>
      <w:r w:rsidR="008625A1">
        <w:rPr>
          <w:noProof/>
        </w:rPr>
        <w:t>6</w:t>
      </w:r>
      <w:r>
        <w:rPr>
          <w:rFonts w:cs="Arial"/>
          <w:color w:val="FF00FF" w:themeColor="accent4"/>
        </w:rPr>
        <w:fldChar w:fldCharType="end"/>
      </w:r>
      <w:r>
        <w:rPr>
          <w:rFonts w:cs="Arial"/>
        </w:rPr>
        <w:t>, braune Rechtecke außen), deren Explosionswirkung nach innen, also in Richtung Plutonium-Hohlkugel gerichtet ist. Aufgrund der geometrischen Form der Hohlkugel erreicht der Spaltstoff dabei seine kritische Masse (noch) nicht. Durch gleichzeitige Zündung der Explosivstoffe wird die Hohlkugel verdichtet, die kritische Masse wird erreicht und es kommt zur Kern-Spaltung und demzufolge Detonation des Sprengkopfes. Um eine möglichst vollständige Detonation des Spaltstoffes zu erreichen werden zusätzlich Neutronen-Reflektoren (</w:t>
      </w:r>
      <w:r>
        <w:rPr>
          <w:rFonts w:cs="Arial"/>
          <w:color w:val="FF00FF" w:themeColor="accent4"/>
        </w:rPr>
        <w:fldChar w:fldCharType="begin"/>
      </w:r>
      <w:r>
        <w:rPr>
          <w:rFonts w:cs="Arial"/>
        </w:rPr>
        <w:instrText xml:space="preserve"> REF _Ref57272230 \h </w:instrText>
      </w:r>
      <w:r>
        <w:rPr>
          <w:rFonts w:cs="Arial"/>
          <w:color w:val="FF00FF" w:themeColor="accent4"/>
        </w:rPr>
      </w:r>
      <w:r>
        <w:rPr>
          <w:rFonts w:cs="Arial"/>
          <w:color w:val="FF00FF" w:themeColor="accent4"/>
        </w:rPr>
        <w:fldChar w:fldCharType="separate"/>
      </w:r>
      <w:r w:rsidR="008625A1">
        <w:t xml:space="preserve">Abb. </w:t>
      </w:r>
      <w:r w:rsidR="008625A1">
        <w:rPr>
          <w:noProof/>
        </w:rPr>
        <w:t>6</w:t>
      </w:r>
      <w:r>
        <w:rPr>
          <w:rFonts w:cs="Arial"/>
          <w:color w:val="FF00FF" w:themeColor="accent4"/>
        </w:rPr>
        <w:fldChar w:fldCharType="end"/>
      </w:r>
      <w:r>
        <w:rPr>
          <w:rFonts w:cs="Arial"/>
        </w:rPr>
        <w:t>, violetter Ring) und Neutronen-Quellen (</w:t>
      </w:r>
      <w:r>
        <w:rPr>
          <w:rFonts w:cs="Arial"/>
          <w:color w:val="FF00FF" w:themeColor="accent4"/>
        </w:rPr>
        <w:fldChar w:fldCharType="begin"/>
      </w:r>
      <w:r>
        <w:rPr>
          <w:rFonts w:cs="Arial"/>
        </w:rPr>
        <w:instrText xml:space="preserve"> REF _Ref57272230 \h </w:instrText>
      </w:r>
      <w:r>
        <w:rPr>
          <w:rFonts w:cs="Arial"/>
          <w:color w:val="FF00FF" w:themeColor="accent4"/>
        </w:rPr>
      </w:r>
      <w:r>
        <w:rPr>
          <w:rFonts w:cs="Arial"/>
          <w:color w:val="FF00FF" w:themeColor="accent4"/>
        </w:rPr>
        <w:fldChar w:fldCharType="separate"/>
      </w:r>
      <w:r w:rsidR="008625A1">
        <w:t xml:space="preserve">Abb. </w:t>
      </w:r>
      <w:r w:rsidR="008625A1">
        <w:rPr>
          <w:noProof/>
        </w:rPr>
        <w:t>6</w:t>
      </w:r>
      <w:r>
        <w:rPr>
          <w:rFonts w:cs="Arial"/>
          <w:color w:val="FF00FF" w:themeColor="accent4"/>
        </w:rPr>
        <w:fldChar w:fldCharType="end"/>
      </w:r>
      <w:r>
        <w:rPr>
          <w:rFonts w:cs="Arial"/>
        </w:rPr>
        <w:t>, roter Punkt in der Mitte) eingesetzt.</w:t>
      </w:r>
    </w:p>
    <w:p w14:paraId="21AED3EE" w14:textId="255A79BA" w:rsidR="0039566D" w:rsidRDefault="0039566D" w:rsidP="0039566D">
      <w:pPr>
        <w:pStyle w:val="Bilder"/>
      </w:pPr>
      <w:r>
        <w:rPr>
          <w:lang w:eastAsia="de-DE"/>
        </w:rPr>
        <w:drawing>
          <wp:inline distT="0" distB="0" distL="0" distR="0" wp14:anchorId="44E4D653" wp14:editId="5D5924EE">
            <wp:extent cx="2856230" cy="2790190"/>
            <wp:effectExtent l="0" t="0" r="127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6230" cy="2790190"/>
                    </a:xfrm>
                    <a:prstGeom prst="rect">
                      <a:avLst/>
                    </a:prstGeom>
                    <a:noFill/>
                    <a:ln>
                      <a:noFill/>
                    </a:ln>
                  </pic:spPr>
                </pic:pic>
              </a:graphicData>
            </a:graphic>
          </wp:inline>
        </w:drawing>
      </w:r>
    </w:p>
    <w:p w14:paraId="1AFC8979" w14:textId="4C5AB2B4" w:rsidR="0039566D" w:rsidRDefault="0039566D" w:rsidP="0039566D">
      <w:pPr>
        <w:pStyle w:val="Beschriftung"/>
      </w:pPr>
      <w:bookmarkStart w:id="8" w:name="_Ref57272230"/>
      <w:r>
        <w:t xml:space="preserve">Abb. </w:t>
      </w:r>
      <w:fldSimple w:instr=" SEQ Abb. \* ARABIC ">
        <w:r w:rsidR="008625A1">
          <w:rPr>
            <w:noProof/>
          </w:rPr>
          <w:t>6</w:t>
        </w:r>
      </w:fldSimple>
      <w:bookmarkEnd w:id="8"/>
      <w:r>
        <w:t>: Funktionsschema eines Implosionssprengkopfes [</w:t>
      </w:r>
      <w:r>
        <w:fldChar w:fldCharType="begin"/>
      </w:r>
      <w:r>
        <w:instrText xml:space="preserve"> REF _Ref57272205 \r \h </w:instrText>
      </w:r>
      <w:r>
        <w:fldChar w:fldCharType="separate"/>
      </w:r>
      <w:r w:rsidR="008625A1">
        <w:t>5</w:t>
      </w:r>
      <w:r>
        <w:fldChar w:fldCharType="end"/>
      </w:r>
      <w:r w:rsidR="008625A1">
        <w:t>]</w:t>
      </w:r>
      <w:r w:rsidR="008625A1">
        <w:br/>
      </w:r>
      <w:hyperlink r:id="rId13" w:history="1">
        <w:r w:rsidR="008625A1" w:rsidRPr="008625A1">
          <w:rPr>
            <w:rStyle w:val="Hyperlink"/>
          </w:rPr>
          <w:t>Animationslink</w:t>
        </w:r>
      </w:hyperlink>
    </w:p>
    <w:p w14:paraId="2CE9947B" w14:textId="5CE68402" w:rsidR="008625A1" w:rsidRDefault="008625A1" w:rsidP="008625A1">
      <w:pPr>
        <w:pStyle w:val="Zusammenfassung"/>
      </w:pPr>
      <w:r w:rsidRPr="008625A1">
        <w:rPr>
          <w:b/>
        </w:rPr>
        <w:t>Zusammenfassen</w:t>
      </w:r>
      <w:r>
        <w:t>: fehlt</w:t>
      </w:r>
    </w:p>
    <w:p w14:paraId="126325E2" w14:textId="556330A3" w:rsidR="008625A1" w:rsidRDefault="008625A1" w:rsidP="008625A1">
      <w:pPr>
        <w:pStyle w:val="EinstiegAbschluss"/>
      </w:pPr>
      <w:r w:rsidRPr="008625A1">
        <w:rPr>
          <w:b/>
        </w:rPr>
        <w:t>Abschluss</w:t>
      </w:r>
      <w:r>
        <w:t>: fehlt.</w:t>
      </w:r>
    </w:p>
    <w:p w14:paraId="594DB40E" w14:textId="1706F6B8" w:rsidR="008625A1" w:rsidRDefault="008625A1">
      <w:pPr>
        <w:spacing w:before="0"/>
        <w:jc w:val="left"/>
        <w:rPr>
          <w:b/>
          <w:bCs/>
        </w:rPr>
      </w:pPr>
      <w:r>
        <w:rPr>
          <w:b/>
          <w:bCs/>
        </w:rPr>
        <w:br w:type="page"/>
      </w:r>
    </w:p>
    <w:p w14:paraId="2A8C06EE" w14:textId="6AF750F4" w:rsidR="00931B30" w:rsidRDefault="00931B30" w:rsidP="00931B30">
      <w:pPr>
        <w:rPr>
          <w:b/>
          <w:bCs/>
        </w:rPr>
      </w:pPr>
      <w:r w:rsidRPr="000E61E0">
        <w:rPr>
          <w:b/>
          <w:bCs/>
        </w:rPr>
        <w:t>Quellen:</w:t>
      </w:r>
    </w:p>
    <w:p w14:paraId="15EBA817" w14:textId="77777777" w:rsidR="005554C8" w:rsidRDefault="005554C8" w:rsidP="005554C8">
      <w:pPr>
        <w:pStyle w:val="AufzhlungStandard"/>
      </w:pPr>
      <w:r>
        <w:t>Riedel, Erwin: Anorganische Chemie, 6. Auflage, Walther de Gruyter GmbH &amp; Co.KG Berlin, 2004</w:t>
      </w:r>
    </w:p>
    <w:bookmarkStart w:id="9" w:name="_Ref57271815"/>
    <w:p w14:paraId="0C9C30AF" w14:textId="5606C8DA" w:rsidR="005554C8" w:rsidRDefault="005554C8" w:rsidP="005554C8">
      <w:pPr>
        <w:pStyle w:val="AufzhlungStandard"/>
      </w:pPr>
      <w:r>
        <w:fldChar w:fldCharType="begin"/>
      </w:r>
      <w:r>
        <w:instrText xml:space="preserve"> HYPERLINK "http://www2.fz-juelich.de/ief/ief-6/index.php?index=92" </w:instrText>
      </w:r>
      <w:r>
        <w:fldChar w:fldCharType="separate"/>
      </w:r>
      <w:r>
        <w:rPr>
          <w:rStyle w:val="Hyperlink"/>
          <w:rFonts w:cs="Arial"/>
        </w:rPr>
        <w:t>http://www2.fz-juelich.de/ief/ief-6/index.php?index=92</w:t>
      </w:r>
      <w:r>
        <w:fldChar w:fldCharType="end"/>
      </w:r>
      <w:r>
        <w:t>; (Stand: 19.10.2011) (verschollen)</w:t>
      </w:r>
      <w:bookmarkEnd w:id="9"/>
    </w:p>
    <w:p w14:paraId="5F045123" w14:textId="6AA5B243" w:rsidR="005554C8" w:rsidRPr="008625A1" w:rsidRDefault="008625A1" w:rsidP="005554C8">
      <w:pPr>
        <w:pStyle w:val="AufzhlungStandard"/>
        <w:rPr>
          <w:lang w:val="en-US"/>
        </w:rPr>
      </w:pPr>
      <w:hyperlink r:id="rId14" w:history="1">
        <w:r w:rsidR="005554C8" w:rsidRPr="008625A1">
          <w:rPr>
            <w:rStyle w:val="Hyperlink"/>
            <w:rFonts w:cs="Arial"/>
            <w:lang w:val="en-US"/>
          </w:rPr>
          <w:t>http://de.wikipedia.org/wiki/Plutonium</w:t>
        </w:r>
      </w:hyperlink>
      <w:r w:rsidR="005554C8" w:rsidRPr="008625A1">
        <w:rPr>
          <w:lang w:val="en-US"/>
        </w:rPr>
        <w:t>; (Stand: 20.10.2011)</w:t>
      </w:r>
    </w:p>
    <w:p w14:paraId="43A981F5" w14:textId="71B498F7" w:rsidR="005554C8" w:rsidRPr="008625A1" w:rsidRDefault="008625A1" w:rsidP="005554C8">
      <w:pPr>
        <w:pStyle w:val="AufzhlungStandard"/>
        <w:rPr>
          <w:lang w:val="en-US"/>
        </w:rPr>
      </w:pPr>
      <w:hyperlink r:id="rId15" w:anchor="Implosionsbombe" w:history="1">
        <w:r w:rsidR="005554C8" w:rsidRPr="008625A1">
          <w:rPr>
            <w:rStyle w:val="Hyperlink"/>
            <w:rFonts w:cs="Arial"/>
            <w:lang w:val="en-US"/>
          </w:rPr>
          <w:t>http://de.wikipedia.org/wiki/Kernwaffentechnik#Implosionsbombe</w:t>
        </w:r>
      </w:hyperlink>
      <w:r w:rsidR="005554C8" w:rsidRPr="008625A1">
        <w:rPr>
          <w:lang w:val="en-US"/>
        </w:rPr>
        <w:t>; (Stand: 20.10.2011)</w:t>
      </w:r>
    </w:p>
    <w:bookmarkStart w:id="10" w:name="_Ref57272205"/>
    <w:p w14:paraId="58EB7077" w14:textId="4F1DEE0F" w:rsidR="005554C8" w:rsidRPr="008625A1" w:rsidRDefault="005554C8" w:rsidP="005554C8">
      <w:pPr>
        <w:pStyle w:val="AufzhlungStandard"/>
        <w:rPr>
          <w:lang w:val="en-US"/>
        </w:rPr>
      </w:pPr>
      <w:r>
        <w:fldChar w:fldCharType="begin"/>
      </w:r>
      <w:r w:rsidRPr="008625A1">
        <w:rPr>
          <w:lang w:val="en-US"/>
        </w:rPr>
        <w:instrText xml:space="preserve"> HYPERLINK "http://upload.wikimedia.org/wikipedia/commons/e/e0/Implosion_bomb_animated.gif" </w:instrText>
      </w:r>
      <w:r>
        <w:fldChar w:fldCharType="separate"/>
      </w:r>
      <w:r w:rsidRPr="008625A1">
        <w:rPr>
          <w:rStyle w:val="Hyperlink"/>
          <w:rFonts w:cs="Arial"/>
          <w:lang w:val="en-US"/>
        </w:rPr>
        <w:t>http://upload.wikimedia.org/wikipedia/commons/e/e0/Implosion_bomb_animated.gif</w:t>
      </w:r>
      <w:r>
        <w:fldChar w:fldCharType="end"/>
      </w:r>
      <w:r w:rsidRPr="008625A1">
        <w:rPr>
          <w:lang w:val="en-US"/>
        </w:rPr>
        <w:t>; (Stand: 20.10.2011) (</w:t>
      </w:r>
      <w:proofErr w:type="spellStart"/>
      <w:r w:rsidRPr="008625A1">
        <w:rPr>
          <w:lang w:val="en-US"/>
        </w:rPr>
        <w:t>Autor</w:t>
      </w:r>
      <w:proofErr w:type="spellEnd"/>
      <w:r w:rsidRPr="008625A1">
        <w:rPr>
          <w:lang w:val="en-US"/>
        </w:rPr>
        <w:t xml:space="preserve">: </w:t>
      </w:r>
      <w:proofErr w:type="spellStart"/>
      <w:r w:rsidRPr="008625A1">
        <w:rPr>
          <w:lang w:val="en-US"/>
        </w:rPr>
        <w:t>Fastfission</w:t>
      </w:r>
      <w:proofErr w:type="spellEnd"/>
      <w:r w:rsidRPr="008625A1">
        <w:rPr>
          <w:lang w:val="en-US"/>
        </w:rPr>
        <w:t xml:space="preserve">, </w:t>
      </w:r>
      <w:proofErr w:type="spellStart"/>
      <w:r w:rsidRPr="008625A1">
        <w:rPr>
          <w:lang w:val="en-US"/>
        </w:rPr>
        <w:t>Lizenz</w:t>
      </w:r>
      <w:proofErr w:type="spellEnd"/>
      <w:r w:rsidRPr="008625A1">
        <w:rPr>
          <w:lang w:val="en-US"/>
        </w:rPr>
        <w:t>: Public Domain)</w:t>
      </w:r>
      <w:bookmarkEnd w:id="10"/>
    </w:p>
    <w:p w14:paraId="5B46649D" w14:textId="385D39C3" w:rsidR="005554C8" w:rsidRDefault="008625A1" w:rsidP="005554C8">
      <w:pPr>
        <w:pStyle w:val="AufzhlungStandard"/>
      </w:pPr>
      <w:hyperlink r:id="rId16" w:history="1">
        <w:r w:rsidR="005554C8">
          <w:rPr>
            <w:rStyle w:val="Hyperlink"/>
            <w:rFonts w:cs="Arial"/>
          </w:rPr>
          <w:t>http://www.nuklearforum.ch/_upl/files/Mox-Brennstoff_dt.pdf</w:t>
        </w:r>
      </w:hyperlink>
      <w:r w:rsidR="005554C8">
        <w:t>; (Stand: 20.10.2011) (</w:t>
      </w:r>
      <w:r w:rsidR="005554C8" w:rsidRPr="008625A1">
        <w:t>Quelle verschollen, 26.11.2020</w:t>
      </w:r>
      <w:r w:rsidR="005554C8">
        <w:t>)</w:t>
      </w:r>
    </w:p>
    <w:bookmarkStart w:id="11" w:name="_Ref57272050"/>
    <w:p w14:paraId="368EBDA4" w14:textId="2F395F81" w:rsidR="005554C8" w:rsidRPr="008625A1" w:rsidRDefault="005554C8" w:rsidP="005554C8">
      <w:pPr>
        <w:pStyle w:val="AufzhlungStandard"/>
        <w:rPr>
          <w:lang w:val="en-US"/>
        </w:rPr>
      </w:pPr>
      <w:r>
        <w:fldChar w:fldCharType="begin"/>
      </w:r>
      <w:r w:rsidRPr="008625A1">
        <w:rPr>
          <w:lang w:val="en-US"/>
        </w:rPr>
        <w:instrText xml:space="preserve"> HYPERLINK "http://www.euronuclear.org/info/encyclopedia/p/purex-process.htm" </w:instrText>
      </w:r>
      <w:r>
        <w:fldChar w:fldCharType="separate"/>
      </w:r>
      <w:r w:rsidRPr="008625A1">
        <w:rPr>
          <w:rStyle w:val="Hyperlink"/>
          <w:lang w:val="en-US"/>
        </w:rPr>
        <w:t>http://www.euronuclear.org/info/encyclopedia/p/purex-process.htm</w:t>
      </w:r>
      <w:r>
        <w:fldChar w:fldCharType="end"/>
      </w:r>
      <w:r w:rsidRPr="008625A1">
        <w:rPr>
          <w:lang w:val="en-US"/>
        </w:rPr>
        <w:t>; (Stand: 01.04.2016, Copyright: European Nuclear Society) (</w:t>
      </w:r>
      <w:proofErr w:type="spellStart"/>
      <w:r w:rsidRPr="008625A1">
        <w:rPr>
          <w:lang w:val="en-US"/>
        </w:rPr>
        <w:t>Quelle</w:t>
      </w:r>
      <w:proofErr w:type="spellEnd"/>
      <w:r w:rsidRPr="008625A1">
        <w:rPr>
          <w:lang w:val="en-US"/>
        </w:rPr>
        <w:t xml:space="preserve"> </w:t>
      </w:r>
      <w:proofErr w:type="spellStart"/>
      <w:r w:rsidRPr="008625A1">
        <w:rPr>
          <w:lang w:val="en-US"/>
        </w:rPr>
        <w:t>verschollen</w:t>
      </w:r>
      <w:proofErr w:type="spellEnd"/>
      <w:r w:rsidRPr="008625A1">
        <w:rPr>
          <w:lang w:val="en-US"/>
        </w:rPr>
        <w:t>, 26.11.2020)</w:t>
      </w:r>
      <w:bookmarkEnd w:id="11"/>
    </w:p>
    <w:sectPr w:rsidR="005554C8" w:rsidRPr="008625A1" w:rsidSect="009B4835">
      <w:footerReference w:type="default" r:id="rId17"/>
      <w:pgSz w:w="11906" w:h="16838"/>
      <w:pgMar w:top="851" w:right="1134" w:bottom="851"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053C8" w14:textId="77777777" w:rsidR="003936BB" w:rsidRDefault="003936BB" w:rsidP="005A7DCE">
      <w:pPr>
        <w:spacing w:before="0"/>
      </w:pPr>
      <w:r>
        <w:separator/>
      </w:r>
    </w:p>
  </w:endnote>
  <w:endnote w:type="continuationSeparator" w:id="0">
    <w:p w14:paraId="02EEEE50" w14:textId="77777777" w:rsidR="003936BB" w:rsidRDefault="003936BB"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625137"/>
      <w:docPartObj>
        <w:docPartGallery w:val="Page Numbers (Bottom of Page)"/>
        <w:docPartUnique/>
      </w:docPartObj>
    </w:sdtPr>
    <w:sdtEndPr/>
    <w:sdtContent>
      <w:p w14:paraId="7EE0C8EA" w14:textId="77777777" w:rsidR="008039D1" w:rsidRDefault="008039D1">
        <w:pPr>
          <w:pStyle w:val="Fuzeile"/>
          <w:jc w:val="center"/>
        </w:pPr>
        <w:r>
          <w:rPr>
            <w:noProof/>
            <w:lang w:eastAsia="de-DE"/>
          </w:rPr>
          <mc:AlternateContent>
            <mc:Choice Requires="wps">
              <w:drawing>
                <wp:inline distT="0" distB="0" distL="0" distR="0" wp14:anchorId="4C811099" wp14:editId="0E669986">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573787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" fillcolor="black" stroked="f">
                  <v:fill r:id="rId1" o:title="" type="pattern"/>
                  <w10:anchorlock/>
                </v:shape>
              </w:pict>
            </mc:Fallback>
          </mc:AlternateContent>
        </w:r>
      </w:p>
      <w:p w14:paraId="1088C44D" w14:textId="5609F520" w:rsidR="008039D1" w:rsidRDefault="008039D1">
        <w:pPr>
          <w:pStyle w:val="Fuzeile"/>
          <w:jc w:val="center"/>
        </w:pPr>
        <w:r>
          <w:fldChar w:fldCharType="begin"/>
        </w:r>
        <w:r>
          <w:instrText>PAGE    \* MERGEFORMAT</w:instrText>
        </w:r>
        <w:r>
          <w:fldChar w:fldCharType="separate"/>
        </w:r>
        <w:r w:rsidR="008625A1">
          <w:rPr>
            <w:noProof/>
          </w:rPr>
          <w:t>4</w:t>
        </w:r>
        <w:r>
          <w:fldChar w:fldCharType="end"/>
        </w:r>
      </w:p>
    </w:sdtContent>
  </w:sdt>
  <w:p w14:paraId="69DF8B39" w14:textId="77777777" w:rsidR="008039D1" w:rsidRDefault="008039D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BCA27E" w14:textId="77777777" w:rsidR="003936BB" w:rsidRDefault="003936BB" w:rsidP="005A7DCE">
      <w:pPr>
        <w:spacing w:before="0"/>
      </w:pPr>
      <w:r>
        <w:separator/>
      </w:r>
    </w:p>
  </w:footnote>
  <w:footnote w:type="continuationSeparator" w:id="0">
    <w:p w14:paraId="1F053879" w14:textId="77777777" w:rsidR="003936BB" w:rsidRDefault="003936BB"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19476FA5"/>
    <w:multiLevelType w:val="multilevel"/>
    <w:tmpl w:val="FD80DB3C"/>
    <w:lvl w:ilvl="0">
      <w:start w:val="1"/>
      <w:numFmt w:val="bullet"/>
      <w:pStyle w:val="Liste2Aufzhlung"/>
      <w:lvlText w:val=""/>
      <w:lvlJc w:val="left"/>
      <w:pPr>
        <w:ind w:left="709" w:hanging="425"/>
      </w:pPr>
      <w:rPr>
        <w:rFonts w:ascii="Symbol" w:hAnsi="Symbol" w:hint="default"/>
        <w:b w:val="0"/>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lvlText w:val="%2."/>
      <w:lvlJc w:val="left"/>
      <w:pPr>
        <w:ind w:left="709" w:hanging="425"/>
      </w:pPr>
      <w:rPr>
        <w:rFonts w:hint="default"/>
      </w:rPr>
    </w:lvl>
    <w:lvl w:ilvl="2">
      <w:start w:val="1"/>
      <w:numFmt w:val="lowerLetter"/>
      <w:lvlText w:val="%3."/>
      <w:lvlJc w:val="left"/>
      <w:pPr>
        <w:ind w:left="709" w:hanging="425"/>
      </w:pPr>
      <w:rPr>
        <w:rFonts w:hint="default"/>
      </w:rPr>
    </w:lvl>
    <w:lvl w:ilvl="3">
      <w:start w:val="1"/>
      <w:numFmt w:val="none"/>
      <w:lvlText w:val=""/>
      <w:lvlJc w:val="left"/>
      <w:pPr>
        <w:ind w:left="709" w:hanging="425"/>
      </w:pPr>
      <w:rPr>
        <w:rFonts w:hint="default"/>
      </w:rPr>
    </w:lvl>
    <w:lvl w:ilvl="4">
      <w:start w:val="1"/>
      <w:numFmt w:val="none"/>
      <w:lvlText w:val=""/>
      <w:lvlJc w:val="left"/>
      <w:pPr>
        <w:ind w:left="709" w:hanging="425"/>
      </w:pPr>
      <w:rPr>
        <w:rFonts w:hint="default"/>
      </w:rPr>
    </w:lvl>
    <w:lvl w:ilvl="5">
      <w:start w:val="1"/>
      <w:numFmt w:val="none"/>
      <w:lvlText w:val=""/>
      <w:lvlJc w:val="left"/>
      <w:pPr>
        <w:ind w:left="709" w:hanging="425"/>
      </w:pPr>
      <w:rPr>
        <w:rFonts w:hint="default"/>
      </w:rPr>
    </w:lvl>
    <w:lvl w:ilvl="6">
      <w:start w:val="1"/>
      <w:numFmt w:val="none"/>
      <w:lvlText w:val=""/>
      <w:lvlJc w:val="left"/>
      <w:pPr>
        <w:ind w:left="709" w:hanging="425"/>
      </w:pPr>
      <w:rPr>
        <w:rFonts w:hint="default"/>
      </w:rPr>
    </w:lvl>
    <w:lvl w:ilvl="7">
      <w:start w:val="1"/>
      <w:numFmt w:val="none"/>
      <w:lvlText w:val=""/>
      <w:lvlJc w:val="left"/>
      <w:pPr>
        <w:ind w:left="709" w:hanging="425"/>
      </w:pPr>
      <w:rPr>
        <w:rFonts w:hint="default"/>
      </w:rPr>
    </w:lvl>
    <w:lvl w:ilvl="8">
      <w:start w:val="1"/>
      <w:numFmt w:val="none"/>
      <w:lvlText w:val=""/>
      <w:lvlJc w:val="left"/>
      <w:pPr>
        <w:ind w:left="709" w:hanging="425"/>
      </w:pPr>
      <w:rPr>
        <w:rFonts w:hint="default"/>
      </w:rPr>
    </w:lvl>
  </w:abstractNum>
  <w:abstractNum w:abstractNumId="5" w15:restartNumberingAfterBreak="0">
    <w:nsid w:val="1D7D7A45"/>
    <w:multiLevelType w:val="multilevel"/>
    <w:tmpl w:val="E5520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54C1A06"/>
    <w:multiLevelType w:val="multilevel"/>
    <w:tmpl w:val="DAA2308E"/>
    <w:lvl w:ilvl="0">
      <w:start w:val="1"/>
      <w:numFmt w:val="bullet"/>
      <w:pStyle w:val="Liste1Aufzhlung"/>
      <w:lvlText w:val=""/>
      <w:lvlJc w:val="left"/>
      <w:pPr>
        <w:ind w:left="425" w:hanging="425"/>
      </w:pPr>
      <w:rPr>
        <w:rFonts w:ascii="Symbol" w:hAnsi="Symbol" w:hint="default"/>
      </w:rPr>
    </w:lvl>
    <w:lvl w:ilvl="1">
      <w:start w:val="1"/>
      <w:numFmt w:val="decim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7"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31276AE2"/>
    <w:multiLevelType w:val="multilevel"/>
    <w:tmpl w:val="703ADD92"/>
    <w:lvl w:ilvl="0">
      <w:start w:val="1"/>
      <w:numFmt w:val="none"/>
      <w:pStyle w:val="Rot"/>
      <w:lvlText w:val=""/>
      <w:lvlJc w:val="left"/>
      <w:pPr>
        <w:ind w:left="0" w:firstLine="0"/>
      </w:pPr>
      <w:rPr>
        <w:rFonts w:hint="default"/>
      </w:rPr>
    </w:lvl>
    <w:lvl w:ilvl="1">
      <w:start w:val="1"/>
      <w:numFmt w:val="ordinal"/>
      <w:lvlText w:val="%2"/>
      <w:lvlJc w:val="left"/>
      <w:pPr>
        <w:ind w:left="425" w:hanging="425"/>
      </w:pPr>
      <w:rPr>
        <w:rFonts w:hint="default"/>
      </w:rPr>
    </w:lvl>
    <w:lvl w:ilvl="2">
      <w:start w:val="1"/>
      <w:numFmt w:val="bullet"/>
      <w:lvlText w:val=""/>
      <w:lvlJc w:val="left"/>
      <w:pPr>
        <w:ind w:left="425" w:hanging="425"/>
      </w:pPr>
      <w:rPr>
        <w:rFonts w:ascii="Symbol" w:hAnsi="Symbol" w:hint="default"/>
        <w:color w:val="auto"/>
      </w:rPr>
    </w:lvl>
    <w:lvl w:ilvl="3">
      <w:start w:val="1"/>
      <w:numFmt w:val="lowerLetter"/>
      <w:lvlText w:val="%4)"/>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9"/>
      <w:lvlJc w:val="left"/>
      <w:pPr>
        <w:ind w:left="425" w:hanging="425"/>
      </w:pPr>
      <w:rPr>
        <w:rFonts w:hint="default"/>
      </w:rPr>
    </w:lvl>
  </w:abstractNum>
  <w:abstractNum w:abstractNumId="9"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D77D36"/>
    <w:multiLevelType w:val="multilevel"/>
    <w:tmpl w:val="35902014"/>
    <w:lvl w:ilvl="0">
      <w:start w:val="1"/>
      <w:numFmt w:val="bullet"/>
      <w:pStyle w:val="CASNr"/>
      <w:lvlText w:val=""/>
      <w:lvlJc w:val="left"/>
      <w:pPr>
        <w:ind w:left="425" w:hanging="425"/>
      </w:pPr>
      <w:rPr>
        <w:rFonts w:ascii="Symbol" w:hAnsi="Symbol" w:hint="default"/>
        <w:sz w:val="24"/>
        <w:szCs w:val="24"/>
      </w:rPr>
    </w:lvl>
    <w:lvl w:ilvl="1">
      <w:start w:val="1"/>
      <w:numFmt w:val="ordinal"/>
      <w:lvlText w:val="%2"/>
      <w:lvlJc w:val="left"/>
      <w:pPr>
        <w:ind w:left="425" w:hanging="425"/>
      </w:pPr>
      <w:rPr>
        <w:rFonts w:hint="default"/>
      </w:rPr>
    </w:lvl>
    <w:lvl w:ilvl="2">
      <w:start w:val="1"/>
      <w:numFmt w:val="lowerLetter"/>
      <w:lvlText w:val="%3)"/>
      <w:lvlJc w:val="left"/>
      <w:pPr>
        <w:ind w:left="425" w:hanging="425"/>
      </w:pPr>
      <w:rPr>
        <w:rFonts w:hint="default"/>
      </w:rPr>
    </w:lvl>
    <w:lvl w:ilvl="3">
      <w:start w:val="1"/>
      <w:numFmt w:val="none"/>
      <w:lvlText w:val=""/>
      <w:lvlJc w:val="left"/>
      <w:pPr>
        <w:ind w:left="425" w:hanging="425"/>
      </w:pPr>
      <w:rPr>
        <w:rFonts w:hint="default"/>
      </w:rPr>
    </w:lvl>
    <w:lvl w:ilvl="4">
      <w:start w:val="1"/>
      <w:numFmt w:val="none"/>
      <w:lvlText w:val=""/>
      <w:lvlJc w:val="left"/>
      <w:pPr>
        <w:ind w:left="425" w:hanging="425"/>
      </w:pPr>
      <w:rPr>
        <w:rFonts w:hint="default"/>
      </w:rPr>
    </w:lvl>
    <w:lvl w:ilvl="5">
      <w:start w:val="1"/>
      <w:numFmt w:val="none"/>
      <w:lvlText w:val=""/>
      <w:lvlJc w:val="left"/>
      <w:pPr>
        <w:ind w:left="425" w:hanging="425"/>
      </w:pPr>
      <w:rPr>
        <w:rFonts w:hint="default"/>
      </w:rPr>
    </w:lvl>
    <w:lvl w:ilvl="6">
      <w:start w:val="1"/>
      <w:numFmt w:val="none"/>
      <w:lvlText w:val=""/>
      <w:lvlJc w:val="left"/>
      <w:pPr>
        <w:ind w:left="425" w:hanging="425"/>
      </w:pPr>
      <w:rPr>
        <w:rFonts w:hint="default"/>
      </w:rPr>
    </w:lvl>
    <w:lvl w:ilvl="7">
      <w:start w:val="1"/>
      <w:numFmt w:val="none"/>
      <w:lvlText w:val=""/>
      <w:lvlJc w:val="left"/>
      <w:pPr>
        <w:ind w:left="425" w:hanging="425"/>
      </w:pPr>
      <w:rPr>
        <w:rFonts w:hint="default"/>
      </w:rPr>
    </w:lvl>
    <w:lvl w:ilvl="8">
      <w:start w:val="1"/>
      <w:numFmt w:val="none"/>
      <w:lvlText w:val=""/>
      <w:lvlJc w:val="left"/>
      <w:pPr>
        <w:ind w:left="425" w:hanging="425"/>
      </w:pPr>
      <w:rPr>
        <w:rFonts w:hint="default"/>
      </w:rPr>
    </w:lvl>
  </w:abstractNum>
  <w:abstractNum w:abstractNumId="11" w15:restartNumberingAfterBreak="0">
    <w:nsid w:val="4ACC31A8"/>
    <w:multiLevelType w:val="hybridMultilevel"/>
    <w:tmpl w:val="B61025EA"/>
    <w:lvl w:ilvl="0" w:tplc="74C2B790">
      <w:start w:val="1"/>
      <w:numFmt w:val="bullet"/>
      <w:lvlText w:val=""/>
      <w:lvlJc w:val="left"/>
      <w:pPr>
        <w:ind w:left="140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03" w:tentative="1">
      <w:start w:val="1"/>
      <w:numFmt w:val="bullet"/>
      <w:lvlText w:val="o"/>
      <w:lvlJc w:val="left"/>
      <w:pPr>
        <w:ind w:left="2121" w:hanging="360"/>
      </w:pPr>
      <w:rPr>
        <w:rFonts w:ascii="Courier New" w:hAnsi="Courier New" w:cs="Courier New" w:hint="default"/>
      </w:rPr>
    </w:lvl>
    <w:lvl w:ilvl="2" w:tplc="04070005" w:tentative="1">
      <w:start w:val="1"/>
      <w:numFmt w:val="bullet"/>
      <w:lvlText w:val=""/>
      <w:lvlJc w:val="left"/>
      <w:pPr>
        <w:ind w:left="2841" w:hanging="360"/>
      </w:pPr>
      <w:rPr>
        <w:rFonts w:ascii="Wingdings" w:hAnsi="Wingdings" w:hint="default"/>
      </w:rPr>
    </w:lvl>
    <w:lvl w:ilvl="3" w:tplc="04070001" w:tentative="1">
      <w:start w:val="1"/>
      <w:numFmt w:val="bullet"/>
      <w:lvlText w:val=""/>
      <w:lvlJc w:val="left"/>
      <w:pPr>
        <w:ind w:left="3561" w:hanging="360"/>
      </w:pPr>
      <w:rPr>
        <w:rFonts w:ascii="Symbol" w:hAnsi="Symbol" w:hint="default"/>
      </w:rPr>
    </w:lvl>
    <w:lvl w:ilvl="4" w:tplc="04070003" w:tentative="1">
      <w:start w:val="1"/>
      <w:numFmt w:val="bullet"/>
      <w:lvlText w:val="o"/>
      <w:lvlJc w:val="left"/>
      <w:pPr>
        <w:ind w:left="4281" w:hanging="360"/>
      </w:pPr>
      <w:rPr>
        <w:rFonts w:ascii="Courier New" w:hAnsi="Courier New" w:cs="Courier New" w:hint="default"/>
      </w:rPr>
    </w:lvl>
    <w:lvl w:ilvl="5" w:tplc="04070005" w:tentative="1">
      <w:start w:val="1"/>
      <w:numFmt w:val="bullet"/>
      <w:lvlText w:val=""/>
      <w:lvlJc w:val="left"/>
      <w:pPr>
        <w:ind w:left="5001" w:hanging="360"/>
      </w:pPr>
      <w:rPr>
        <w:rFonts w:ascii="Wingdings" w:hAnsi="Wingdings" w:hint="default"/>
      </w:rPr>
    </w:lvl>
    <w:lvl w:ilvl="6" w:tplc="04070001" w:tentative="1">
      <w:start w:val="1"/>
      <w:numFmt w:val="bullet"/>
      <w:lvlText w:val=""/>
      <w:lvlJc w:val="left"/>
      <w:pPr>
        <w:ind w:left="5721" w:hanging="360"/>
      </w:pPr>
      <w:rPr>
        <w:rFonts w:ascii="Symbol" w:hAnsi="Symbol" w:hint="default"/>
      </w:rPr>
    </w:lvl>
    <w:lvl w:ilvl="7" w:tplc="04070003" w:tentative="1">
      <w:start w:val="1"/>
      <w:numFmt w:val="bullet"/>
      <w:lvlText w:val="o"/>
      <w:lvlJc w:val="left"/>
      <w:pPr>
        <w:ind w:left="6441" w:hanging="360"/>
      </w:pPr>
      <w:rPr>
        <w:rFonts w:ascii="Courier New" w:hAnsi="Courier New" w:cs="Courier New" w:hint="default"/>
      </w:rPr>
    </w:lvl>
    <w:lvl w:ilvl="8" w:tplc="04070005" w:tentative="1">
      <w:start w:val="1"/>
      <w:numFmt w:val="bullet"/>
      <w:lvlText w:val=""/>
      <w:lvlJc w:val="left"/>
      <w:pPr>
        <w:ind w:left="7161" w:hanging="360"/>
      </w:pPr>
      <w:rPr>
        <w:rFonts w:ascii="Wingdings" w:hAnsi="Wingdings" w:hint="default"/>
      </w:rPr>
    </w:lvl>
  </w:abstractNum>
  <w:abstractNum w:abstractNumId="12"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4" w15:restartNumberingAfterBreak="0">
    <w:nsid w:val="66F45D9E"/>
    <w:multiLevelType w:val="multilevel"/>
    <w:tmpl w:val="8CBC9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6839DF"/>
    <w:multiLevelType w:val="hybridMultilevel"/>
    <w:tmpl w:val="A23C8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6"/>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12"/>
  </w:num>
  <w:num w:numId="7">
    <w:abstractNumId w:val="7"/>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10"/>
  </w:num>
  <w:num w:numId="13">
    <w:abstractNumId w:val="9"/>
  </w:num>
  <w:num w:numId="14">
    <w:abstractNumId w:val="0"/>
  </w:num>
  <w:num w:numId="15">
    <w:abstractNumId w:val="1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15"/>
  </w:num>
  <w:num w:numId="21">
    <w:abstractNumId w:val="6"/>
  </w:num>
  <w:num w:numId="22">
    <w:abstractNumId w:val="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B"/>
    <w:rsid w:val="00045EDE"/>
    <w:rsid w:val="000673EE"/>
    <w:rsid w:val="000712A2"/>
    <w:rsid w:val="00074491"/>
    <w:rsid w:val="000D4A1C"/>
    <w:rsid w:val="000E61E0"/>
    <w:rsid w:val="001B0E73"/>
    <w:rsid w:val="001D6942"/>
    <w:rsid w:val="00286533"/>
    <w:rsid w:val="0029716A"/>
    <w:rsid w:val="0033663A"/>
    <w:rsid w:val="0036111E"/>
    <w:rsid w:val="003936BB"/>
    <w:rsid w:val="0039566D"/>
    <w:rsid w:val="003E490E"/>
    <w:rsid w:val="00480635"/>
    <w:rsid w:val="004A4B07"/>
    <w:rsid w:val="005554C8"/>
    <w:rsid w:val="005633FE"/>
    <w:rsid w:val="005A26C3"/>
    <w:rsid w:val="005A7DCE"/>
    <w:rsid w:val="005D5199"/>
    <w:rsid w:val="006841CE"/>
    <w:rsid w:val="006F1D4F"/>
    <w:rsid w:val="007161D1"/>
    <w:rsid w:val="007514D3"/>
    <w:rsid w:val="00763761"/>
    <w:rsid w:val="00783295"/>
    <w:rsid w:val="007B2C80"/>
    <w:rsid w:val="007F18E1"/>
    <w:rsid w:val="008039D1"/>
    <w:rsid w:val="008117E4"/>
    <w:rsid w:val="00825BFE"/>
    <w:rsid w:val="00850560"/>
    <w:rsid w:val="008625A1"/>
    <w:rsid w:val="00883728"/>
    <w:rsid w:val="008A524D"/>
    <w:rsid w:val="00931B30"/>
    <w:rsid w:val="009710A6"/>
    <w:rsid w:val="009B4835"/>
    <w:rsid w:val="00A21130"/>
    <w:rsid w:val="00A25B94"/>
    <w:rsid w:val="00A5383F"/>
    <w:rsid w:val="00AA5D66"/>
    <w:rsid w:val="00AB7E4B"/>
    <w:rsid w:val="00AE53F0"/>
    <w:rsid w:val="00AF7672"/>
    <w:rsid w:val="00B10DD4"/>
    <w:rsid w:val="00B85024"/>
    <w:rsid w:val="00C511E6"/>
    <w:rsid w:val="00CA413D"/>
    <w:rsid w:val="00D97908"/>
    <w:rsid w:val="00E14DE1"/>
    <w:rsid w:val="00E20AF3"/>
    <w:rsid w:val="00E50811"/>
    <w:rsid w:val="00E54A99"/>
    <w:rsid w:val="00E8473B"/>
    <w:rsid w:val="00E94F6E"/>
    <w:rsid w:val="00F76D18"/>
    <w:rsid w:val="00FC711A"/>
    <w:rsid w:val="00FD7888"/>
    <w:rsid w:val="00FE49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0C572"/>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FC711A"/>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E50811"/>
    <w:pPr>
      <w:numPr>
        <w:numId w:val="21"/>
      </w:numPr>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E3E3E3"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FC711A"/>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E50811"/>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C8C8C8"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C8C8C8"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nabsatz"/>
    <w:qFormat/>
    <w:rsid w:val="001B0E73"/>
    <w:pPr>
      <w:numPr>
        <w:numId w:val="19"/>
      </w:numPr>
      <w:contextualSpacing w:val="0"/>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9B4835"/>
    <w:pPr>
      <w:numPr>
        <w:numId w:val="0"/>
      </w:numPr>
      <w:spacing w:line="259" w:lineRule="auto"/>
      <w:outlineLvl w:val="9"/>
    </w:pPr>
    <w:rPr>
      <w:b w:val="0"/>
      <w:color w:val="0000FF" w:themeColor="accent1"/>
      <w:lang w:eastAsia="de-DE"/>
    </w:rPr>
  </w:style>
  <w:style w:type="paragraph" w:styleId="Verzeichnis1">
    <w:name w:val="toc 1"/>
    <w:basedOn w:val="Standard"/>
    <w:next w:val="Standard"/>
    <w:autoRedefine/>
    <w:uiPriority w:val="39"/>
    <w:unhideWhenUsed/>
    <w:rsid w:val="009B4835"/>
    <w:pPr>
      <w:spacing w:after="100"/>
    </w:pPr>
  </w:style>
  <w:style w:type="paragraph" w:styleId="Verzeichnis2">
    <w:name w:val="toc 2"/>
    <w:basedOn w:val="Standard"/>
    <w:next w:val="Standard"/>
    <w:autoRedefine/>
    <w:uiPriority w:val="39"/>
    <w:unhideWhenUsed/>
    <w:rsid w:val="009B4835"/>
    <w:pPr>
      <w:spacing w:after="100"/>
      <w:ind w:left="240"/>
    </w:pPr>
  </w:style>
  <w:style w:type="paragraph" w:styleId="Verzeichnis3">
    <w:name w:val="toc 3"/>
    <w:basedOn w:val="Standard"/>
    <w:next w:val="Standard"/>
    <w:autoRedefine/>
    <w:uiPriority w:val="39"/>
    <w:unhideWhenUsed/>
    <w:rsid w:val="009B4835"/>
    <w:pPr>
      <w:spacing w:after="100"/>
      <w:ind w:left="480"/>
    </w:pPr>
  </w:style>
  <w:style w:type="paragraph" w:customStyle="1" w:styleId="Formeln">
    <w:name w:val="Formeln"/>
    <w:basedOn w:val="Standard"/>
    <w:qFormat/>
    <w:rsid w:val="005554C8"/>
    <w:pPr>
      <w:spacing w:before="240" w:after="240"/>
      <w:jc w:val="center"/>
    </w:pPr>
    <w:rPr>
      <w:sz w:val="28"/>
    </w:rPr>
  </w:style>
  <w:style w:type="paragraph" w:customStyle="1" w:styleId="CASNr">
    <w:name w:val="CASNr"/>
    <w:basedOn w:val="Listenabsatz"/>
    <w:link w:val="CASNrZchn"/>
    <w:qFormat/>
    <w:rsid w:val="001B0E73"/>
    <w:pPr>
      <w:numPr>
        <w:numId w:val="12"/>
      </w:numPr>
    </w:pPr>
    <w:rPr>
      <w:sz w:val="20"/>
      <w:szCs w:val="18"/>
    </w:rPr>
  </w:style>
  <w:style w:type="character" w:customStyle="1" w:styleId="CASNrZchn">
    <w:name w:val="CASNr Zchn"/>
    <w:basedOn w:val="ListenabsatzZchn"/>
    <w:link w:val="CASNr"/>
    <w:rsid w:val="001B0E73"/>
    <w:rPr>
      <w:sz w:val="20"/>
      <w:szCs w:val="18"/>
    </w:rPr>
  </w:style>
  <w:style w:type="character" w:styleId="Hervorhebung">
    <w:name w:val="Emphasis"/>
    <w:basedOn w:val="Absatz-Standardschriftart"/>
    <w:uiPriority w:val="20"/>
    <w:qFormat/>
    <w:rsid w:val="0029716A"/>
    <w:rPr>
      <w:i/>
      <w:iCs/>
    </w:rPr>
  </w:style>
  <w:style w:type="character" w:styleId="BesuchterLink">
    <w:name w:val="FollowedHyperlink"/>
    <w:basedOn w:val="Absatz-Standardschriftart"/>
    <w:uiPriority w:val="99"/>
    <w:semiHidden/>
    <w:unhideWhenUsed/>
    <w:rsid w:val="0029716A"/>
    <w:rPr>
      <w:color w:val="0000FF" w:themeColor="followedHyperlink"/>
      <w:u w:val="single"/>
    </w:rPr>
  </w:style>
  <w:style w:type="character" w:styleId="Fett">
    <w:name w:val="Strong"/>
    <w:basedOn w:val="Absatz-Standardschriftart"/>
    <w:uiPriority w:val="22"/>
    <w:rsid w:val="0029716A"/>
    <w:rPr>
      <w:b/>
      <w:bCs/>
    </w:rPr>
  </w:style>
  <w:style w:type="character" w:styleId="Platzhaltertext">
    <w:name w:val="Placeholder Text"/>
    <w:basedOn w:val="Absatz-Standardschriftart"/>
    <w:uiPriority w:val="99"/>
    <w:semiHidden/>
    <w:rsid w:val="0029716A"/>
    <w:rPr>
      <w:color w:val="808080"/>
    </w:rPr>
  </w:style>
  <w:style w:type="table" w:styleId="Tabellenraster">
    <w:name w:val="Table Grid"/>
    <w:basedOn w:val="NormaleTabelle"/>
    <w:uiPriority w:val="39"/>
    <w:rsid w:val="003E4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bsatz-Standardschriftart"/>
    <w:uiPriority w:val="99"/>
    <w:semiHidden/>
    <w:unhideWhenUsed/>
    <w:rsid w:val="005554C8"/>
    <w:rPr>
      <w:color w:val="605E5C"/>
      <w:shd w:val="clear" w:color="auto" w:fill="E1DFDD"/>
    </w:rPr>
  </w:style>
  <w:style w:type="paragraph" w:styleId="StandardWeb">
    <w:name w:val="Normal (Web)"/>
    <w:basedOn w:val="Standard"/>
    <w:uiPriority w:val="99"/>
    <w:semiHidden/>
    <w:unhideWhenUsed/>
    <w:rsid w:val="0039566D"/>
    <w:pPr>
      <w:spacing w:before="100" w:beforeAutospacing="1" w:after="100" w:afterAutospacing="1"/>
      <w:jc w:val="left"/>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87381">
      <w:bodyDiv w:val="1"/>
      <w:marLeft w:val="0"/>
      <w:marRight w:val="0"/>
      <w:marTop w:val="0"/>
      <w:marBottom w:val="0"/>
      <w:divBdr>
        <w:top w:val="none" w:sz="0" w:space="0" w:color="auto"/>
        <w:left w:val="none" w:sz="0" w:space="0" w:color="auto"/>
        <w:bottom w:val="none" w:sz="0" w:space="0" w:color="auto"/>
        <w:right w:val="none" w:sz="0" w:space="0" w:color="auto"/>
      </w:divBdr>
    </w:div>
    <w:div w:id="1095247464">
      <w:bodyDiv w:val="1"/>
      <w:marLeft w:val="0"/>
      <w:marRight w:val="0"/>
      <w:marTop w:val="0"/>
      <w:marBottom w:val="0"/>
      <w:divBdr>
        <w:top w:val="none" w:sz="0" w:space="0" w:color="auto"/>
        <w:left w:val="none" w:sz="0" w:space="0" w:color="auto"/>
        <w:bottom w:val="none" w:sz="0" w:space="0" w:color="auto"/>
        <w:right w:val="none" w:sz="0" w:space="0" w:color="auto"/>
      </w:divBdr>
    </w:div>
    <w:div w:id="1351906385">
      <w:bodyDiv w:val="1"/>
      <w:marLeft w:val="0"/>
      <w:marRight w:val="0"/>
      <w:marTop w:val="0"/>
      <w:marBottom w:val="0"/>
      <w:divBdr>
        <w:top w:val="none" w:sz="0" w:space="0" w:color="auto"/>
        <w:left w:val="none" w:sz="0" w:space="0" w:color="auto"/>
        <w:bottom w:val="none" w:sz="0" w:space="0" w:color="auto"/>
        <w:right w:val="none" w:sz="0" w:space="0" w:color="auto"/>
      </w:divBdr>
    </w:div>
    <w:div w:id="1372732745">
      <w:bodyDiv w:val="1"/>
      <w:marLeft w:val="0"/>
      <w:marRight w:val="0"/>
      <w:marTop w:val="0"/>
      <w:marBottom w:val="0"/>
      <w:divBdr>
        <w:top w:val="none" w:sz="0" w:space="0" w:color="auto"/>
        <w:left w:val="none" w:sz="0" w:space="0" w:color="auto"/>
        <w:bottom w:val="none" w:sz="0" w:space="0" w:color="auto"/>
        <w:right w:val="none" w:sz="0" w:space="0" w:color="auto"/>
      </w:divBdr>
    </w:div>
    <w:div w:id="21372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aten.didaktikchemie.uni-bayreuth.de/umat/plutonium/implosion_bomb_animated.gi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uklearforum.ch/_upl/files/Mox-Brennstoff_d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de.wikipedia.org/wiki/Kernwaffentechnik" TargetMode="Externa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de.wikipedia.org/wiki/Plutoniu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0.gif"/></Relationships>
</file>

<file path=word/theme/theme1.xml><?xml version="1.0" encoding="utf-8"?>
<a:theme xmlns:a="http://schemas.openxmlformats.org/drawingml/2006/main" name="Office">
  <a:themeElements>
    <a:clrScheme name="Benutzerdefiniert 1">
      <a:dk1>
        <a:sysClr val="windowText" lastClr="000000"/>
      </a:dk1>
      <a:lt1>
        <a:sysClr val="window" lastClr="FFFFFF"/>
      </a:lt1>
      <a:dk2>
        <a:srgbClr val="777777"/>
      </a:dk2>
      <a:lt2>
        <a:srgbClr val="DDDDDD"/>
      </a:lt2>
      <a:accent1>
        <a:srgbClr val="0000FF"/>
      </a:accent1>
      <a:accent2>
        <a:srgbClr val="FF0000"/>
      </a:accent2>
      <a:accent3>
        <a:srgbClr val="00FF00"/>
      </a:accent3>
      <a:accent4>
        <a:srgbClr val="FF00FF"/>
      </a:accent4>
      <a:accent5>
        <a:srgbClr val="FFFF00"/>
      </a:accent5>
      <a:accent6>
        <a:srgbClr val="00FFFF"/>
      </a:accent6>
      <a:hlink>
        <a:srgbClr val="0000FF"/>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C4F24-E4C6-48DE-96BD-63EC8D189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7803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5</cp:revision>
  <cp:lastPrinted>2021-02-23T14:13:00Z</cp:lastPrinted>
  <dcterms:created xsi:type="dcterms:W3CDTF">2020-11-26T07:15:00Z</dcterms:created>
  <dcterms:modified xsi:type="dcterms:W3CDTF">2021-02-23T14:13:00Z</dcterms:modified>
</cp:coreProperties>
</file>