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7B380987" w:rsidR="00AE53F0" w:rsidRPr="006309DF" w:rsidRDefault="00E8473B" w:rsidP="006309DF">
      <w:pPr>
        <w:pStyle w:val="Seminar"/>
      </w:pPr>
      <w:r w:rsidRPr="006309DF">
        <w:t>Seminar</w:t>
      </w:r>
      <w:r w:rsidR="00FD7888" w:rsidRPr="006309DF">
        <w:t xml:space="preserve"> „Übungen im Vortragen –</w:t>
      </w:r>
      <w:r w:rsidR="006309DF" w:rsidRPr="006309DF">
        <w:t xml:space="preserve"> </w:t>
      </w:r>
      <w:r w:rsidR="00480635" w:rsidRPr="006309DF">
        <w:t>PC</w:t>
      </w:r>
      <w:r w:rsidR="00FD7888" w:rsidRPr="006309DF">
        <w:t>“</w:t>
      </w:r>
    </w:p>
    <w:p w14:paraId="61C6F5BC" w14:textId="751DA55F" w:rsidR="00E8473B" w:rsidRDefault="006309DF" w:rsidP="005633FE">
      <w:pPr>
        <w:pStyle w:val="Titel"/>
      </w:pPr>
      <w:r>
        <w:t>Phasen-Diagramme</w:t>
      </w:r>
    </w:p>
    <w:p w14:paraId="28CE20D7" w14:textId="2B66B871" w:rsidR="00E8473B" w:rsidRDefault="006309DF" w:rsidP="00E8473B">
      <w:pPr>
        <w:pStyle w:val="Autor"/>
      </w:pPr>
      <w:r>
        <w:t>Julia Jakob, WS 12/13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76E785AE" w14:textId="703F6AB2" w:rsidR="0076248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105452" w:history="1">
            <w:r w:rsidR="00762487" w:rsidRPr="00CD1972">
              <w:rPr>
                <w:rStyle w:val="Hyperlink"/>
                <w:noProof/>
              </w:rPr>
              <w:t>1</w:t>
            </w:r>
            <w:r w:rsidR="00762487">
              <w:rPr>
                <w:rFonts w:asciiTheme="minorHAnsi" w:eastAsiaTheme="minorEastAsia" w:hAnsiTheme="minorHAnsi"/>
                <w:noProof/>
                <w:sz w:val="22"/>
                <w:lang w:eastAsia="de-DE"/>
              </w:rPr>
              <w:tab/>
            </w:r>
            <w:r w:rsidR="00762487" w:rsidRPr="00CD1972">
              <w:rPr>
                <w:rStyle w:val="Hyperlink"/>
                <w:noProof/>
              </w:rPr>
              <w:t>Aggregat-Zustände von Rein-Stoffen</w:t>
            </w:r>
            <w:r w:rsidR="00762487">
              <w:rPr>
                <w:noProof/>
                <w:webHidden/>
              </w:rPr>
              <w:tab/>
            </w:r>
            <w:r w:rsidR="00762487">
              <w:rPr>
                <w:noProof/>
                <w:webHidden/>
              </w:rPr>
              <w:fldChar w:fldCharType="begin"/>
            </w:r>
            <w:r w:rsidR="00762487">
              <w:rPr>
                <w:noProof/>
                <w:webHidden/>
              </w:rPr>
              <w:instrText xml:space="preserve"> PAGEREF _Toc57105452 \h </w:instrText>
            </w:r>
            <w:r w:rsidR="00762487">
              <w:rPr>
                <w:noProof/>
                <w:webHidden/>
              </w:rPr>
            </w:r>
            <w:r w:rsidR="00762487">
              <w:rPr>
                <w:noProof/>
                <w:webHidden/>
              </w:rPr>
              <w:fldChar w:fldCharType="separate"/>
            </w:r>
            <w:r w:rsidR="00A033AE">
              <w:rPr>
                <w:noProof/>
                <w:webHidden/>
              </w:rPr>
              <w:t>1</w:t>
            </w:r>
            <w:r w:rsidR="00762487">
              <w:rPr>
                <w:noProof/>
                <w:webHidden/>
              </w:rPr>
              <w:fldChar w:fldCharType="end"/>
            </w:r>
          </w:hyperlink>
        </w:p>
        <w:p w14:paraId="2B005D12" w14:textId="2F65D874" w:rsidR="00762487" w:rsidRDefault="00A033AE">
          <w:pPr>
            <w:pStyle w:val="Verzeichnis1"/>
            <w:tabs>
              <w:tab w:val="left" w:pos="480"/>
              <w:tab w:val="right" w:leader="dot" w:pos="9344"/>
            </w:tabs>
            <w:rPr>
              <w:rFonts w:asciiTheme="minorHAnsi" w:eastAsiaTheme="minorEastAsia" w:hAnsiTheme="minorHAnsi"/>
              <w:noProof/>
              <w:sz w:val="22"/>
              <w:lang w:eastAsia="de-DE"/>
            </w:rPr>
          </w:pPr>
          <w:hyperlink w:anchor="_Toc57105453" w:history="1">
            <w:r w:rsidR="00762487" w:rsidRPr="00CD1972">
              <w:rPr>
                <w:rStyle w:val="Hyperlink"/>
                <w:noProof/>
              </w:rPr>
              <w:t>2</w:t>
            </w:r>
            <w:r w:rsidR="00762487">
              <w:rPr>
                <w:rFonts w:asciiTheme="minorHAnsi" w:eastAsiaTheme="minorEastAsia" w:hAnsiTheme="minorHAnsi"/>
                <w:noProof/>
                <w:sz w:val="22"/>
                <w:lang w:eastAsia="de-DE"/>
              </w:rPr>
              <w:tab/>
            </w:r>
            <w:r w:rsidR="00762487" w:rsidRPr="00CD1972">
              <w:rPr>
                <w:rStyle w:val="Hyperlink"/>
                <w:noProof/>
              </w:rPr>
              <w:t>Der Aufbau eines Phasen-Diagramms am Beispiel Iod</w:t>
            </w:r>
            <w:r w:rsidR="00762487">
              <w:rPr>
                <w:noProof/>
                <w:webHidden/>
              </w:rPr>
              <w:tab/>
            </w:r>
            <w:r w:rsidR="00762487">
              <w:rPr>
                <w:noProof/>
                <w:webHidden/>
              </w:rPr>
              <w:fldChar w:fldCharType="begin"/>
            </w:r>
            <w:r w:rsidR="00762487">
              <w:rPr>
                <w:noProof/>
                <w:webHidden/>
              </w:rPr>
              <w:instrText xml:space="preserve"> PAGEREF _Toc57105453 \h </w:instrText>
            </w:r>
            <w:r w:rsidR="00762487">
              <w:rPr>
                <w:noProof/>
                <w:webHidden/>
              </w:rPr>
            </w:r>
            <w:r w:rsidR="00762487">
              <w:rPr>
                <w:noProof/>
                <w:webHidden/>
              </w:rPr>
              <w:fldChar w:fldCharType="separate"/>
            </w:r>
            <w:r>
              <w:rPr>
                <w:noProof/>
                <w:webHidden/>
              </w:rPr>
              <w:t>2</w:t>
            </w:r>
            <w:r w:rsidR="00762487">
              <w:rPr>
                <w:noProof/>
                <w:webHidden/>
              </w:rPr>
              <w:fldChar w:fldCharType="end"/>
            </w:r>
          </w:hyperlink>
        </w:p>
        <w:p w14:paraId="47FF54EE" w14:textId="7F6D2C3A" w:rsidR="00762487" w:rsidRDefault="00A033AE">
          <w:pPr>
            <w:pStyle w:val="Verzeichnis1"/>
            <w:tabs>
              <w:tab w:val="left" w:pos="480"/>
              <w:tab w:val="right" w:leader="dot" w:pos="9344"/>
            </w:tabs>
            <w:rPr>
              <w:rFonts w:asciiTheme="minorHAnsi" w:eastAsiaTheme="minorEastAsia" w:hAnsiTheme="minorHAnsi"/>
              <w:noProof/>
              <w:sz w:val="22"/>
              <w:lang w:eastAsia="de-DE"/>
            </w:rPr>
          </w:pPr>
          <w:hyperlink w:anchor="_Toc57105454" w:history="1">
            <w:r w:rsidR="00762487" w:rsidRPr="00CD1972">
              <w:rPr>
                <w:rStyle w:val="Hyperlink"/>
                <w:noProof/>
              </w:rPr>
              <w:t>3</w:t>
            </w:r>
            <w:r w:rsidR="00762487">
              <w:rPr>
                <w:rFonts w:asciiTheme="minorHAnsi" w:eastAsiaTheme="minorEastAsia" w:hAnsiTheme="minorHAnsi"/>
                <w:noProof/>
                <w:sz w:val="22"/>
                <w:lang w:eastAsia="de-DE"/>
              </w:rPr>
              <w:tab/>
            </w:r>
            <w:r w:rsidR="00762487" w:rsidRPr="00CD1972">
              <w:rPr>
                <w:rStyle w:val="Hyperlink"/>
                <w:noProof/>
              </w:rPr>
              <w:t>Die Clapeyron-Gleichung</w:t>
            </w:r>
            <w:r w:rsidR="00762487">
              <w:rPr>
                <w:noProof/>
                <w:webHidden/>
              </w:rPr>
              <w:tab/>
            </w:r>
            <w:r w:rsidR="00762487">
              <w:rPr>
                <w:noProof/>
                <w:webHidden/>
              </w:rPr>
              <w:fldChar w:fldCharType="begin"/>
            </w:r>
            <w:r w:rsidR="00762487">
              <w:rPr>
                <w:noProof/>
                <w:webHidden/>
              </w:rPr>
              <w:instrText xml:space="preserve"> PAGEREF _Toc57105454 \h </w:instrText>
            </w:r>
            <w:r w:rsidR="00762487">
              <w:rPr>
                <w:noProof/>
                <w:webHidden/>
              </w:rPr>
            </w:r>
            <w:r w:rsidR="00762487">
              <w:rPr>
                <w:noProof/>
                <w:webHidden/>
              </w:rPr>
              <w:fldChar w:fldCharType="separate"/>
            </w:r>
            <w:r>
              <w:rPr>
                <w:noProof/>
                <w:webHidden/>
              </w:rPr>
              <w:t>3</w:t>
            </w:r>
            <w:r w:rsidR="00762487">
              <w:rPr>
                <w:noProof/>
                <w:webHidden/>
              </w:rPr>
              <w:fldChar w:fldCharType="end"/>
            </w:r>
          </w:hyperlink>
        </w:p>
        <w:p w14:paraId="5AC765BB" w14:textId="2969FCB0" w:rsidR="009B4835" w:rsidRDefault="009B4835">
          <w:r>
            <w:rPr>
              <w:b/>
              <w:bCs/>
            </w:rPr>
            <w:fldChar w:fldCharType="end"/>
          </w:r>
        </w:p>
      </w:sdtContent>
    </w:sdt>
    <w:p w14:paraId="06CE8F08" w14:textId="05D1B6AC" w:rsidR="00480635" w:rsidRPr="00E3743F" w:rsidRDefault="00FD7888" w:rsidP="00480635">
      <w:pPr>
        <w:pStyle w:val="EinstiegAbschluss"/>
      </w:pPr>
      <w:bookmarkStart w:id="0" w:name="_Überschrift_1"/>
      <w:bookmarkEnd w:id="0"/>
      <w:r w:rsidRPr="0029716A">
        <w:rPr>
          <w:rStyle w:val="Fett"/>
        </w:rPr>
        <w:t>Einstieg</w:t>
      </w:r>
      <w:r>
        <w:t>:</w:t>
      </w:r>
      <w:r w:rsidR="0029716A">
        <w:t xml:space="preserve"> </w:t>
      </w:r>
      <w:r w:rsidR="00E3743F">
        <w:rPr>
          <w:rFonts w:cs="Arial"/>
        </w:rPr>
        <w:t xml:space="preserve">Ein großer Iod-Kristall wurde über Nacht in einem offenen Gefäß einfach kleiner. </w:t>
      </w:r>
      <w:r w:rsidR="00A033AE">
        <w:rPr>
          <w:rFonts w:cs="Arial"/>
        </w:rPr>
        <w:t>Das Phänomen wird in diesem Beitrag erläutert.</w:t>
      </w:r>
    </w:p>
    <w:p w14:paraId="02411B11" w14:textId="648BFFBF" w:rsidR="00E3743F" w:rsidRDefault="00E3743F" w:rsidP="00E3743F">
      <w:pPr>
        <w:pStyle w:val="Bilder"/>
      </w:pPr>
      <w:r>
        <w:rPr>
          <w:lang w:eastAsia="de-DE"/>
        </w:rPr>
        <w:drawing>
          <wp:inline distT="0" distB="0" distL="0" distR="0" wp14:anchorId="70114E7F" wp14:editId="23450527">
            <wp:extent cx="2992393"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393" cy="1800000"/>
                    </a:xfrm>
                    <a:prstGeom prst="rect">
                      <a:avLst/>
                    </a:prstGeom>
                    <a:noFill/>
                    <a:ln>
                      <a:noFill/>
                    </a:ln>
                  </pic:spPr>
                </pic:pic>
              </a:graphicData>
            </a:graphic>
          </wp:inline>
        </w:drawing>
      </w:r>
    </w:p>
    <w:p w14:paraId="69DF1BB3" w14:textId="08A7BE51" w:rsidR="00E3743F" w:rsidRPr="0029716A" w:rsidRDefault="00E3743F" w:rsidP="00E3743F">
      <w:pPr>
        <w:pStyle w:val="Beschriftung"/>
      </w:pPr>
      <w:r>
        <w:t xml:space="preserve">Abb. </w:t>
      </w:r>
      <w:fldSimple w:instr=" SEQ Abb. \* ARABIC ">
        <w:r w:rsidR="00A033AE">
          <w:rPr>
            <w:noProof/>
          </w:rPr>
          <w:t>1</w:t>
        </w:r>
      </w:fldSimple>
      <w:r>
        <w:t>: Iod-Kristall [</w:t>
      </w:r>
      <w:r>
        <w:fldChar w:fldCharType="begin"/>
      </w:r>
      <w:r>
        <w:instrText xml:space="preserve"> REF _Ref57104475 \r \h </w:instrText>
      </w:r>
      <w:r>
        <w:fldChar w:fldCharType="separate"/>
      </w:r>
      <w:r w:rsidR="00A033AE">
        <w:t>1</w:t>
      </w:r>
      <w:r>
        <w:fldChar w:fldCharType="end"/>
      </w:r>
      <w:r>
        <w:t>]</w:t>
      </w:r>
    </w:p>
    <w:p w14:paraId="3D51DEDA" w14:textId="6F0954A1" w:rsidR="00E8473B" w:rsidRDefault="00E3743F" w:rsidP="008A524D">
      <w:pPr>
        <w:pStyle w:val="berschrift1"/>
      </w:pPr>
      <w:bookmarkStart w:id="1" w:name="_Toc57105452"/>
      <w:r>
        <w:t>Aggregat-Zustände von Rein-Stoffen</w:t>
      </w:r>
      <w:bookmarkEnd w:id="1"/>
    </w:p>
    <w:p w14:paraId="54009913" w14:textId="48BA86FD" w:rsidR="00E3743F" w:rsidRDefault="003D01F3" w:rsidP="00E3743F">
      <w:pPr>
        <w:rPr>
          <w:rFonts w:cs="Arial"/>
        </w:rPr>
      </w:pPr>
      <w:r>
        <w:rPr>
          <w:rFonts w:cs="Arial"/>
        </w:rPr>
        <w:t xml:space="preserve">Rein-Stoffe liegen immer in drei verschiedenen Aggregat-Zuständen vor: fest, flüssig und gasförmig. Sie sind durch Veränderung von Druck und/oder Temperatur ineinander umwandelbar. In </w:t>
      </w:r>
      <w:r>
        <w:rPr>
          <w:rFonts w:cs="Arial"/>
          <w:color w:val="FF00FF" w:themeColor="accent4"/>
        </w:rPr>
        <w:fldChar w:fldCharType="begin"/>
      </w:r>
      <w:r>
        <w:rPr>
          <w:rFonts w:cs="Arial"/>
        </w:rPr>
        <w:instrText xml:space="preserve"> REF _Ref57104567 \h </w:instrText>
      </w:r>
      <w:r>
        <w:rPr>
          <w:rFonts w:cs="Arial"/>
          <w:color w:val="FF00FF" w:themeColor="accent4"/>
        </w:rPr>
      </w:r>
      <w:r>
        <w:rPr>
          <w:rFonts w:cs="Arial"/>
          <w:color w:val="FF00FF" w:themeColor="accent4"/>
        </w:rPr>
        <w:fldChar w:fldCharType="separate"/>
      </w:r>
      <w:r w:rsidR="00A033AE">
        <w:t xml:space="preserve">Abb. </w:t>
      </w:r>
      <w:r w:rsidR="00A033AE">
        <w:rPr>
          <w:noProof/>
        </w:rPr>
        <w:t>2</w:t>
      </w:r>
      <w:r>
        <w:rPr>
          <w:rFonts w:cs="Arial"/>
          <w:color w:val="FF00FF" w:themeColor="accent4"/>
        </w:rPr>
        <w:fldChar w:fldCharType="end"/>
      </w:r>
      <w:r>
        <w:rPr>
          <w:rFonts w:cs="Arial"/>
        </w:rPr>
        <w:t xml:space="preserve"> sind die Aggregat-Zustände (oder Phasen) eines Rein-Stoffs in einem Diagramm dargestellt.</w:t>
      </w:r>
    </w:p>
    <w:p w14:paraId="34D91F81" w14:textId="1A9657BD" w:rsidR="003D01F3" w:rsidRDefault="003D01F3" w:rsidP="003D01F3">
      <w:pPr>
        <w:pStyle w:val="Bilder"/>
      </w:pPr>
      <w:r>
        <w:rPr>
          <w:lang w:eastAsia="de-DE"/>
        </w:rPr>
        <w:drawing>
          <wp:inline distT="0" distB="0" distL="0" distR="0" wp14:anchorId="78F1D144" wp14:editId="27E98AFD">
            <wp:extent cx="1908962" cy="255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962" cy="2556000"/>
                    </a:xfrm>
                    <a:prstGeom prst="rect">
                      <a:avLst/>
                    </a:prstGeom>
                    <a:noFill/>
                    <a:ln>
                      <a:noFill/>
                    </a:ln>
                  </pic:spPr>
                </pic:pic>
              </a:graphicData>
            </a:graphic>
          </wp:inline>
        </w:drawing>
      </w:r>
    </w:p>
    <w:p w14:paraId="14B0ACAE" w14:textId="2590D6B2" w:rsidR="003D01F3" w:rsidRDefault="003D01F3" w:rsidP="003D01F3">
      <w:pPr>
        <w:pStyle w:val="Beschriftung"/>
      </w:pPr>
      <w:bookmarkStart w:id="2" w:name="_Ref57104567"/>
      <w:r>
        <w:t xml:space="preserve">Abb. </w:t>
      </w:r>
      <w:fldSimple w:instr=" SEQ Abb. \* ARABIC ">
        <w:r w:rsidR="00A033AE">
          <w:rPr>
            <w:noProof/>
          </w:rPr>
          <w:t>2</w:t>
        </w:r>
      </w:fldSimple>
      <w:bookmarkEnd w:id="2"/>
      <w:r>
        <w:t>: Aggregat-Zustand eines Rein-Stoffs</w:t>
      </w:r>
    </w:p>
    <w:p w14:paraId="53C0A889" w14:textId="5779D941" w:rsidR="003D01F3" w:rsidRDefault="003D01F3" w:rsidP="003D01F3">
      <w:pPr>
        <w:pStyle w:val="berschrift1"/>
      </w:pPr>
      <w:bookmarkStart w:id="3" w:name="_Toc57105453"/>
      <w:r>
        <w:lastRenderedPageBreak/>
        <w:t>Der Aufbau eines Phasen-Diagramms am Beispiel Iod</w:t>
      </w:r>
      <w:bookmarkEnd w:id="3"/>
    </w:p>
    <w:p w14:paraId="11C30440" w14:textId="044A747D" w:rsidR="00F12D89" w:rsidRDefault="00F12D89" w:rsidP="00F12D89">
      <w:r>
        <w:t xml:space="preserve">Die Abbildung von Aggregat-Zuständen (Phasen) erfolgt mit Hilfe von Phasen-Diagrammen. Dies ist die Darstellung eines Rein-Stoffs im Gleichgewicht zwischen den verschiedenen Phasen im geschlossenen System. </w:t>
      </w:r>
    </w:p>
    <w:p w14:paraId="512AC8F3" w14:textId="05056871" w:rsidR="00F12D89" w:rsidRDefault="00F12D89" w:rsidP="00F12D89">
      <w:pPr>
        <w:pStyle w:val="Bilder"/>
      </w:pPr>
      <w:r>
        <w:rPr>
          <w:lang w:eastAsia="de-DE"/>
        </w:rPr>
        <w:drawing>
          <wp:inline distT="0" distB="0" distL="0" distR="0" wp14:anchorId="48BC1D2C" wp14:editId="045114BF">
            <wp:extent cx="4380652" cy="36000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0652" cy="3600000"/>
                    </a:xfrm>
                    <a:prstGeom prst="rect">
                      <a:avLst/>
                    </a:prstGeom>
                    <a:noFill/>
                    <a:ln>
                      <a:noFill/>
                    </a:ln>
                  </pic:spPr>
                </pic:pic>
              </a:graphicData>
            </a:graphic>
          </wp:inline>
        </w:drawing>
      </w:r>
    </w:p>
    <w:p w14:paraId="3B8464D5" w14:textId="61440B28" w:rsidR="00F12D89" w:rsidRDefault="00814653" w:rsidP="00814653">
      <w:pPr>
        <w:pStyle w:val="Beschriftung"/>
      </w:pPr>
      <w:bookmarkStart w:id="4" w:name="_Ref57104646"/>
      <w:r>
        <w:t xml:space="preserve">Abb. </w:t>
      </w:r>
      <w:fldSimple w:instr=" SEQ Abb. \* ARABIC ">
        <w:r w:rsidR="00A033AE">
          <w:rPr>
            <w:noProof/>
          </w:rPr>
          <w:t>3</w:t>
        </w:r>
      </w:fldSimple>
      <w:bookmarkEnd w:id="4"/>
      <w:r>
        <w:t>: Phasen-Diagramm von Iod</w:t>
      </w:r>
    </w:p>
    <w:p w14:paraId="79116D28" w14:textId="213494EF" w:rsidR="00814653" w:rsidRPr="00814653" w:rsidRDefault="00814653" w:rsidP="00814653">
      <w:pPr>
        <w:rPr>
          <w:rStyle w:val="Fett"/>
        </w:rPr>
      </w:pPr>
      <w:r w:rsidRPr="00814653">
        <w:rPr>
          <w:rStyle w:val="Fett"/>
        </w:rPr>
        <w:t>Beschreibung des Phasen</w:t>
      </w:r>
      <w:r>
        <w:rPr>
          <w:rStyle w:val="Fett"/>
        </w:rPr>
        <w:t>-D</w:t>
      </w:r>
      <w:r w:rsidRPr="00814653">
        <w:rPr>
          <w:rStyle w:val="Fett"/>
        </w:rPr>
        <w:t>iagramms:</w:t>
      </w:r>
    </w:p>
    <w:p w14:paraId="2C95981C" w14:textId="5E5ED044" w:rsidR="00814653" w:rsidRDefault="00814653" w:rsidP="00814653">
      <w:r>
        <w:t>Die drei Flächen sind die Einphasen-Gebiete. In diesen Flächen liegt der Rein</w:t>
      </w:r>
      <w:r w:rsidR="007048D8">
        <w:t>-S</w:t>
      </w:r>
      <w:r>
        <w:t xml:space="preserve">toff Iod immer nur in jeweils einer Phase vor. Sie beschreiben die Phasen fest, flüssig und gasförmig. </w:t>
      </w:r>
    </w:p>
    <w:p w14:paraId="01F93854" w14:textId="175205CB" w:rsidR="00814653" w:rsidRDefault="00814653" w:rsidP="00814653">
      <w:r>
        <w:t>Die drei Linien (Koexistenz</w:t>
      </w:r>
      <w:r w:rsidR="007048D8">
        <w:t>-L</w:t>
      </w:r>
      <w:r>
        <w:t>inien) entsprechen den Zweiphasen</w:t>
      </w:r>
      <w:r w:rsidR="007048D8">
        <w:t>-G</w:t>
      </w:r>
      <w:r>
        <w:t>ebieten. Auf diesen Linien liegt der Rein</w:t>
      </w:r>
      <w:r w:rsidR="007048D8">
        <w:t>-S</w:t>
      </w:r>
      <w:r>
        <w:t>toff Iod immer gleichzeitig in zwei verschiedenen Phasen vor. Die Koexistenz</w:t>
      </w:r>
      <w:r w:rsidR="007048D8">
        <w:t>-L</w:t>
      </w:r>
      <w:r>
        <w:t>inien gliedern sich auf in die Sublimationskurve, die den Phasen</w:t>
      </w:r>
      <w:r w:rsidR="007048D8">
        <w:t>-Ü</w:t>
      </w:r>
      <w:r>
        <w:t>bergang von fest nach gasförmig beschreibt, die Schmelzkurve, die den Phasen</w:t>
      </w:r>
      <w:r w:rsidR="007048D8">
        <w:t>-Ü</w:t>
      </w:r>
      <w:r>
        <w:t>bergang von fest nach flüssig beschreibt und die Dampfdruck</w:t>
      </w:r>
      <w:r w:rsidR="007048D8">
        <w:t>-K</w:t>
      </w:r>
      <w:r>
        <w:t>urve, die den Phasen</w:t>
      </w:r>
      <w:r w:rsidR="007048D8">
        <w:t>-Ü</w:t>
      </w:r>
      <w:r>
        <w:t xml:space="preserve">bergang von flüssig nach gasförmig beschreibt. </w:t>
      </w:r>
    </w:p>
    <w:p w14:paraId="50F28CF0" w14:textId="6E24B653" w:rsidR="00814653" w:rsidRDefault="00814653" w:rsidP="00814653">
      <w:r>
        <w:t>Der Tripel</w:t>
      </w:r>
      <w:r w:rsidR="007048D8">
        <w:t>-P</w:t>
      </w:r>
      <w:r>
        <w:t>unkt entspricht einem Dreiphasen</w:t>
      </w:r>
      <w:r w:rsidR="007048D8">
        <w:t>-G</w:t>
      </w:r>
      <w:r>
        <w:t>ebiet. An diesem Punkt liegt der Rein</w:t>
      </w:r>
      <w:r w:rsidR="007048D8">
        <w:t>-S</w:t>
      </w:r>
      <w:r>
        <w:t>toff Iod immer gleichzeitig in allen drei Phasen im Gleichgewicht vor. Der Tripel</w:t>
      </w:r>
      <w:r w:rsidR="007048D8">
        <w:t>-P</w:t>
      </w:r>
      <w:r>
        <w:t>unkt von Iod liegt bei 385</w:t>
      </w:r>
      <w:r w:rsidR="007048D8">
        <w:t> </w:t>
      </w:r>
      <w:r>
        <w:t>K und 12</w:t>
      </w:r>
      <w:r w:rsidR="007048D8">
        <w:t>.</w:t>
      </w:r>
      <w:r>
        <w:t>600</w:t>
      </w:r>
      <w:r w:rsidR="007048D8">
        <w:t> </w:t>
      </w:r>
      <w:proofErr w:type="spellStart"/>
      <w:r>
        <w:t>Pa</w:t>
      </w:r>
      <w:proofErr w:type="spellEnd"/>
      <w:r>
        <w:t>.</w:t>
      </w:r>
    </w:p>
    <w:p w14:paraId="0415A34B" w14:textId="6DB30B50" w:rsidR="00814653" w:rsidRDefault="00814653" w:rsidP="00814653">
      <w:r>
        <w:t>Der kritische Punkt ist der Punkt an dem nur noch eine Phase existiert, da durch das Angleichen der Dichte der flüssigen und der gasförmigen Phase die Unterschiede zwischen den Phasen verschwinden. Der kritische Punkt von Iod liegt bei 1</w:t>
      </w:r>
      <w:r w:rsidR="007048D8">
        <w:t>.</w:t>
      </w:r>
      <w:r>
        <w:t>058</w:t>
      </w:r>
      <w:r w:rsidR="007048D8">
        <w:t> </w:t>
      </w:r>
      <w:r>
        <w:t>K und 12</w:t>
      </w:r>
      <w:r w:rsidR="007048D8">
        <w:t> </w:t>
      </w:r>
      <w:r>
        <w:t>MPa.</w:t>
      </w:r>
    </w:p>
    <w:p w14:paraId="6C83033F" w14:textId="77777777" w:rsidR="00762487" w:rsidRDefault="00762487">
      <w:pPr>
        <w:spacing w:before="0"/>
        <w:jc w:val="left"/>
        <w:rPr>
          <w:rFonts w:asciiTheme="majorHAnsi" w:eastAsiaTheme="majorEastAsia" w:hAnsiTheme="majorHAnsi" w:cstheme="majorBidi"/>
          <w:b/>
          <w:sz w:val="32"/>
          <w:szCs w:val="32"/>
        </w:rPr>
      </w:pPr>
      <w:r>
        <w:br w:type="page"/>
      </w:r>
    </w:p>
    <w:p w14:paraId="0F84A6B4" w14:textId="505874BB" w:rsidR="00814653" w:rsidRDefault="007048D8" w:rsidP="007048D8">
      <w:pPr>
        <w:pStyle w:val="berschrift1"/>
      </w:pPr>
      <w:bookmarkStart w:id="5" w:name="_Toc57105454"/>
      <w:r>
        <w:lastRenderedPageBreak/>
        <w:t xml:space="preserve">Die </w:t>
      </w:r>
      <w:proofErr w:type="spellStart"/>
      <w:r>
        <w:t>Clapeyron</w:t>
      </w:r>
      <w:proofErr w:type="spellEnd"/>
      <w:r>
        <w:t>-Gleichung</w:t>
      </w:r>
      <w:bookmarkEnd w:id="5"/>
    </w:p>
    <w:p w14:paraId="4888FA0B" w14:textId="52D4202E" w:rsidR="007048D8" w:rsidRDefault="007048D8" w:rsidP="007048D8">
      <w:r>
        <w:t>Mathematische Berechnung der Steigung der drei Koexistenz-Linien:</w:t>
      </w:r>
    </w:p>
    <w:p w14:paraId="49ED5030" w14:textId="4A2AF225" w:rsidR="007048D8" w:rsidRDefault="007048D8" w:rsidP="007048D8">
      <w:r>
        <w:t>Auf den Koexistenz-Linien liegen zwei Phasen im Gleichgewicht vor. Das heißt sie haben gleiche chemische Potentiale „μ“:</w:t>
      </w:r>
    </w:p>
    <w:p w14:paraId="6C986203" w14:textId="42E5E192" w:rsidR="007048D8" w:rsidRDefault="00A033AE" w:rsidP="007048D8">
      <w:pPr>
        <w:pStyle w:val="Formeln"/>
        <w:rPr>
          <w:rFonts w:eastAsiaTheme="minorEastAsia"/>
        </w:rPr>
      </w:pPr>
      <m:oMath>
        <m:sSub>
          <m:sSubPr>
            <m:ctrlPr>
              <w:rPr>
                <w:rFonts w:ascii="Cambria Math" w:hAnsi="Cambria Math"/>
                <w:iCs/>
              </w:rPr>
            </m:ctrlPr>
          </m:sSubPr>
          <m:e>
            <m:r>
              <m:rPr>
                <m:nor/>
              </m:rPr>
              <w:rPr>
                <w:iCs/>
              </w:rPr>
              <m:t>μ</m:t>
            </m:r>
          </m:e>
          <m:sub>
            <m:r>
              <m:rPr>
                <m:nor/>
              </m:rPr>
              <w:rPr>
                <w:iCs/>
              </w:rPr>
              <m:t>α</m:t>
            </m:r>
          </m:sub>
        </m:sSub>
        <m:r>
          <m:rPr>
            <m:nor/>
          </m:rPr>
          <w:rPr>
            <w:iCs/>
          </w:rPr>
          <m:t xml:space="preserve"> =</m:t>
        </m:r>
        <m:r>
          <m:rPr>
            <m:sty m:val="p"/>
          </m:rPr>
          <w:rPr>
            <w:rFonts w:ascii="Cambria Math" w:hAnsi="Cambria Math"/>
          </w:rPr>
          <m:t xml:space="preserve"> </m:t>
        </m:r>
        <m:sSub>
          <m:sSubPr>
            <m:ctrlPr>
              <w:rPr>
                <w:rFonts w:ascii="Cambria Math" w:hAnsi="Cambria Math"/>
                <w:iCs/>
              </w:rPr>
            </m:ctrlPr>
          </m:sSubPr>
          <m:e>
            <m:r>
              <m:rPr>
                <m:nor/>
              </m:rPr>
              <w:rPr>
                <w:iCs/>
              </w:rPr>
              <m:t>μ</m:t>
            </m:r>
          </m:e>
          <m:sub>
            <m:r>
              <m:rPr>
                <m:nor/>
              </m:rPr>
              <w:rPr>
                <w:iCs/>
              </w:rPr>
              <m:t>β</m:t>
            </m:r>
          </m:sub>
        </m:sSub>
      </m:oMath>
      <w:r w:rsidR="007048D8">
        <w:rPr>
          <w:rFonts w:eastAsiaTheme="minorEastAsia"/>
        </w:rPr>
        <w:tab/>
        <w:t>(1)</w:t>
      </w:r>
    </w:p>
    <w:p w14:paraId="080B6D9E" w14:textId="585F7552" w:rsidR="007048D8" w:rsidRDefault="007048D8" w:rsidP="007048D8">
      <w:r>
        <w:rPr>
          <w:rFonts w:cs="Arial"/>
        </w:rPr>
        <w:t>Bei jeder Veränderung, gilt für (1): Die Änderung der chemischen Potentiale „</w:t>
      </w:r>
      <w:proofErr w:type="spellStart"/>
      <w:r>
        <w:rPr>
          <w:rFonts w:cs="Arial"/>
        </w:rPr>
        <w:t>Δμ</w:t>
      </w:r>
      <w:proofErr w:type="spellEnd"/>
      <w:r>
        <w:rPr>
          <w:rFonts w:cs="Arial"/>
        </w:rPr>
        <w:t>“ ist gleich:</w:t>
      </w:r>
    </w:p>
    <w:p w14:paraId="686CC5E2" w14:textId="325B4C9B" w:rsidR="007048D8" w:rsidRDefault="00A033AE" w:rsidP="007048D8">
      <w:pPr>
        <w:pStyle w:val="Formeln"/>
        <w:rPr>
          <w:rFonts w:eastAsiaTheme="minorEastAsia"/>
        </w:rPr>
      </w:pPr>
      <m:oMath>
        <m:sSub>
          <m:sSubPr>
            <m:ctrlPr>
              <w:rPr>
                <w:rFonts w:ascii="Cambria Math" w:hAnsi="Cambria Math"/>
              </w:rPr>
            </m:ctrlPr>
          </m:sSubPr>
          <m:e>
            <m:r>
              <m:rPr>
                <m:nor/>
              </m:rPr>
              <m:t>Δμ</m:t>
            </m:r>
          </m:e>
          <m:sub>
            <m:r>
              <m:rPr>
                <m:nor/>
              </m:rPr>
              <m:t>α</m:t>
            </m:r>
          </m:sub>
        </m:sSub>
        <m:r>
          <m:rPr>
            <m:nor/>
          </m:rPr>
          <m:t xml:space="preserve"> = </m:t>
        </m:r>
        <m:sSub>
          <m:sSubPr>
            <m:ctrlPr>
              <w:rPr>
                <w:rFonts w:ascii="Cambria Math" w:hAnsi="Cambria Math"/>
              </w:rPr>
            </m:ctrlPr>
          </m:sSubPr>
          <m:e>
            <m:r>
              <m:rPr>
                <m:nor/>
              </m:rPr>
              <m:t>Δμ</m:t>
            </m:r>
          </m:e>
          <m:sub>
            <m:r>
              <m:rPr>
                <m:nor/>
              </m:rPr>
              <m:t>β</m:t>
            </m:r>
          </m:sub>
        </m:sSub>
      </m:oMath>
      <w:r w:rsidR="007048D8">
        <w:rPr>
          <w:rFonts w:eastAsiaTheme="minorEastAsia"/>
        </w:rPr>
        <w:tab/>
        <w:t>(2)</w:t>
      </w:r>
    </w:p>
    <w:p w14:paraId="7396A428" w14:textId="70139D35" w:rsidR="007048D8" w:rsidRDefault="007048D8" w:rsidP="007048D8">
      <w:pPr>
        <w:rPr>
          <w:rFonts w:cs="Arial"/>
        </w:rPr>
      </w:pPr>
      <w:r>
        <w:rPr>
          <w:rFonts w:cs="Arial"/>
        </w:rPr>
        <w:t>Aus der Gibbs-</w:t>
      </w:r>
      <w:proofErr w:type="spellStart"/>
      <w:r>
        <w:rPr>
          <w:rFonts w:cs="Arial"/>
        </w:rPr>
        <w:t>Duhem</w:t>
      </w:r>
      <w:proofErr w:type="spellEnd"/>
      <w:r>
        <w:rPr>
          <w:rFonts w:cs="Arial"/>
        </w:rPr>
        <w:t>-Gleichung ist der Zusammenhang zwischen der Änderung der chemischen Potentiale der Komponenten eines thermodynamischen Systems bekannt:</w:t>
      </w:r>
    </w:p>
    <w:p w14:paraId="3B82F789" w14:textId="46CB16D6" w:rsidR="007048D8" w:rsidRPr="00A033AE" w:rsidRDefault="007048D8" w:rsidP="007048D8">
      <w:pPr>
        <w:pStyle w:val="Formeln"/>
        <w:rPr>
          <w:rFonts w:eastAsiaTheme="minorEastAsia"/>
          <w:lang w:val="en-US"/>
        </w:rPr>
      </w:pPr>
      <w:proofErr w:type="spellStart"/>
      <m:oMath>
        <m:r>
          <m:rPr>
            <m:nor/>
          </m:rPr>
          <m:t>Δμ</m:t>
        </m:r>
        <w:proofErr w:type="spellEnd"/>
        <m:r>
          <m:rPr>
            <m:nor/>
          </m:rPr>
          <w:rPr>
            <w:lang w:val="en-US"/>
          </w:rPr>
          <m:t xml:space="preserve"> = -</m:t>
        </m:r>
        <m:sSub>
          <m:sSubPr>
            <m:ctrlPr>
              <w:rPr>
                <w:rFonts w:ascii="Cambria Math" w:hAnsi="Cambria Math"/>
              </w:rPr>
            </m:ctrlPr>
          </m:sSubPr>
          <m:e>
            <m:r>
              <m:rPr>
                <m:nor/>
              </m:rPr>
              <w:rPr>
                <w:lang w:val="en-US"/>
              </w:rPr>
              <m:t>S</m:t>
            </m:r>
          </m:e>
          <m:sub>
            <m:r>
              <m:rPr>
                <m:nor/>
              </m:rPr>
              <w:rPr>
                <w:lang w:val="en-US"/>
              </w:rPr>
              <m:t>m</m:t>
            </m:r>
          </m:sub>
        </m:sSub>
        <m:r>
          <m:rPr>
            <m:nor/>
          </m:rPr>
          <m:t>Δ</m:t>
        </m:r>
        <m:r>
          <m:rPr>
            <m:nor/>
          </m:rPr>
          <w:rPr>
            <w:lang w:val="en-US"/>
          </w:rPr>
          <m:t>T +</m:t>
        </m:r>
        <m:r>
          <m:rPr>
            <m:sty m:val="p"/>
          </m:rPr>
          <w:rPr>
            <w:rFonts w:ascii="Cambria Math" w:hAnsi="Cambria Math"/>
            <w:lang w:val="en-US"/>
          </w:rPr>
          <m:t xml:space="preserve"> </m:t>
        </m:r>
        <m:sSub>
          <m:sSubPr>
            <m:ctrlPr>
              <w:rPr>
                <w:rFonts w:ascii="Cambria Math" w:hAnsi="Cambria Math"/>
              </w:rPr>
            </m:ctrlPr>
          </m:sSubPr>
          <m:e>
            <m:r>
              <m:rPr>
                <m:nor/>
              </m:rPr>
              <w:rPr>
                <w:lang w:val="en-US"/>
              </w:rPr>
              <m:t>V</m:t>
            </m:r>
          </m:e>
          <m:sub>
            <m:r>
              <m:rPr>
                <m:nor/>
              </m:rPr>
              <w:rPr>
                <w:lang w:val="en-US"/>
              </w:rPr>
              <m:t>m</m:t>
            </m:r>
          </m:sub>
        </m:sSub>
        <m:r>
          <m:rPr>
            <m:nor/>
          </m:rPr>
          <m:t>Δ</m:t>
        </m:r>
        <m:r>
          <m:rPr>
            <m:nor/>
          </m:rPr>
          <w:rPr>
            <w:lang w:val="en-US"/>
          </w:rPr>
          <m:t>p</m:t>
        </m:r>
      </m:oMath>
      <w:r w:rsidRPr="00A033AE">
        <w:rPr>
          <w:rFonts w:eastAsiaTheme="minorEastAsia"/>
          <w:lang w:val="en-US"/>
        </w:rPr>
        <w:tab/>
        <w:t>(3)</w:t>
      </w:r>
    </w:p>
    <w:p w14:paraId="46777AEA" w14:textId="5ABD335D" w:rsidR="007048D8" w:rsidRDefault="007048D8" w:rsidP="007048D8">
      <w:pPr>
        <w:ind w:left="2268"/>
      </w:pPr>
      <w:proofErr w:type="spellStart"/>
      <w:r w:rsidRPr="007048D8">
        <w:rPr>
          <w:rStyle w:val="Fett"/>
        </w:rPr>
        <w:t>S</w:t>
      </w:r>
      <w:r w:rsidRPr="007048D8">
        <w:rPr>
          <w:rStyle w:val="Fett"/>
          <w:vertAlign w:val="subscript"/>
        </w:rPr>
        <w:t>m</w:t>
      </w:r>
      <w:proofErr w:type="spellEnd"/>
      <w:r>
        <w:t>= molare Entropie</w:t>
      </w:r>
    </w:p>
    <w:p w14:paraId="250960B5" w14:textId="77777777" w:rsidR="007048D8" w:rsidRDefault="007048D8" w:rsidP="007048D8">
      <w:pPr>
        <w:ind w:left="2268"/>
      </w:pPr>
      <w:proofErr w:type="spellStart"/>
      <w:r w:rsidRPr="007048D8">
        <w:rPr>
          <w:rStyle w:val="Fett"/>
        </w:rPr>
        <w:t>V</w:t>
      </w:r>
      <w:r w:rsidRPr="007048D8">
        <w:rPr>
          <w:rStyle w:val="Fett"/>
          <w:vertAlign w:val="subscript"/>
        </w:rPr>
        <w:t>m</w:t>
      </w:r>
      <w:proofErr w:type="spellEnd"/>
      <w:r>
        <w:t>= molares Volumen</w:t>
      </w:r>
    </w:p>
    <w:p w14:paraId="78E6D757" w14:textId="77777777" w:rsidR="007048D8" w:rsidRDefault="007048D8" w:rsidP="007048D8">
      <w:pPr>
        <w:ind w:left="2268"/>
      </w:pPr>
      <w:r w:rsidRPr="007048D8">
        <w:rPr>
          <w:rStyle w:val="Fett"/>
        </w:rPr>
        <w:t>ΔT</w:t>
      </w:r>
      <w:r>
        <w:t xml:space="preserve"> = Änderung Temperatur</w:t>
      </w:r>
    </w:p>
    <w:p w14:paraId="176089B0" w14:textId="12BA78EB" w:rsidR="007048D8" w:rsidRDefault="007048D8" w:rsidP="007048D8">
      <w:pPr>
        <w:ind w:left="2268"/>
      </w:pPr>
      <w:proofErr w:type="spellStart"/>
      <w:r w:rsidRPr="007048D8">
        <w:rPr>
          <w:rStyle w:val="Fett"/>
        </w:rPr>
        <w:t>Δp</w:t>
      </w:r>
      <w:proofErr w:type="spellEnd"/>
      <w:r>
        <w:t>= Änderung Druck</w:t>
      </w:r>
    </w:p>
    <w:p w14:paraId="6D8EF3AF" w14:textId="77777777" w:rsidR="007048D8" w:rsidRDefault="007048D8" w:rsidP="007048D8">
      <w:r>
        <w:t>Einsetzen der Gibbs-</w:t>
      </w:r>
      <w:proofErr w:type="spellStart"/>
      <w:r>
        <w:t>Duhem</w:t>
      </w:r>
      <w:proofErr w:type="spellEnd"/>
      <w:r>
        <w:t>-Gleichung (3) in (2):</w:t>
      </w:r>
    </w:p>
    <w:p w14:paraId="7837E53B" w14:textId="6B41E19B" w:rsidR="007048D8" w:rsidRPr="00A033AE" w:rsidRDefault="007048D8" w:rsidP="007048D8">
      <w:pPr>
        <w:pStyle w:val="Formeln"/>
        <w:rPr>
          <w:rFonts w:eastAsiaTheme="minorEastAsia"/>
          <w:lang w:val="en-US"/>
        </w:rPr>
      </w:pPr>
      <m:oMathPara>
        <m:oMath>
          <m:r>
            <m:rPr>
              <m:nor/>
            </m:rPr>
            <w:rPr>
              <w:lang w:val="en-US"/>
            </w:rPr>
            <m:t>-</m:t>
          </m:r>
          <m:sSub>
            <m:sSubPr>
              <m:ctrlPr>
                <w:rPr>
                  <w:rFonts w:ascii="Cambria Math" w:hAnsi="Cambria Math"/>
                </w:rPr>
              </m:ctrlPr>
            </m:sSubPr>
            <m:e>
              <m:r>
                <m:rPr>
                  <m:nor/>
                </m:rPr>
                <w:rPr>
                  <w:lang w:val="en-US"/>
                </w:rPr>
                <m:t>S</m:t>
              </m:r>
            </m:e>
            <m:sub>
              <m:r>
                <m:rPr>
                  <m:nor/>
                </m:rPr>
                <m:t>α</m:t>
              </m:r>
              <m:r>
                <m:rPr>
                  <m:nor/>
                </m:rPr>
                <w:rPr>
                  <w:lang w:val="en-US"/>
                </w:rPr>
                <m:t>,m</m:t>
              </m:r>
            </m:sub>
          </m:sSub>
          <m:r>
            <m:rPr>
              <m:nor/>
            </m:rPr>
            <m:t>Δ</m:t>
          </m:r>
          <m:r>
            <m:rPr>
              <m:nor/>
            </m:rPr>
            <w:rPr>
              <w:lang w:val="en-US"/>
            </w:rPr>
            <m:t xml:space="preserve">T + </m:t>
          </m:r>
          <m:sSub>
            <m:sSubPr>
              <m:ctrlPr>
                <w:rPr>
                  <w:rFonts w:ascii="Cambria Math" w:hAnsi="Cambria Math"/>
                </w:rPr>
              </m:ctrlPr>
            </m:sSubPr>
            <m:e>
              <m:r>
                <m:rPr>
                  <m:nor/>
                </m:rPr>
                <w:rPr>
                  <w:lang w:val="en-US"/>
                </w:rPr>
                <m:t>V</m:t>
              </m:r>
            </m:e>
            <m:sub>
              <m:r>
                <m:rPr>
                  <m:nor/>
                </m:rPr>
                <m:t>α</m:t>
              </m:r>
              <m:r>
                <m:rPr>
                  <m:nor/>
                </m:rPr>
                <w:rPr>
                  <w:lang w:val="en-US"/>
                </w:rPr>
                <m:t>,m</m:t>
              </m:r>
            </m:sub>
          </m:sSub>
          <m:r>
            <m:rPr>
              <m:nor/>
            </m:rPr>
            <m:t>Δ</m:t>
          </m:r>
          <m:r>
            <m:rPr>
              <m:nor/>
            </m:rPr>
            <w:rPr>
              <w:lang w:val="en-US"/>
            </w:rPr>
            <m:t>p = -</m:t>
          </m:r>
          <m:sSub>
            <m:sSubPr>
              <m:ctrlPr>
                <w:rPr>
                  <w:rFonts w:ascii="Cambria Math" w:hAnsi="Cambria Math"/>
                </w:rPr>
              </m:ctrlPr>
            </m:sSubPr>
            <m:e>
              <m:r>
                <m:rPr>
                  <m:nor/>
                </m:rPr>
                <w:rPr>
                  <w:lang w:val="en-US"/>
                </w:rPr>
                <m:t>S</m:t>
              </m:r>
            </m:e>
            <m:sub>
              <m:r>
                <m:rPr>
                  <m:nor/>
                </m:rPr>
                <m:t>β</m:t>
              </m:r>
              <m:r>
                <m:rPr>
                  <m:nor/>
                </m:rPr>
                <w:rPr>
                  <w:lang w:val="en-US"/>
                </w:rPr>
                <m:t>,m</m:t>
              </m:r>
            </m:sub>
          </m:sSub>
          <m:r>
            <m:rPr>
              <m:nor/>
            </m:rPr>
            <m:t>Δ</m:t>
          </m:r>
          <m:r>
            <m:rPr>
              <m:nor/>
            </m:rPr>
            <w:rPr>
              <w:lang w:val="en-US"/>
            </w:rPr>
            <m:t xml:space="preserve">T + </m:t>
          </m:r>
          <m:sSub>
            <m:sSubPr>
              <m:ctrlPr>
                <w:rPr>
                  <w:rFonts w:ascii="Cambria Math" w:hAnsi="Cambria Math"/>
                </w:rPr>
              </m:ctrlPr>
            </m:sSubPr>
            <m:e>
              <m:r>
                <m:rPr>
                  <m:nor/>
                </m:rPr>
                <w:rPr>
                  <w:lang w:val="en-US"/>
                </w:rPr>
                <m:t>V</m:t>
              </m:r>
            </m:e>
            <m:sub>
              <m:r>
                <m:rPr>
                  <m:nor/>
                </m:rPr>
                <m:t>β</m:t>
              </m:r>
              <m:r>
                <m:rPr>
                  <m:nor/>
                </m:rPr>
                <w:rPr>
                  <w:lang w:val="en-US"/>
                </w:rPr>
                <m:t>,m</m:t>
              </m:r>
            </m:sub>
          </m:sSub>
          <m:r>
            <m:rPr>
              <m:nor/>
            </m:rPr>
            <m:t>Δ</m:t>
          </m:r>
          <m:r>
            <m:rPr>
              <m:nor/>
            </m:rPr>
            <w:rPr>
              <w:lang w:val="en-US"/>
            </w:rPr>
            <m:t>p</m:t>
          </m:r>
        </m:oMath>
      </m:oMathPara>
    </w:p>
    <w:p w14:paraId="5978E84D" w14:textId="1E193EB9" w:rsidR="007048D8" w:rsidRDefault="007048D8" w:rsidP="007048D8">
      <w:pPr>
        <w:rPr>
          <w:rFonts w:cs="Arial"/>
        </w:rPr>
      </w:pPr>
      <w:r>
        <w:rPr>
          <w:rFonts w:cs="Arial"/>
        </w:rPr>
        <w:t xml:space="preserve">Durch Ausklammern von </w:t>
      </w:r>
      <w:proofErr w:type="spellStart"/>
      <w:r>
        <w:rPr>
          <w:rFonts w:cs="Arial"/>
        </w:rPr>
        <w:t>Δp</w:t>
      </w:r>
      <w:proofErr w:type="spellEnd"/>
      <w:r>
        <w:rPr>
          <w:rFonts w:cs="Arial"/>
        </w:rPr>
        <w:t xml:space="preserve"> und ΔT und Umformen erhält man die </w:t>
      </w:r>
      <w:proofErr w:type="spellStart"/>
      <w:r>
        <w:rPr>
          <w:rFonts w:cs="Arial"/>
        </w:rPr>
        <w:t>Clapeyron</w:t>
      </w:r>
      <w:proofErr w:type="spellEnd"/>
      <w:r>
        <w:rPr>
          <w:rFonts w:cs="Arial"/>
        </w:rPr>
        <w:t>-Gleichung:</w:t>
      </w:r>
    </w:p>
    <w:p w14:paraId="49880F01" w14:textId="5AA3293E" w:rsidR="007048D8" w:rsidRPr="007048D8" w:rsidRDefault="00A033AE" w:rsidP="007048D8">
      <w:pPr>
        <w:pStyle w:val="Formeln"/>
        <w:rPr>
          <w:rFonts w:eastAsiaTheme="minorEastAsia" w:cs="Arial"/>
        </w:rPr>
      </w:pPr>
      <m:oMathPara>
        <m:oMath>
          <m:f>
            <m:fPr>
              <m:ctrlPr>
                <w:rPr>
                  <w:rFonts w:ascii="Cambria Math" w:hAnsi="Cambria Math"/>
                </w:rPr>
              </m:ctrlPr>
            </m:fPr>
            <m:num>
              <m:r>
                <m:rPr>
                  <m:nor/>
                </m:rPr>
                <m:t>Δp</m:t>
              </m:r>
            </m:num>
            <m:den>
              <m:r>
                <m:rPr>
                  <m:nor/>
                </m:rPr>
                <m:t>ΔT</m:t>
              </m:r>
            </m:den>
          </m:f>
          <m:r>
            <m:rPr>
              <m:nor/>
            </m:rPr>
            <m:t xml:space="preserve"> =</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nor/>
                    </m:rPr>
                    <m:t>ΔS</m:t>
                  </m:r>
                </m:e>
                <m:sub>
                  <m:r>
                    <m:rPr>
                      <m:nor/>
                    </m:rPr>
                    <m:t>m</m:t>
                  </m:r>
                </m:sub>
              </m:sSub>
            </m:num>
            <m:den>
              <m:sSub>
                <m:sSubPr>
                  <m:ctrlPr>
                    <w:rPr>
                      <w:rFonts w:ascii="Cambria Math" w:hAnsi="Cambria Math"/>
                    </w:rPr>
                  </m:ctrlPr>
                </m:sSubPr>
                <m:e>
                  <m:r>
                    <m:rPr>
                      <m:nor/>
                    </m:rPr>
                    <m:t>Δ</m:t>
                  </m:r>
                </m:e>
                <m:sub>
                  <m:r>
                    <m:rPr>
                      <m:nor/>
                    </m:rPr>
                    <m:t>V</m:t>
                  </m:r>
                </m:sub>
              </m:sSub>
              <m:r>
                <m:rPr>
                  <m:nor/>
                </m:rPr>
                <m:t>m</m:t>
              </m:r>
            </m:den>
          </m:f>
          <m:r>
            <w:rPr>
              <w:rFonts w:ascii="Cambria Math" w:hAnsi="Cambria Math"/>
            </w:rPr>
            <m:t xml:space="preserve"> </m:t>
          </m:r>
        </m:oMath>
      </m:oMathPara>
    </w:p>
    <w:p w14:paraId="407219EC" w14:textId="3BE11557" w:rsidR="007048D8" w:rsidRPr="00A033AE" w:rsidRDefault="00281DEB" w:rsidP="00281DEB">
      <w:pPr>
        <w:pStyle w:val="Formeln"/>
        <w:rPr>
          <w:rFonts w:eastAsiaTheme="minorEastAsia"/>
          <w:lang w:val="en-US"/>
        </w:rPr>
      </w:pPr>
      <m:oMathPara>
        <m:oMath>
          <m:r>
            <m:rPr>
              <m:nor/>
            </m:rPr>
            <m:t>Δ</m:t>
          </m:r>
          <m:sSub>
            <m:sSubPr>
              <m:ctrlPr>
                <w:rPr>
                  <w:rFonts w:ascii="Cambria Math" w:hAnsi="Cambria Math"/>
                </w:rPr>
              </m:ctrlPr>
            </m:sSubPr>
            <m:e>
              <m:r>
                <m:rPr>
                  <m:nor/>
                </m:rPr>
                <w:rPr>
                  <w:lang w:val="en-US"/>
                </w:rPr>
                <m:t>S</m:t>
              </m:r>
            </m:e>
            <m:sub>
              <m:r>
                <m:rPr>
                  <m:nor/>
                </m:rPr>
                <w:rPr>
                  <w:lang w:val="en-US"/>
                </w:rPr>
                <m:t>m</m:t>
              </m:r>
            </m:sub>
          </m:sSub>
          <m:r>
            <m:rPr>
              <m:nor/>
            </m:rPr>
            <w:rPr>
              <w:lang w:val="en-US"/>
            </w:rPr>
            <m:t xml:space="preserve"> = </m:t>
          </m:r>
          <m:sSub>
            <m:sSubPr>
              <m:ctrlPr>
                <w:rPr>
                  <w:rFonts w:ascii="Cambria Math" w:hAnsi="Cambria Math"/>
                </w:rPr>
              </m:ctrlPr>
            </m:sSubPr>
            <m:e>
              <m:r>
                <m:rPr>
                  <m:nor/>
                </m:rPr>
                <w:rPr>
                  <w:lang w:val="en-US"/>
                </w:rPr>
                <m:t>S</m:t>
              </m:r>
            </m:e>
            <m:sub>
              <m:r>
                <m:rPr>
                  <m:nor/>
                </m:rPr>
                <m:t>β</m:t>
              </m:r>
              <m:r>
                <m:rPr>
                  <m:nor/>
                </m:rPr>
                <w:rPr>
                  <w:lang w:val="en-US"/>
                </w:rPr>
                <m:t>,m</m:t>
              </m:r>
            </m:sub>
          </m:sSub>
          <m:r>
            <m:rPr>
              <m:nor/>
            </m:rPr>
            <w:rPr>
              <w:lang w:val="en-US"/>
            </w:rPr>
            <m:t xml:space="preserve"> - </m:t>
          </m:r>
          <m:sSub>
            <m:sSubPr>
              <m:ctrlPr>
                <w:rPr>
                  <w:rFonts w:ascii="Cambria Math" w:hAnsi="Cambria Math"/>
                </w:rPr>
              </m:ctrlPr>
            </m:sSubPr>
            <m:e>
              <m:r>
                <m:rPr>
                  <m:nor/>
                </m:rPr>
                <w:rPr>
                  <w:lang w:val="en-US"/>
                </w:rPr>
                <m:t>S</m:t>
              </m:r>
            </m:e>
            <m:sub>
              <m:r>
                <m:rPr>
                  <m:nor/>
                </m:rPr>
                <m:t>α</m:t>
              </m:r>
              <m:r>
                <m:rPr>
                  <m:nor/>
                </m:rPr>
                <w:rPr>
                  <w:lang w:val="en-US"/>
                </w:rPr>
                <m:t>,m</m:t>
              </m:r>
            </m:sub>
          </m:sSub>
        </m:oMath>
      </m:oMathPara>
    </w:p>
    <w:p w14:paraId="2867FC30" w14:textId="2DD3656E" w:rsidR="00281DEB" w:rsidRPr="00A033AE" w:rsidRDefault="00281DEB" w:rsidP="00281DEB">
      <w:pPr>
        <w:pStyle w:val="Formeln"/>
        <w:rPr>
          <w:lang w:val="en-US"/>
        </w:rPr>
      </w:pPr>
      <m:oMathPara>
        <m:oMath>
          <m:r>
            <m:rPr>
              <m:nor/>
            </m:rPr>
            <m:t>Δ</m:t>
          </m:r>
          <m:sSub>
            <m:sSubPr>
              <m:ctrlPr>
                <w:rPr>
                  <w:rFonts w:ascii="Cambria Math" w:hAnsi="Cambria Math"/>
                </w:rPr>
              </m:ctrlPr>
            </m:sSubPr>
            <m:e>
              <m:r>
                <m:rPr>
                  <m:nor/>
                </m:rPr>
                <w:rPr>
                  <w:lang w:val="en-US"/>
                </w:rPr>
                <m:t>V</m:t>
              </m:r>
            </m:e>
            <m:sub>
              <m:r>
                <m:rPr>
                  <m:nor/>
                </m:rPr>
                <w:rPr>
                  <w:lang w:val="en-US"/>
                </w:rPr>
                <m:t>m</m:t>
              </m:r>
            </m:sub>
          </m:sSub>
          <m:r>
            <m:rPr>
              <m:nor/>
            </m:rPr>
            <w:rPr>
              <w:lang w:val="en-US"/>
            </w:rPr>
            <m:t xml:space="preserve"> = </m:t>
          </m:r>
          <m:sSub>
            <m:sSubPr>
              <m:ctrlPr>
                <w:rPr>
                  <w:rFonts w:ascii="Cambria Math" w:hAnsi="Cambria Math"/>
                </w:rPr>
              </m:ctrlPr>
            </m:sSubPr>
            <m:e>
              <m:r>
                <m:rPr>
                  <m:nor/>
                </m:rPr>
                <w:rPr>
                  <w:lang w:val="en-US"/>
                </w:rPr>
                <m:t>V</m:t>
              </m:r>
            </m:e>
            <m:sub>
              <m:r>
                <m:rPr>
                  <m:nor/>
                </m:rPr>
                <m:t>β</m:t>
              </m:r>
              <m:r>
                <m:rPr>
                  <m:nor/>
                </m:rPr>
                <w:rPr>
                  <w:lang w:val="en-US"/>
                </w:rPr>
                <m:t>,m</m:t>
              </m:r>
            </m:sub>
          </m:sSub>
          <m:r>
            <m:rPr>
              <m:nor/>
            </m:rPr>
            <w:rPr>
              <w:lang w:val="en-US"/>
            </w:rPr>
            <m:t xml:space="preserve"> - </m:t>
          </m:r>
          <m:sSub>
            <m:sSubPr>
              <m:ctrlPr>
                <w:rPr>
                  <w:rFonts w:ascii="Cambria Math" w:hAnsi="Cambria Math"/>
                </w:rPr>
              </m:ctrlPr>
            </m:sSubPr>
            <m:e>
              <m:r>
                <m:rPr>
                  <m:nor/>
                </m:rPr>
                <w:rPr>
                  <w:lang w:val="en-US"/>
                </w:rPr>
                <m:t>V</m:t>
              </m:r>
            </m:e>
            <m:sub>
              <m:r>
                <m:rPr>
                  <m:nor/>
                </m:rPr>
                <m:t>α</m:t>
              </m:r>
              <m:r>
                <m:rPr>
                  <m:nor/>
                </m:rPr>
                <w:rPr>
                  <w:lang w:val="en-US"/>
                </w:rPr>
                <m:t>,m</m:t>
              </m:r>
            </m:sub>
          </m:sSub>
        </m:oMath>
      </m:oMathPara>
    </w:p>
    <w:p w14:paraId="6A71F7D9" w14:textId="02E68604" w:rsidR="00281DEB" w:rsidRPr="00281DEB" w:rsidRDefault="00281DEB" w:rsidP="005A65D1">
      <w:pPr>
        <w:pStyle w:val="Zusammenfassung"/>
      </w:pPr>
      <w:bookmarkStart w:id="6" w:name="Zusammenfassung"/>
      <w:r w:rsidRPr="00281DEB">
        <w:rPr>
          <w:rStyle w:val="Fett"/>
        </w:rPr>
        <w:t>Zusammenfassung</w:t>
      </w:r>
      <w:r>
        <w:t>:</w:t>
      </w:r>
      <w:r w:rsidRPr="00281DEB">
        <w:t xml:space="preserve"> </w:t>
      </w:r>
      <w:bookmarkEnd w:id="6"/>
      <w:r w:rsidRPr="00281DEB">
        <w:t>Phasen</w:t>
      </w:r>
      <w:r>
        <w:t>-D</w:t>
      </w:r>
      <w:r w:rsidRPr="00281DEB">
        <w:t>iagramme geben Auskunft, bei welchem Druck und bei welcher Temperatur ein Rein</w:t>
      </w:r>
      <w:r>
        <w:t>-S</w:t>
      </w:r>
      <w:r w:rsidRPr="00281DEB">
        <w:t>toff als eine bestimmte Phase vorliegt.</w:t>
      </w:r>
      <w:r w:rsidR="00A033AE">
        <w:t xml:space="preserve"> </w:t>
      </w:r>
      <w:r w:rsidRPr="00281DEB">
        <w:t>Die Koexistenz</w:t>
      </w:r>
      <w:r>
        <w:t>-L</w:t>
      </w:r>
      <w:r w:rsidRPr="00281DEB">
        <w:t xml:space="preserve">inien werden mathematisch durch die </w:t>
      </w:r>
      <w:proofErr w:type="spellStart"/>
      <w:r w:rsidRPr="00281DEB">
        <w:t>Clapeyron</w:t>
      </w:r>
      <w:proofErr w:type="spellEnd"/>
      <w:r w:rsidRPr="00281DEB">
        <w:t>-Gleichung beschrieben.</w:t>
      </w:r>
      <w:r w:rsidR="00A033AE">
        <w:t xml:space="preserve"> </w:t>
      </w:r>
      <w:r w:rsidRPr="00281DEB">
        <w:t>Durch Veränderung von Druck und/oder Temperatur finden Phasen</w:t>
      </w:r>
      <w:r>
        <w:t>-Ü</w:t>
      </w:r>
      <w:r w:rsidRPr="00281DEB">
        <w:t>bergänge zwischen den Phasen statt.</w:t>
      </w:r>
    </w:p>
    <w:p w14:paraId="313E1CAB" w14:textId="7D92F0E2" w:rsidR="00281DEB" w:rsidRPr="00281DEB" w:rsidRDefault="00A033AE" w:rsidP="00A033AE">
      <w:pPr>
        <w:pStyle w:val="EinstiegAbschluss"/>
      </w:pPr>
      <w:r w:rsidRPr="00A033AE">
        <w:rPr>
          <w:b/>
        </w:rPr>
        <w:t>Abschluss</w:t>
      </w:r>
      <w:r>
        <w:t xml:space="preserve">: </w:t>
      </w:r>
      <w:r w:rsidR="00281DEB" w:rsidRPr="00281DEB">
        <w:t>Der Iod</w:t>
      </w:r>
      <w:r w:rsidR="00281DEB">
        <w:t>-K</w:t>
      </w:r>
      <w:r w:rsidR="00281DEB" w:rsidRPr="00281DEB">
        <w:t>ristall ist über Nacht sublimiert. Es findet dabei ein Phasen</w:t>
      </w:r>
      <w:r w:rsidR="00281DEB">
        <w:t>-Ü</w:t>
      </w:r>
      <w:r w:rsidR="00281DEB" w:rsidRPr="00281DEB">
        <w:t>bergang von fest nach gasförmig statt.</w:t>
      </w:r>
    </w:p>
    <w:p w14:paraId="56E8FFCE" w14:textId="77777777" w:rsidR="00A033AE" w:rsidRDefault="00A033AE">
      <w:pPr>
        <w:spacing w:before="0"/>
        <w:jc w:val="left"/>
        <w:rPr>
          <w:b/>
          <w:bCs/>
        </w:rPr>
      </w:pPr>
      <w:r>
        <w:rPr>
          <w:b/>
          <w:bCs/>
        </w:rPr>
        <w:br w:type="page"/>
      </w:r>
    </w:p>
    <w:p w14:paraId="2A8C06EE" w14:textId="060708CB" w:rsidR="00931B30" w:rsidRDefault="00931B30" w:rsidP="00931B30">
      <w:pPr>
        <w:rPr>
          <w:b/>
          <w:bCs/>
        </w:rPr>
      </w:pPr>
      <w:r w:rsidRPr="000E61E0">
        <w:rPr>
          <w:b/>
          <w:bCs/>
        </w:rPr>
        <w:t>Quellen:</w:t>
      </w:r>
    </w:p>
    <w:bookmarkStart w:id="7" w:name="_Ref57104475"/>
    <w:p w14:paraId="037AD409" w14:textId="6F35DA52" w:rsidR="00334922" w:rsidRDefault="00334922" w:rsidP="00334922">
      <w:pPr>
        <w:pStyle w:val="AufzhlungStandard"/>
      </w:pPr>
      <w:r>
        <w:fldChar w:fldCharType="begin"/>
      </w:r>
      <w:r>
        <w:instrText xml:space="preserve"> HYPERLINK "http://upload.wikimedia.org/wikipedia/commons/7/7c/Iod_kristall.jpg" </w:instrText>
      </w:r>
      <w:r>
        <w:fldChar w:fldCharType="separate"/>
      </w:r>
      <w:r>
        <w:rPr>
          <w:rStyle w:val="Hyperlink"/>
          <w:rFonts w:cs="Arial"/>
        </w:rPr>
        <w:t>http://upload.wikimedia.org/wikipedia/commons/7/7c/Iod_kristall.jpg</w:t>
      </w:r>
      <w:r>
        <w:fldChar w:fldCharType="end"/>
      </w:r>
      <w:r>
        <w:t xml:space="preserve">, Lizenz: gemeinfrei; Urheber: </w:t>
      </w:r>
      <w:proofErr w:type="spellStart"/>
      <w:r>
        <w:t>Tomihahndorf</w:t>
      </w:r>
      <w:proofErr w:type="spellEnd"/>
      <w:r>
        <w:t>; 19.03.2014</w:t>
      </w:r>
      <w:bookmarkEnd w:id="7"/>
    </w:p>
    <w:p w14:paraId="1A251372" w14:textId="106F41DF" w:rsidR="00334922" w:rsidRDefault="00334922" w:rsidP="00334922">
      <w:pPr>
        <w:pStyle w:val="AufzhlungStandard"/>
      </w:pPr>
      <w:r>
        <w:t>Engel, Thomas; Reid, Phillip: Physikalische Chemie, Pearson Studium, München 2006</w:t>
      </w:r>
    </w:p>
    <w:p w14:paraId="1B67BC68" w14:textId="6DED6D1A" w:rsidR="00334922" w:rsidRDefault="00334922" w:rsidP="00334922">
      <w:pPr>
        <w:pStyle w:val="AufzhlungStandard"/>
      </w:pPr>
      <w:proofErr w:type="spellStart"/>
      <w:r>
        <w:t>Tipler</w:t>
      </w:r>
      <w:proofErr w:type="spellEnd"/>
      <w:r>
        <w:t>, Paul A.; Mosca, Gene: Physik für Wissenschaftler und Ingenieure, Spektrum Akademischer Verlag, München 2006</w:t>
      </w:r>
    </w:p>
    <w:p w14:paraId="75B399E6" w14:textId="6031213F" w:rsidR="00334922" w:rsidRDefault="00A033AE" w:rsidP="00334922">
      <w:pPr>
        <w:pStyle w:val="AufzhlungStandard"/>
      </w:pPr>
      <w:hyperlink r:id="rId12" w:history="1">
        <w:r w:rsidR="00334922">
          <w:rPr>
            <w:rStyle w:val="Hyperlink"/>
          </w:rPr>
          <w:t>http://www.periodictableontheweb.com/periodensystem/element-Iodine.php</w:t>
        </w:r>
      </w:hyperlink>
      <w:r w:rsidR="00334922">
        <w:t>, 02.04.2014</w:t>
      </w:r>
    </w:p>
    <w:p w14:paraId="06240EA2" w14:textId="7B49E2C5" w:rsidR="00334922" w:rsidRDefault="00334922" w:rsidP="00334922">
      <w:pPr>
        <w:pStyle w:val="AufzhlungStandard"/>
      </w:pPr>
      <w:r>
        <w:t>Müller, Ulrich: Anorganische Strukturchemie, Vieweg + Teubner / GWV Fachverlage GmbH, Wiesbaden 2009</w:t>
      </w:r>
    </w:p>
    <w:p w14:paraId="30521CEB" w14:textId="57D565D9" w:rsidR="00334922" w:rsidRDefault="00A033AE" w:rsidP="00334922">
      <w:pPr>
        <w:pStyle w:val="AufzhlungStandard"/>
      </w:pPr>
      <w:hyperlink r:id="rId13" w:history="1">
        <w:r w:rsidR="00334922">
          <w:rPr>
            <w:rStyle w:val="Hyperlink"/>
            <w:rFonts w:cs="Arial"/>
          </w:rPr>
          <w:t>http://de.wikipedia.org/wiki/Clapeyron-Gleichung</w:t>
        </w:r>
      </w:hyperlink>
      <w:r w:rsidR="00334922">
        <w:t xml:space="preserve">, 26.11.2012. </w:t>
      </w:r>
    </w:p>
    <w:bookmarkStart w:id="8" w:name="_GoBack"/>
    <w:bookmarkEnd w:id="8"/>
    <w:p w14:paraId="0D32E076" w14:textId="3184E3BF" w:rsidR="00334922" w:rsidRDefault="00A033AE" w:rsidP="00334922">
      <w:pPr>
        <w:pStyle w:val="AufzhlungStandard"/>
      </w:pPr>
      <w:r>
        <w:fldChar w:fldCharType="begin"/>
      </w:r>
      <w:r>
        <w:instrText xml:space="preserve"> HYPERLINK "http://daten.didaktikchemie.uni-bayreuth.de/umat/clausius/Clausius_Clapeyron_Gleichung.pdf" </w:instrText>
      </w:r>
      <w:r>
        <w:fldChar w:fldCharType="separate"/>
      </w:r>
      <w:r w:rsidR="00291B33" w:rsidRPr="008B241F">
        <w:rPr>
          <w:rStyle w:val="Hyperlink"/>
        </w:rPr>
        <w:t>http://daten.didaktikchemie.uni-bayreuth.de/umat/clausius/Clausius_Clapeyron_Gleichung.pdf</w:t>
      </w:r>
      <w:r>
        <w:rPr>
          <w:rStyle w:val="Hyperlink"/>
        </w:rPr>
        <w:fldChar w:fldCharType="end"/>
      </w:r>
      <w:r w:rsidR="00291B33">
        <w:t xml:space="preserve">; </w:t>
      </w:r>
      <w:r w:rsidR="00076F65">
        <w:t>24.11.2020</w:t>
      </w:r>
    </w:p>
    <w:sectPr w:rsidR="00334922" w:rsidSect="009B4835">
      <w:footerReference w:type="default" r:id="rId14"/>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8039D1" w:rsidRDefault="008039D1" w:rsidP="005A7DCE">
      <w:pPr>
        <w:spacing w:before="0"/>
      </w:pPr>
      <w:r>
        <w:separator/>
      </w:r>
    </w:p>
  </w:endnote>
  <w:endnote w:type="continuationSeparator" w:id="0">
    <w:p w14:paraId="3214F425" w14:textId="77777777" w:rsidR="008039D1" w:rsidRDefault="008039D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4BFAF3"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E50CFA1" w:rsidR="008039D1" w:rsidRDefault="008039D1">
        <w:pPr>
          <w:pStyle w:val="Fuzeile"/>
          <w:jc w:val="center"/>
        </w:pPr>
        <w:r>
          <w:fldChar w:fldCharType="begin"/>
        </w:r>
        <w:r>
          <w:instrText>PAGE    \* MERGEFORMAT</w:instrText>
        </w:r>
        <w:r>
          <w:fldChar w:fldCharType="separate"/>
        </w:r>
        <w:r w:rsidR="00A033AE">
          <w:rPr>
            <w:noProof/>
          </w:rPr>
          <w:t>4</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8039D1" w:rsidRDefault="008039D1" w:rsidP="005A7DCE">
      <w:pPr>
        <w:spacing w:before="0"/>
      </w:pPr>
      <w:r>
        <w:separator/>
      </w:r>
    </w:p>
  </w:footnote>
  <w:footnote w:type="continuationSeparator" w:id="0">
    <w:p w14:paraId="026CC8B6" w14:textId="77777777" w:rsidR="008039D1" w:rsidRDefault="008039D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673EE"/>
    <w:rsid w:val="000712A2"/>
    <w:rsid w:val="00074491"/>
    <w:rsid w:val="00076F65"/>
    <w:rsid w:val="000D4A1C"/>
    <w:rsid w:val="000E61E0"/>
    <w:rsid w:val="001B0E73"/>
    <w:rsid w:val="001D6942"/>
    <w:rsid w:val="00281DEB"/>
    <w:rsid w:val="00286533"/>
    <w:rsid w:val="00291B33"/>
    <w:rsid w:val="0029716A"/>
    <w:rsid w:val="00334922"/>
    <w:rsid w:val="0033663A"/>
    <w:rsid w:val="0036111E"/>
    <w:rsid w:val="003D01F3"/>
    <w:rsid w:val="003E490E"/>
    <w:rsid w:val="00480635"/>
    <w:rsid w:val="004A4B07"/>
    <w:rsid w:val="005633FE"/>
    <w:rsid w:val="005A7DCE"/>
    <w:rsid w:val="005D5199"/>
    <w:rsid w:val="006309DF"/>
    <w:rsid w:val="006841CE"/>
    <w:rsid w:val="006F1D4F"/>
    <w:rsid w:val="007048D8"/>
    <w:rsid w:val="007161D1"/>
    <w:rsid w:val="007514D3"/>
    <w:rsid w:val="007540E6"/>
    <w:rsid w:val="00762487"/>
    <w:rsid w:val="00783295"/>
    <w:rsid w:val="007B2C80"/>
    <w:rsid w:val="007F18E1"/>
    <w:rsid w:val="008039D1"/>
    <w:rsid w:val="008117E4"/>
    <w:rsid w:val="00814653"/>
    <w:rsid w:val="00825BFE"/>
    <w:rsid w:val="00850560"/>
    <w:rsid w:val="00883728"/>
    <w:rsid w:val="008A524D"/>
    <w:rsid w:val="00931B30"/>
    <w:rsid w:val="009710A6"/>
    <w:rsid w:val="009B4835"/>
    <w:rsid w:val="00A033AE"/>
    <w:rsid w:val="00A21130"/>
    <w:rsid w:val="00A25B94"/>
    <w:rsid w:val="00A5383F"/>
    <w:rsid w:val="00AA5D66"/>
    <w:rsid w:val="00AB7E4B"/>
    <w:rsid w:val="00AE53F0"/>
    <w:rsid w:val="00AF7672"/>
    <w:rsid w:val="00B10DD4"/>
    <w:rsid w:val="00B85024"/>
    <w:rsid w:val="00C511E6"/>
    <w:rsid w:val="00CA413D"/>
    <w:rsid w:val="00D97908"/>
    <w:rsid w:val="00E14DE1"/>
    <w:rsid w:val="00E20AF3"/>
    <w:rsid w:val="00E3743F"/>
    <w:rsid w:val="00E50811"/>
    <w:rsid w:val="00E54A99"/>
    <w:rsid w:val="00E8473B"/>
    <w:rsid w:val="00E94F6E"/>
    <w:rsid w:val="00F12D89"/>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291B33"/>
    <w:rPr>
      <w:color w:val="605E5C"/>
      <w:shd w:val="clear" w:color="auto" w:fill="E1DFDD"/>
    </w:rPr>
  </w:style>
  <w:style w:type="paragraph" w:styleId="StandardWeb">
    <w:name w:val="Normal (Web)"/>
    <w:basedOn w:val="Standard"/>
    <w:uiPriority w:val="99"/>
    <w:semiHidden/>
    <w:unhideWhenUsed/>
    <w:rsid w:val="00F12D89"/>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950">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148546768">
      <w:bodyDiv w:val="1"/>
      <w:marLeft w:val="0"/>
      <w:marRight w:val="0"/>
      <w:marTop w:val="0"/>
      <w:marBottom w:val="0"/>
      <w:divBdr>
        <w:top w:val="none" w:sz="0" w:space="0" w:color="auto"/>
        <w:left w:val="none" w:sz="0" w:space="0" w:color="auto"/>
        <w:bottom w:val="none" w:sz="0" w:space="0" w:color="auto"/>
        <w:right w:val="none" w:sz="0" w:space="0" w:color="auto"/>
      </w:divBdr>
    </w:div>
    <w:div w:id="1277522016">
      <w:bodyDiv w:val="1"/>
      <w:marLeft w:val="0"/>
      <w:marRight w:val="0"/>
      <w:marTop w:val="0"/>
      <w:marBottom w:val="0"/>
      <w:divBdr>
        <w:top w:val="none" w:sz="0" w:space="0" w:color="auto"/>
        <w:left w:val="none" w:sz="0" w:space="0" w:color="auto"/>
        <w:bottom w:val="none" w:sz="0" w:space="0" w:color="auto"/>
        <w:right w:val="none" w:sz="0" w:space="0" w:color="auto"/>
      </w:divBdr>
    </w:div>
    <w:div w:id="1920629746">
      <w:bodyDiv w:val="1"/>
      <w:marLeft w:val="0"/>
      <w:marRight w:val="0"/>
      <w:marTop w:val="0"/>
      <w:marBottom w:val="0"/>
      <w:divBdr>
        <w:top w:val="none" w:sz="0" w:space="0" w:color="auto"/>
        <w:left w:val="none" w:sz="0" w:space="0" w:color="auto"/>
        <w:bottom w:val="none" w:sz="0" w:space="0" w:color="auto"/>
        <w:right w:val="none" w:sz="0" w:space="0" w:color="auto"/>
      </w:divBdr>
    </w:div>
    <w:div w:id="2000880780">
      <w:bodyDiv w:val="1"/>
      <w:marLeft w:val="0"/>
      <w:marRight w:val="0"/>
      <w:marTop w:val="0"/>
      <w:marBottom w:val="0"/>
      <w:divBdr>
        <w:top w:val="none" w:sz="0" w:space="0" w:color="auto"/>
        <w:left w:val="none" w:sz="0" w:space="0" w:color="auto"/>
        <w:bottom w:val="none" w:sz="0" w:space="0" w:color="auto"/>
        <w:right w:val="none" w:sz="0" w:space="0" w:color="auto"/>
      </w:divBdr>
    </w:div>
    <w:div w:id="20607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wikipedia.org/wiki/Clapeyron-Gleich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iodictableontheweb.com/periodensystem/element-Iodine.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3881-0D38-446C-AEC9-42F62480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12</cp:revision>
  <cp:lastPrinted>2021-01-26T16:16:00Z</cp:lastPrinted>
  <dcterms:created xsi:type="dcterms:W3CDTF">2020-11-24T08:55:00Z</dcterms:created>
  <dcterms:modified xsi:type="dcterms:W3CDTF">2021-01-26T16:16:00Z</dcterms:modified>
</cp:coreProperties>
</file>