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E8473B" w:rsidRDefault="00E8473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E8473B" w:rsidRDefault="00E8473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B8EA74F" w:rsidR="00AE53F0" w:rsidRPr="002A7D0C" w:rsidRDefault="00E8473B" w:rsidP="002A7D0C">
      <w:pPr>
        <w:pStyle w:val="Seminar"/>
      </w:pPr>
      <w:r w:rsidRPr="002A7D0C">
        <w:t>Seminar</w:t>
      </w:r>
      <w:r w:rsidR="00FD7888" w:rsidRPr="002A7D0C">
        <w:t xml:space="preserve"> „Übungen im Vortragen – </w:t>
      </w:r>
      <w:r w:rsidR="002A7D0C" w:rsidRPr="002A7D0C">
        <w:t>OC</w:t>
      </w:r>
      <w:r w:rsidR="00FD7888" w:rsidRPr="002A7D0C">
        <w:t>“</w:t>
      </w:r>
    </w:p>
    <w:p w14:paraId="61C6F5BC" w14:textId="6D2DD41D" w:rsidR="00E8473B" w:rsidRDefault="002A7D0C" w:rsidP="005633FE">
      <w:pPr>
        <w:pStyle w:val="Titel"/>
      </w:pPr>
      <w:r>
        <w:t>Neonicotinoide</w:t>
      </w:r>
    </w:p>
    <w:p w14:paraId="28CE20D7" w14:textId="26E751A4" w:rsidR="00E8473B" w:rsidRDefault="002A7D0C" w:rsidP="00E8473B">
      <w:pPr>
        <w:pStyle w:val="Autor"/>
      </w:pPr>
      <w:r>
        <w:t xml:space="preserve">Nikolas </w:t>
      </w:r>
      <w:proofErr w:type="spellStart"/>
      <w:r>
        <w:t>Zöcklein</w:t>
      </w:r>
      <w:proofErr w:type="spellEnd"/>
      <w:r>
        <w:t>, SS 15</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1A8D6B24" w14:textId="336FF3E4" w:rsidR="002D1BE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6760141" w:history="1">
            <w:r w:rsidR="002D1BE9" w:rsidRPr="00D832B4">
              <w:rPr>
                <w:rStyle w:val="Hyperlink"/>
                <w:noProof/>
              </w:rPr>
              <w:t>1</w:t>
            </w:r>
            <w:r w:rsidR="002D1BE9">
              <w:rPr>
                <w:rFonts w:asciiTheme="minorHAnsi" w:eastAsiaTheme="minorEastAsia" w:hAnsiTheme="minorHAnsi"/>
                <w:noProof/>
                <w:sz w:val="22"/>
                <w:lang w:eastAsia="de-DE"/>
              </w:rPr>
              <w:tab/>
            </w:r>
            <w:r w:rsidR="002D1BE9" w:rsidRPr="00D832B4">
              <w:rPr>
                <w:rStyle w:val="Hyperlink"/>
                <w:noProof/>
              </w:rPr>
              <w:t>Die Stoff-Klasse der Neonicotinoide</w:t>
            </w:r>
            <w:r w:rsidR="002D1BE9">
              <w:rPr>
                <w:noProof/>
                <w:webHidden/>
              </w:rPr>
              <w:tab/>
            </w:r>
            <w:r w:rsidR="002D1BE9">
              <w:rPr>
                <w:noProof/>
                <w:webHidden/>
              </w:rPr>
              <w:fldChar w:fldCharType="begin"/>
            </w:r>
            <w:r w:rsidR="002D1BE9">
              <w:rPr>
                <w:noProof/>
                <w:webHidden/>
              </w:rPr>
              <w:instrText xml:space="preserve"> PAGEREF _Toc56760141 \h </w:instrText>
            </w:r>
            <w:r w:rsidR="002D1BE9">
              <w:rPr>
                <w:noProof/>
                <w:webHidden/>
              </w:rPr>
            </w:r>
            <w:r w:rsidR="002D1BE9">
              <w:rPr>
                <w:noProof/>
                <w:webHidden/>
              </w:rPr>
              <w:fldChar w:fldCharType="separate"/>
            </w:r>
            <w:r w:rsidR="0049493C">
              <w:rPr>
                <w:noProof/>
                <w:webHidden/>
              </w:rPr>
              <w:t>1</w:t>
            </w:r>
            <w:r w:rsidR="002D1BE9">
              <w:rPr>
                <w:noProof/>
                <w:webHidden/>
              </w:rPr>
              <w:fldChar w:fldCharType="end"/>
            </w:r>
          </w:hyperlink>
        </w:p>
        <w:p w14:paraId="3E540F28" w14:textId="509410A2" w:rsidR="002D1BE9" w:rsidRDefault="0049493C">
          <w:pPr>
            <w:pStyle w:val="Verzeichnis1"/>
            <w:tabs>
              <w:tab w:val="left" w:pos="480"/>
              <w:tab w:val="right" w:leader="dot" w:pos="9344"/>
            </w:tabs>
            <w:rPr>
              <w:rFonts w:asciiTheme="minorHAnsi" w:eastAsiaTheme="minorEastAsia" w:hAnsiTheme="minorHAnsi"/>
              <w:noProof/>
              <w:sz w:val="22"/>
              <w:lang w:eastAsia="de-DE"/>
            </w:rPr>
          </w:pPr>
          <w:hyperlink w:anchor="_Toc56760142" w:history="1">
            <w:r w:rsidR="002D1BE9" w:rsidRPr="00D832B4">
              <w:rPr>
                <w:rStyle w:val="Hyperlink"/>
                <w:noProof/>
              </w:rPr>
              <w:t>2</w:t>
            </w:r>
            <w:r w:rsidR="002D1BE9">
              <w:rPr>
                <w:rFonts w:asciiTheme="minorHAnsi" w:eastAsiaTheme="minorEastAsia" w:hAnsiTheme="minorHAnsi"/>
                <w:noProof/>
                <w:sz w:val="22"/>
                <w:lang w:eastAsia="de-DE"/>
              </w:rPr>
              <w:tab/>
            </w:r>
            <w:r w:rsidR="002D1BE9" w:rsidRPr="00D832B4">
              <w:rPr>
                <w:rStyle w:val="Hyperlink"/>
                <w:noProof/>
              </w:rPr>
              <w:t>Synthese von Imidacloprid</w:t>
            </w:r>
            <w:r w:rsidR="002D1BE9">
              <w:rPr>
                <w:noProof/>
                <w:webHidden/>
              </w:rPr>
              <w:tab/>
            </w:r>
            <w:r w:rsidR="002D1BE9">
              <w:rPr>
                <w:noProof/>
                <w:webHidden/>
              </w:rPr>
              <w:fldChar w:fldCharType="begin"/>
            </w:r>
            <w:r w:rsidR="002D1BE9">
              <w:rPr>
                <w:noProof/>
                <w:webHidden/>
              </w:rPr>
              <w:instrText xml:space="preserve"> PAGEREF _Toc56760142 \h </w:instrText>
            </w:r>
            <w:r w:rsidR="002D1BE9">
              <w:rPr>
                <w:noProof/>
                <w:webHidden/>
              </w:rPr>
            </w:r>
            <w:r w:rsidR="002D1BE9">
              <w:rPr>
                <w:noProof/>
                <w:webHidden/>
              </w:rPr>
              <w:fldChar w:fldCharType="separate"/>
            </w:r>
            <w:r>
              <w:rPr>
                <w:noProof/>
                <w:webHidden/>
              </w:rPr>
              <w:t>2</w:t>
            </w:r>
            <w:r w:rsidR="002D1BE9">
              <w:rPr>
                <w:noProof/>
                <w:webHidden/>
              </w:rPr>
              <w:fldChar w:fldCharType="end"/>
            </w:r>
          </w:hyperlink>
        </w:p>
        <w:p w14:paraId="39D64B85" w14:textId="7F493E66" w:rsidR="002D1BE9" w:rsidRDefault="0049493C">
          <w:pPr>
            <w:pStyle w:val="Verzeichnis1"/>
            <w:tabs>
              <w:tab w:val="left" w:pos="480"/>
              <w:tab w:val="right" w:leader="dot" w:pos="9344"/>
            </w:tabs>
            <w:rPr>
              <w:rFonts w:asciiTheme="minorHAnsi" w:eastAsiaTheme="minorEastAsia" w:hAnsiTheme="minorHAnsi"/>
              <w:noProof/>
              <w:sz w:val="22"/>
              <w:lang w:eastAsia="de-DE"/>
            </w:rPr>
          </w:pPr>
          <w:hyperlink w:anchor="_Toc56760143" w:history="1">
            <w:r w:rsidR="002D1BE9" w:rsidRPr="00D832B4">
              <w:rPr>
                <w:rStyle w:val="Hyperlink"/>
                <w:noProof/>
              </w:rPr>
              <w:t>3</w:t>
            </w:r>
            <w:r w:rsidR="002D1BE9">
              <w:rPr>
                <w:rFonts w:asciiTheme="minorHAnsi" w:eastAsiaTheme="minorEastAsia" w:hAnsiTheme="minorHAnsi"/>
                <w:noProof/>
                <w:sz w:val="22"/>
                <w:lang w:eastAsia="de-DE"/>
              </w:rPr>
              <w:tab/>
            </w:r>
            <w:r w:rsidR="002D1BE9" w:rsidRPr="00D832B4">
              <w:rPr>
                <w:rStyle w:val="Hyperlink"/>
                <w:noProof/>
              </w:rPr>
              <w:t>Wirkung</w:t>
            </w:r>
            <w:r w:rsidR="002D1BE9">
              <w:rPr>
                <w:noProof/>
                <w:webHidden/>
              </w:rPr>
              <w:tab/>
            </w:r>
            <w:r w:rsidR="002D1BE9">
              <w:rPr>
                <w:noProof/>
                <w:webHidden/>
              </w:rPr>
              <w:fldChar w:fldCharType="begin"/>
            </w:r>
            <w:r w:rsidR="002D1BE9">
              <w:rPr>
                <w:noProof/>
                <w:webHidden/>
              </w:rPr>
              <w:instrText xml:space="preserve"> PAGEREF _Toc56760143 \h </w:instrText>
            </w:r>
            <w:r w:rsidR="002D1BE9">
              <w:rPr>
                <w:noProof/>
                <w:webHidden/>
              </w:rPr>
            </w:r>
            <w:r w:rsidR="002D1BE9">
              <w:rPr>
                <w:noProof/>
                <w:webHidden/>
              </w:rPr>
              <w:fldChar w:fldCharType="separate"/>
            </w:r>
            <w:r>
              <w:rPr>
                <w:noProof/>
                <w:webHidden/>
              </w:rPr>
              <w:t>2</w:t>
            </w:r>
            <w:r w:rsidR="002D1BE9">
              <w:rPr>
                <w:noProof/>
                <w:webHidden/>
              </w:rPr>
              <w:fldChar w:fldCharType="end"/>
            </w:r>
          </w:hyperlink>
        </w:p>
        <w:p w14:paraId="6D1C0CEC" w14:textId="6CB46622" w:rsidR="002D1BE9" w:rsidRDefault="0049493C">
          <w:pPr>
            <w:pStyle w:val="Verzeichnis1"/>
            <w:tabs>
              <w:tab w:val="left" w:pos="480"/>
              <w:tab w:val="right" w:leader="dot" w:pos="9344"/>
            </w:tabs>
            <w:rPr>
              <w:rFonts w:asciiTheme="minorHAnsi" w:eastAsiaTheme="minorEastAsia" w:hAnsiTheme="minorHAnsi"/>
              <w:noProof/>
              <w:sz w:val="22"/>
              <w:lang w:eastAsia="de-DE"/>
            </w:rPr>
          </w:pPr>
          <w:hyperlink w:anchor="_Toc56760144" w:history="1">
            <w:r w:rsidR="002D1BE9" w:rsidRPr="00D832B4">
              <w:rPr>
                <w:rStyle w:val="Hyperlink"/>
                <w:noProof/>
              </w:rPr>
              <w:t>4</w:t>
            </w:r>
            <w:r w:rsidR="002D1BE9">
              <w:rPr>
                <w:rFonts w:asciiTheme="minorHAnsi" w:eastAsiaTheme="minorEastAsia" w:hAnsiTheme="minorHAnsi"/>
                <w:noProof/>
                <w:sz w:val="22"/>
                <w:lang w:eastAsia="de-DE"/>
              </w:rPr>
              <w:tab/>
            </w:r>
            <w:r w:rsidR="002D1BE9" w:rsidRPr="00D832B4">
              <w:rPr>
                <w:rStyle w:val="Hyperlink"/>
                <w:noProof/>
              </w:rPr>
              <w:t>Anwendung in der Landwirtschaft</w:t>
            </w:r>
            <w:r w:rsidR="002D1BE9">
              <w:rPr>
                <w:noProof/>
                <w:webHidden/>
              </w:rPr>
              <w:tab/>
            </w:r>
            <w:r w:rsidR="002D1BE9">
              <w:rPr>
                <w:noProof/>
                <w:webHidden/>
              </w:rPr>
              <w:fldChar w:fldCharType="begin"/>
            </w:r>
            <w:r w:rsidR="002D1BE9">
              <w:rPr>
                <w:noProof/>
                <w:webHidden/>
              </w:rPr>
              <w:instrText xml:space="preserve"> PAGEREF _Toc56760144 \h </w:instrText>
            </w:r>
            <w:r w:rsidR="002D1BE9">
              <w:rPr>
                <w:noProof/>
                <w:webHidden/>
              </w:rPr>
            </w:r>
            <w:r w:rsidR="002D1BE9">
              <w:rPr>
                <w:noProof/>
                <w:webHidden/>
              </w:rPr>
              <w:fldChar w:fldCharType="separate"/>
            </w:r>
            <w:r>
              <w:rPr>
                <w:noProof/>
                <w:webHidden/>
              </w:rPr>
              <w:t>2</w:t>
            </w:r>
            <w:r w:rsidR="002D1BE9">
              <w:rPr>
                <w:noProof/>
                <w:webHidden/>
              </w:rPr>
              <w:fldChar w:fldCharType="end"/>
            </w:r>
          </w:hyperlink>
        </w:p>
        <w:p w14:paraId="6828B13E" w14:textId="435685FC" w:rsidR="002D1BE9" w:rsidRDefault="0049493C">
          <w:pPr>
            <w:pStyle w:val="Verzeichnis1"/>
            <w:tabs>
              <w:tab w:val="left" w:pos="480"/>
              <w:tab w:val="right" w:leader="dot" w:pos="9344"/>
            </w:tabs>
            <w:rPr>
              <w:rFonts w:asciiTheme="minorHAnsi" w:eastAsiaTheme="minorEastAsia" w:hAnsiTheme="minorHAnsi"/>
              <w:noProof/>
              <w:sz w:val="22"/>
              <w:lang w:eastAsia="de-DE"/>
            </w:rPr>
          </w:pPr>
          <w:hyperlink w:anchor="_Toc56760145" w:history="1">
            <w:r w:rsidR="002D1BE9" w:rsidRPr="00D832B4">
              <w:rPr>
                <w:rStyle w:val="Hyperlink"/>
                <w:noProof/>
              </w:rPr>
              <w:t>5</w:t>
            </w:r>
            <w:r w:rsidR="002D1BE9">
              <w:rPr>
                <w:rFonts w:asciiTheme="minorHAnsi" w:eastAsiaTheme="minorEastAsia" w:hAnsiTheme="minorHAnsi"/>
                <w:noProof/>
                <w:sz w:val="22"/>
                <w:lang w:eastAsia="de-DE"/>
              </w:rPr>
              <w:tab/>
            </w:r>
            <w:r w:rsidR="002D1BE9" w:rsidRPr="00D832B4">
              <w:rPr>
                <w:rStyle w:val="Hyperlink"/>
                <w:noProof/>
              </w:rPr>
              <w:t>Nebenwirkungen und Schäden</w:t>
            </w:r>
            <w:r w:rsidR="002D1BE9">
              <w:rPr>
                <w:noProof/>
                <w:webHidden/>
              </w:rPr>
              <w:tab/>
            </w:r>
            <w:r w:rsidR="002D1BE9">
              <w:rPr>
                <w:noProof/>
                <w:webHidden/>
              </w:rPr>
              <w:fldChar w:fldCharType="begin"/>
            </w:r>
            <w:r w:rsidR="002D1BE9">
              <w:rPr>
                <w:noProof/>
                <w:webHidden/>
              </w:rPr>
              <w:instrText xml:space="preserve"> PAGEREF _Toc56760145 \h </w:instrText>
            </w:r>
            <w:r w:rsidR="002D1BE9">
              <w:rPr>
                <w:noProof/>
                <w:webHidden/>
              </w:rPr>
            </w:r>
            <w:r w:rsidR="002D1BE9">
              <w:rPr>
                <w:noProof/>
                <w:webHidden/>
              </w:rPr>
              <w:fldChar w:fldCharType="separate"/>
            </w:r>
            <w:r>
              <w:rPr>
                <w:noProof/>
                <w:webHidden/>
              </w:rPr>
              <w:t>3</w:t>
            </w:r>
            <w:r w:rsidR="002D1BE9">
              <w:rPr>
                <w:noProof/>
                <w:webHidden/>
              </w:rPr>
              <w:fldChar w:fldCharType="end"/>
            </w:r>
          </w:hyperlink>
        </w:p>
        <w:p w14:paraId="5AC765BB" w14:textId="7C248CEF" w:rsidR="009B4835" w:rsidRDefault="009B4835">
          <w:r>
            <w:rPr>
              <w:b/>
              <w:bCs/>
            </w:rPr>
            <w:fldChar w:fldCharType="end"/>
          </w:r>
        </w:p>
      </w:sdtContent>
    </w:sdt>
    <w:p w14:paraId="06CE8F08" w14:textId="57B2B01E" w:rsidR="00FD7888" w:rsidRDefault="00FD7888" w:rsidP="00FD7888">
      <w:pPr>
        <w:pStyle w:val="EinstiegAbschluss"/>
      </w:pPr>
      <w:bookmarkStart w:id="0" w:name="_Überschrift_1"/>
      <w:bookmarkEnd w:id="0"/>
      <w:r w:rsidRPr="002A7D0C">
        <w:rPr>
          <w:rStyle w:val="Fett"/>
        </w:rPr>
        <w:t>Einstieg</w:t>
      </w:r>
      <w:r>
        <w:t>:</w:t>
      </w:r>
      <w:r w:rsidR="002A7D0C">
        <w:t xml:space="preserve"> </w:t>
      </w:r>
      <w:r w:rsidR="002A7D0C">
        <w:rPr>
          <w:rFonts w:cs="Arial"/>
        </w:rPr>
        <w:t>Den Imkern ist das sich in den letzten Jahren ausbreitende rätselhafte Bienen-Sterben leider sehr bewusst, die meisten Menschen außerhalb der Landwirtschaft haben davon aber noch nichts oder kaum etwas gehört. Dabei gefährdet der Rückgang der Bienen (und Hummeln) als unersetzbare Bestäuber die globale Ernährung. Trotzdem sind die Ursachen weiterhin umstritten. Einige Studien deuten auf die Stoff-Klasse der Neonicotinoide hin, die weltweit als Insektizide in der Landwirtschaft eingesetzt werden. Sind die Neonicotinoide tatsächlich für das globale Bienen-Sterben verantwortlich?</w:t>
      </w:r>
    </w:p>
    <w:p w14:paraId="3D51DEDA" w14:textId="30404036" w:rsidR="00E8473B" w:rsidRDefault="002A7D0C" w:rsidP="008A524D">
      <w:pPr>
        <w:pStyle w:val="berschrift1"/>
      </w:pPr>
      <w:bookmarkStart w:id="1" w:name="_Toc56760141"/>
      <w:r>
        <w:t>Die Stoff-Klasse der Neonicotinoide</w:t>
      </w:r>
      <w:bookmarkEnd w:id="1"/>
    </w:p>
    <w:p w14:paraId="2BEC2851" w14:textId="74034561" w:rsidR="002A7D0C" w:rsidRDefault="002A7D0C" w:rsidP="002A7D0C">
      <w:pPr>
        <w:rPr>
          <w:rFonts w:cs="Arial"/>
        </w:rPr>
      </w:pPr>
      <w:r>
        <w:rPr>
          <w:rFonts w:cs="Arial"/>
        </w:rPr>
        <w:t xml:space="preserve">Neonicotinoide sind eine Stoff-Klasse, die zu den Alkaloiden, also den organischen stickstoffhaltigen Verbindungen (und somit zu den </w:t>
      </w:r>
      <w:proofErr w:type="spellStart"/>
      <w:r>
        <w:rPr>
          <w:rFonts w:cs="Arial"/>
        </w:rPr>
        <w:t>Heterocyclen</w:t>
      </w:r>
      <w:proofErr w:type="spellEnd"/>
      <w:r>
        <w:rPr>
          <w:rFonts w:cs="Arial"/>
        </w:rPr>
        <w:t>) zählen und strukturell dem Nicotin gleichen.</w:t>
      </w:r>
    </w:p>
    <w:p w14:paraId="3C8998A5" w14:textId="77777777" w:rsidR="002A7D0C" w:rsidRDefault="002A7D0C" w:rsidP="002A7D0C">
      <w:pPr>
        <w:rPr>
          <w:rFonts w:cs="Arial"/>
        </w:rPr>
      </w:pPr>
    </w:p>
    <w:p w14:paraId="4C380631" w14:textId="77777777" w:rsidR="002A7D0C" w:rsidRDefault="002A7D0C" w:rsidP="002A7D0C">
      <w:pPr>
        <w:pStyle w:val="Bilder"/>
        <w:sectPr w:rsidR="002A7D0C" w:rsidSect="009B4835">
          <w:footerReference w:type="default" r:id="rId9"/>
          <w:pgSz w:w="11906" w:h="16838"/>
          <w:pgMar w:top="851" w:right="1134" w:bottom="851" w:left="1418" w:header="0" w:footer="0" w:gutter="0"/>
          <w:cols w:space="708"/>
          <w:titlePg/>
          <w:docGrid w:linePitch="360"/>
        </w:sectPr>
      </w:pPr>
    </w:p>
    <w:p w14:paraId="150AAFB2" w14:textId="30692187" w:rsidR="002A7D0C" w:rsidRDefault="002A7D0C" w:rsidP="002A7D0C">
      <w:pPr>
        <w:pStyle w:val="Bilder"/>
        <w:spacing w:before="720"/>
      </w:pPr>
      <w:r>
        <w:drawing>
          <wp:inline distT="0" distB="0" distL="0" distR="0" wp14:anchorId="080E4767" wp14:editId="00FB88C3">
            <wp:extent cx="1830274"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274" cy="1440000"/>
                    </a:xfrm>
                    <a:prstGeom prst="rect">
                      <a:avLst/>
                    </a:prstGeom>
                    <a:noFill/>
                    <a:ln>
                      <a:noFill/>
                    </a:ln>
                  </pic:spPr>
                </pic:pic>
              </a:graphicData>
            </a:graphic>
          </wp:inline>
        </w:drawing>
      </w:r>
    </w:p>
    <w:p w14:paraId="09B0E13C" w14:textId="0A9D4349" w:rsidR="002A7D0C" w:rsidRDefault="002A7D0C" w:rsidP="002A7D0C">
      <w:pPr>
        <w:pStyle w:val="Beschriftung"/>
      </w:pPr>
      <w:r>
        <w:t xml:space="preserve">Abb. </w:t>
      </w:r>
      <w:r w:rsidR="0049493C">
        <w:fldChar w:fldCharType="begin"/>
      </w:r>
      <w:r w:rsidR="0049493C">
        <w:instrText xml:space="preserve"> SEQ Abb. \* ARABIC </w:instrText>
      </w:r>
      <w:r w:rsidR="0049493C">
        <w:fldChar w:fldCharType="separate"/>
      </w:r>
      <w:r w:rsidR="0049493C">
        <w:rPr>
          <w:noProof/>
        </w:rPr>
        <w:t>1</w:t>
      </w:r>
      <w:r w:rsidR="0049493C">
        <w:rPr>
          <w:noProof/>
        </w:rPr>
        <w:fldChar w:fldCharType="end"/>
      </w:r>
      <w:r>
        <w:t>: Nicotin</w:t>
      </w:r>
    </w:p>
    <w:p w14:paraId="2AC52251" w14:textId="76919484" w:rsidR="002A7D0C" w:rsidRDefault="002A7D0C" w:rsidP="002A7D0C">
      <w:pPr>
        <w:pStyle w:val="Bilder"/>
      </w:pPr>
      <w:r>
        <w:drawing>
          <wp:inline distT="0" distB="0" distL="0" distR="0" wp14:anchorId="6D77C2E5" wp14:editId="76EDD3E8">
            <wp:extent cx="1791335" cy="21494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335" cy="2149475"/>
                    </a:xfrm>
                    <a:prstGeom prst="rect">
                      <a:avLst/>
                    </a:prstGeom>
                    <a:noFill/>
                    <a:ln>
                      <a:noFill/>
                    </a:ln>
                  </pic:spPr>
                </pic:pic>
              </a:graphicData>
            </a:graphic>
          </wp:inline>
        </w:drawing>
      </w:r>
    </w:p>
    <w:p w14:paraId="49FB80B1" w14:textId="661843F1" w:rsidR="002A7D0C" w:rsidRDefault="002A7D0C" w:rsidP="002A7D0C">
      <w:pPr>
        <w:pStyle w:val="Beschriftung"/>
      </w:pPr>
      <w:r>
        <w:t xml:space="preserve">Abb. </w:t>
      </w:r>
      <w:r w:rsidR="0049493C">
        <w:fldChar w:fldCharType="begin"/>
      </w:r>
      <w:r w:rsidR="0049493C">
        <w:instrText xml:space="preserve"> SEQ Abb. \* AR</w:instrText>
      </w:r>
      <w:r w:rsidR="0049493C">
        <w:instrText xml:space="preserve">ABIC </w:instrText>
      </w:r>
      <w:r w:rsidR="0049493C">
        <w:fldChar w:fldCharType="separate"/>
      </w:r>
      <w:r w:rsidR="0049493C">
        <w:rPr>
          <w:noProof/>
        </w:rPr>
        <w:t>2</w:t>
      </w:r>
      <w:r w:rsidR="0049493C">
        <w:rPr>
          <w:noProof/>
        </w:rPr>
        <w:fldChar w:fldCharType="end"/>
      </w:r>
      <w:r>
        <w:t xml:space="preserve">: </w:t>
      </w:r>
      <w:proofErr w:type="spellStart"/>
      <w:r>
        <w:t>Imidacloprid</w:t>
      </w:r>
      <w:proofErr w:type="spellEnd"/>
    </w:p>
    <w:p w14:paraId="21C3EA61" w14:textId="77777777" w:rsidR="002A7D0C" w:rsidRDefault="002A7D0C" w:rsidP="002A7D0C">
      <w:pPr>
        <w:pStyle w:val="berschrift1"/>
        <w:sectPr w:rsidR="002A7D0C" w:rsidSect="002A7D0C">
          <w:type w:val="continuous"/>
          <w:pgSz w:w="11906" w:h="16838"/>
          <w:pgMar w:top="851" w:right="1134" w:bottom="851" w:left="1418" w:header="0" w:footer="0" w:gutter="0"/>
          <w:cols w:num="2" w:space="708"/>
          <w:titlePg/>
          <w:docGrid w:linePitch="360"/>
        </w:sectPr>
      </w:pPr>
    </w:p>
    <w:p w14:paraId="0F1D3C24" w14:textId="7F613A66" w:rsidR="002A7D0C" w:rsidRDefault="002A7D0C" w:rsidP="002A7D0C">
      <w:pPr>
        <w:pStyle w:val="berschrift1"/>
      </w:pPr>
      <w:bookmarkStart w:id="2" w:name="_Toc56760142"/>
      <w:r>
        <w:lastRenderedPageBreak/>
        <w:t xml:space="preserve">Synthese von </w:t>
      </w:r>
      <w:proofErr w:type="spellStart"/>
      <w:r>
        <w:t>Imidacloprid</w:t>
      </w:r>
      <w:bookmarkEnd w:id="2"/>
      <w:proofErr w:type="spellEnd"/>
    </w:p>
    <w:p w14:paraId="0D9C2F18" w14:textId="7F6FC114" w:rsidR="002A7D0C" w:rsidRDefault="002A7D0C" w:rsidP="002A7D0C">
      <w:pPr>
        <w:pStyle w:val="Bilder"/>
      </w:pPr>
      <w:r>
        <w:drawing>
          <wp:inline distT="0" distB="0" distL="0" distR="0" wp14:anchorId="467131E2" wp14:editId="68116C2C">
            <wp:extent cx="5939790" cy="1991995"/>
            <wp:effectExtent l="0" t="0" r="381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991995"/>
                    </a:xfrm>
                    <a:prstGeom prst="rect">
                      <a:avLst/>
                    </a:prstGeom>
                    <a:noFill/>
                    <a:ln>
                      <a:noFill/>
                    </a:ln>
                  </pic:spPr>
                </pic:pic>
              </a:graphicData>
            </a:graphic>
          </wp:inline>
        </w:drawing>
      </w:r>
    </w:p>
    <w:p w14:paraId="7D4F0816" w14:textId="2DE941A3" w:rsidR="002A7D0C" w:rsidRDefault="002A7D0C" w:rsidP="002A7D0C">
      <w:pPr>
        <w:pStyle w:val="Beschriftung"/>
      </w:pPr>
      <w:r>
        <w:t xml:space="preserve">Abb. </w:t>
      </w:r>
      <w:r w:rsidR="0049493C">
        <w:fldChar w:fldCharType="begin"/>
      </w:r>
      <w:r w:rsidR="0049493C">
        <w:instrText xml:space="preserve"> SEQ Abb. \* ARABIC </w:instrText>
      </w:r>
      <w:r w:rsidR="0049493C">
        <w:fldChar w:fldCharType="separate"/>
      </w:r>
      <w:r w:rsidR="0049493C">
        <w:rPr>
          <w:noProof/>
        </w:rPr>
        <w:t>3</w:t>
      </w:r>
      <w:r w:rsidR="0049493C">
        <w:rPr>
          <w:noProof/>
        </w:rPr>
        <w:fldChar w:fldCharType="end"/>
      </w:r>
      <w:r>
        <w:t xml:space="preserve">: Synthese von </w:t>
      </w:r>
      <w:proofErr w:type="spellStart"/>
      <w:r>
        <w:t>Imidacloprid</w:t>
      </w:r>
      <w:proofErr w:type="spellEnd"/>
    </w:p>
    <w:p w14:paraId="320A60F4" w14:textId="27C83BB4" w:rsidR="002A7D0C" w:rsidRDefault="002A7D0C" w:rsidP="002A7D0C">
      <w:pPr>
        <w:rPr>
          <w:rFonts w:cs="Arial"/>
        </w:rPr>
      </w:pPr>
      <w:r>
        <w:rPr>
          <w:rFonts w:cs="Arial"/>
        </w:rPr>
        <w:t xml:space="preserve">Das elektrophile </w:t>
      </w:r>
      <w:proofErr w:type="spellStart"/>
      <w:r>
        <w:rPr>
          <w:rFonts w:cs="Arial"/>
        </w:rPr>
        <w:t>Nitronium</w:t>
      </w:r>
      <w:proofErr w:type="spellEnd"/>
      <w:r>
        <w:rPr>
          <w:rFonts w:cs="Arial"/>
        </w:rPr>
        <w:t>-Ion NO</w:t>
      </w:r>
      <w:r>
        <w:rPr>
          <w:rFonts w:cs="Arial"/>
          <w:vertAlign w:val="subscript"/>
        </w:rPr>
        <w:t>2</w:t>
      </w:r>
      <w:r>
        <w:rPr>
          <w:rFonts w:cs="Arial"/>
          <w:vertAlign w:val="superscript"/>
        </w:rPr>
        <w:t>+</w:t>
      </w:r>
      <w:r>
        <w:rPr>
          <w:rFonts w:cs="Arial"/>
        </w:rPr>
        <w:t>, das im zweiten Reaktionsschritt benötigt wird, entsteht in der Nitriersäure durch Protonierung der Salpetersäure durch die Schwefelsäure und anschließende Dehydratisierung der protonierten Salpetersäure.</w:t>
      </w:r>
    </w:p>
    <w:p w14:paraId="47A72934" w14:textId="005A103D" w:rsidR="002A7D0C" w:rsidRDefault="002A7D0C" w:rsidP="002A7D0C">
      <w:pPr>
        <w:pStyle w:val="berschrift1"/>
      </w:pPr>
      <w:bookmarkStart w:id="3" w:name="_Toc56760143"/>
      <w:r>
        <w:t>Wirkung</w:t>
      </w:r>
      <w:bookmarkEnd w:id="3"/>
    </w:p>
    <w:p w14:paraId="1A2DACA9" w14:textId="20C97B4E" w:rsidR="002A7D0C" w:rsidRDefault="002A7D0C" w:rsidP="002A7D0C">
      <w:pPr>
        <w:rPr>
          <w:rFonts w:cs="Arial"/>
        </w:rPr>
      </w:pPr>
      <w:r>
        <w:rPr>
          <w:rFonts w:cs="Arial"/>
        </w:rPr>
        <w:t xml:space="preserve">Neonicotinoide (und auch das Nicotin selbst) sind Agonisten des natürlichen Neurotransmitters Acetylcholin, d. h. sie binden wie das Acetylcholin an die </w:t>
      </w:r>
      <w:proofErr w:type="spellStart"/>
      <w:r>
        <w:rPr>
          <w:rFonts w:cs="Arial"/>
        </w:rPr>
        <w:t>nicotinergen</w:t>
      </w:r>
      <w:proofErr w:type="spellEnd"/>
      <w:r>
        <w:rPr>
          <w:rFonts w:cs="Arial"/>
        </w:rPr>
        <w:t xml:space="preserve"> Rezeptoren und lösen Reize aus.</w:t>
      </w:r>
    </w:p>
    <w:p w14:paraId="6C8C35E0" w14:textId="77777777" w:rsidR="002A7D0C" w:rsidRDefault="002A7D0C" w:rsidP="002A7D0C">
      <w:pPr>
        <w:rPr>
          <w:rFonts w:cs="Arial"/>
        </w:rPr>
      </w:pPr>
    </w:p>
    <w:p w14:paraId="128B527E" w14:textId="77777777" w:rsidR="002A7D0C" w:rsidRDefault="002A7D0C" w:rsidP="002A7D0C">
      <w:pPr>
        <w:pStyle w:val="Bilder"/>
        <w:sectPr w:rsidR="002A7D0C" w:rsidSect="002A7D0C">
          <w:type w:val="continuous"/>
          <w:pgSz w:w="11906" w:h="16838"/>
          <w:pgMar w:top="851" w:right="1134" w:bottom="851" w:left="1418" w:header="0" w:footer="0" w:gutter="0"/>
          <w:cols w:space="708"/>
          <w:titlePg/>
          <w:docGrid w:linePitch="360"/>
        </w:sectPr>
      </w:pPr>
    </w:p>
    <w:p w14:paraId="56BFBBA6" w14:textId="0D22FE88" w:rsidR="002A7D0C" w:rsidRDefault="002A7D0C" w:rsidP="002A7D0C">
      <w:pPr>
        <w:pStyle w:val="Bilder"/>
        <w:spacing w:before="840"/>
      </w:pPr>
      <w:r>
        <w:drawing>
          <wp:inline distT="0" distB="0" distL="0" distR="0" wp14:anchorId="76E35A48" wp14:editId="0489C429">
            <wp:extent cx="3024766" cy="1080000"/>
            <wp:effectExtent l="0" t="0" r="444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766" cy="1080000"/>
                    </a:xfrm>
                    <a:prstGeom prst="rect">
                      <a:avLst/>
                    </a:prstGeom>
                    <a:noFill/>
                    <a:ln>
                      <a:noFill/>
                    </a:ln>
                  </pic:spPr>
                </pic:pic>
              </a:graphicData>
            </a:graphic>
          </wp:inline>
        </w:drawing>
      </w:r>
    </w:p>
    <w:p w14:paraId="10E0868F" w14:textId="6C7FE3ED" w:rsidR="002A7D0C" w:rsidRDefault="002A7D0C" w:rsidP="002A7D0C">
      <w:pPr>
        <w:pStyle w:val="Beschriftung"/>
      </w:pPr>
      <w:r>
        <w:t xml:space="preserve">Abb. </w:t>
      </w:r>
      <w:r w:rsidR="0049493C">
        <w:fldChar w:fldCharType="begin"/>
      </w:r>
      <w:r w:rsidR="0049493C">
        <w:instrText xml:space="preserve"> SEQ Abb. \* ARABIC </w:instrText>
      </w:r>
      <w:r w:rsidR="0049493C">
        <w:fldChar w:fldCharType="separate"/>
      </w:r>
      <w:r w:rsidR="0049493C">
        <w:rPr>
          <w:noProof/>
        </w:rPr>
        <w:t>4</w:t>
      </w:r>
      <w:r w:rsidR="0049493C">
        <w:rPr>
          <w:noProof/>
        </w:rPr>
        <w:fldChar w:fldCharType="end"/>
      </w:r>
      <w:r>
        <w:t>: Acetylcholin</w:t>
      </w:r>
    </w:p>
    <w:p w14:paraId="196ED8BF" w14:textId="0658AA0F" w:rsidR="002A7D0C" w:rsidRDefault="002A7D0C" w:rsidP="002A7D0C">
      <w:pPr>
        <w:pStyle w:val="Bilder"/>
      </w:pPr>
      <w:r>
        <w:drawing>
          <wp:inline distT="0" distB="0" distL="0" distR="0" wp14:anchorId="12AAE350" wp14:editId="5F59AC92">
            <wp:extent cx="1734820" cy="19513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4820" cy="1951355"/>
                    </a:xfrm>
                    <a:prstGeom prst="rect">
                      <a:avLst/>
                    </a:prstGeom>
                    <a:noFill/>
                    <a:ln>
                      <a:noFill/>
                    </a:ln>
                  </pic:spPr>
                </pic:pic>
              </a:graphicData>
            </a:graphic>
          </wp:inline>
        </w:drawing>
      </w:r>
    </w:p>
    <w:p w14:paraId="1280A5B8" w14:textId="6CF62C68" w:rsidR="002A7D0C" w:rsidRDefault="002A7D0C" w:rsidP="002A7D0C">
      <w:pPr>
        <w:pStyle w:val="Beschriftung"/>
      </w:pPr>
      <w:r>
        <w:t xml:space="preserve">Abb. </w:t>
      </w:r>
      <w:r w:rsidR="0049493C">
        <w:fldChar w:fldCharType="begin"/>
      </w:r>
      <w:r w:rsidR="0049493C">
        <w:instrText xml:space="preserve"> SEQ Abb. \* ARABIC </w:instrText>
      </w:r>
      <w:r w:rsidR="0049493C">
        <w:fldChar w:fldCharType="separate"/>
      </w:r>
      <w:r w:rsidR="0049493C">
        <w:rPr>
          <w:noProof/>
        </w:rPr>
        <w:t>5</w:t>
      </w:r>
      <w:r w:rsidR="0049493C">
        <w:rPr>
          <w:noProof/>
        </w:rPr>
        <w:fldChar w:fldCharType="end"/>
      </w:r>
      <w:r>
        <w:t>: Bindung an den Rezeptor</w:t>
      </w:r>
    </w:p>
    <w:p w14:paraId="41276E91" w14:textId="77777777" w:rsidR="002A7D0C" w:rsidRDefault="002A7D0C" w:rsidP="002A7D0C">
      <w:pPr>
        <w:rPr>
          <w:rFonts w:cs="Arial"/>
        </w:rPr>
        <w:sectPr w:rsidR="002A7D0C" w:rsidSect="002A7D0C">
          <w:type w:val="continuous"/>
          <w:pgSz w:w="11906" w:h="16838"/>
          <w:pgMar w:top="851" w:right="1134" w:bottom="851" w:left="1418" w:header="0" w:footer="0" w:gutter="0"/>
          <w:cols w:num="2" w:space="708"/>
          <w:titlePg/>
          <w:docGrid w:linePitch="360"/>
        </w:sectPr>
      </w:pPr>
    </w:p>
    <w:p w14:paraId="727F09D8" w14:textId="05E87043" w:rsidR="002A7D0C" w:rsidRDefault="002A7D0C" w:rsidP="002A7D0C">
      <w:pPr>
        <w:rPr>
          <w:rFonts w:cs="Arial"/>
        </w:rPr>
      </w:pPr>
      <w:r>
        <w:rPr>
          <w:rFonts w:cs="Arial"/>
        </w:rPr>
        <w:t>Die Bindung an den Rezeptor besteht aus der elektrostatischen Wechselwirkung zwischen einer positiv geladen Stelle im Molekül und einer Wasserstoffbrücken-Bindung. Die beiden Bindungsstellen müssen dabei einen Abstand von 5,9 Å haben, um an den Rezeptor zu binden. Acetylcholin bindet nur 1 bis 2 Millisekunden an den Rezeptor, Nicotin und die Neonicotinoide blockieren den Rezeptor und die Nerv-Weiterleitung deutlich länger und lösen so Atem-Versagen und Tod aus.</w:t>
      </w:r>
    </w:p>
    <w:p w14:paraId="320F39A3" w14:textId="3FE90945" w:rsidR="002A7D0C" w:rsidRDefault="002A7D0C" w:rsidP="002A7D0C">
      <w:pPr>
        <w:pStyle w:val="berschrift1"/>
      </w:pPr>
      <w:bookmarkStart w:id="4" w:name="_Toc56760144"/>
      <w:r>
        <w:t>Anwendung in der Landwirtschaft</w:t>
      </w:r>
      <w:bookmarkEnd w:id="4"/>
    </w:p>
    <w:p w14:paraId="6A15681E" w14:textId="70467132" w:rsidR="002A7D0C" w:rsidRDefault="002A7D0C" w:rsidP="002A7D0C">
      <w:pPr>
        <w:rPr>
          <w:rFonts w:cs="Arial"/>
        </w:rPr>
      </w:pPr>
      <w:r>
        <w:rPr>
          <w:rFonts w:cs="Arial"/>
        </w:rPr>
        <w:t>Die Neonicotinoide werden seit den späten 90ern weltweit als Insektizide eingesetzt. Wegen ihrer systemischen Wirkung (Verteilung in der ganzen Pflanze), der sehr hohen Wirksamkeit (auch gegen resistente Schädlinge) und weil ältere Pestizid-Arten zunehmend vom Markt genommen werden, sind sie zum weltweit bedeutendsten Insektizid geworden.</w:t>
      </w:r>
    </w:p>
    <w:p w14:paraId="59718A04" w14:textId="0480DE38" w:rsidR="002A7D0C" w:rsidRDefault="002A7D0C" w:rsidP="002A7D0C">
      <w:pPr>
        <w:pStyle w:val="berschrift1"/>
      </w:pPr>
      <w:bookmarkStart w:id="5" w:name="_Toc56760145"/>
      <w:r>
        <w:lastRenderedPageBreak/>
        <w:t>Nebenwirkungen und Schäden</w:t>
      </w:r>
      <w:bookmarkEnd w:id="5"/>
    </w:p>
    <w:p w14:paraId="5ED9CF5A" w14:textId="727F55F6" w:rsidR="002A7D0C" w:rsidRDefault="002A7D0C" w:rsidP="002A7D0C">
      <w:pPr>
        <w:rPr>
          <w:rFonts w:cs="Arial"/>
        </w:rPr>
      </w:pPr>
      <w:r>
        <w:rPr>
          <w:rFonts w:cs="Arial"/>
        </w:rPr>
        <w:t>Neonicotinoide bekämpfen aber nicht nur Schädlinge, sondern auch sehr viele Nützlinge, darunter Bienen und Hummeln. Das massive Völker-Sterben in den USA 2005 oder in der oberen Rhein-Ebene 2008 sind dabei nur besonders deutliche Zeichen einer Bedrohung der Bestäubungsinsekten durch die Neonicoti</w:t>
      </w:r>
      <w:r w:rsidR="0049493C">
        <w:rPr>
          <w:rFonts w:cs="Arial"/>
        </w:rPr>
        <w:t>n</w:t>
      </w:r>
      <w:r>
        <w:rPr>
          <w:rFonts w:cs="Arial"/>
        </w:rPr>
        <w:t>oide. Zahlreiche Studien beweisen einen direkten Zusammenhang zwischen Insektizid-Einsatz und Bienen-Sterben. Nichttödliche (subletale) Konzentrationen wirken indirekt durch Orientierungsverlust der Flug-Bienen und daraus resultierender Volk-Schwächung ebenso.</w:t>
      </w:r>
    </w:p>
    <w:p w14:paraId="55748A86" w14:textId="50A7E1E8" w:rsidR="002A7D0C" w:rsidRPr="002A7D0C" w:rsidRDefault="0049493C" w:rsidP="002A7D0C">
      <w:pPr>
        <w:pStyle w:val="Zusammenfassung"/>
      </w:pPr>
      <w:r>
        <w:rPr>
          <w:rStyle w:val="Fett"/>
          <w:rFonts w:cs="Arial"/>
        </w:rPr>
        <w:t>Zusammenfassung:</w:t>
      </w:r>
      <w:r w:rsidR="002A7D0C">
        <w:rPr>
          <w:rFonts w:cs="Arial"/>
        </w:rPr>
        <w:t xml:space="preserve"> Neonicotinoide sind Alkaloide, die strukturell dem Nicotin gleichen. Sie binden ebenso wie das Nicotin über eine elektrostatische Wechselwirkung und eine Wasserstoffbrücken-Bindung an die </w:t>
      </w:r>
      <w:proofErr w:type="spellStart"/>
      <w:r w:rsidR="002A7D0C">
        <w:rPr>
          <w:rFonts w:cs="Arial"/>
        </w:rPr>
        <w:t>nicotinerge</w:t>
      </w:r>
      <w:proofErr w:type="spellEnd"/>
      <w:r w:rsidR="002A7D0C">
        <w:rPr>
          <w:rFonts w:cs="Arial"/>
        </w:rPr>
        <w:t xml:space="preserve"> Rezeptoren. Da sie diese aber zu lange besetzen und auf Insekten tödlich wirken, sind sie eines der bedeutendsten Insektizide in der Landwirtschaft. Sie sind aber auch mit dem Bienen- und Insekten-Sterben in Verbindung zu sehen.</w:t>
      </w:r>
    </w:p>
    <w:p w14:paraId="17C4892B" w14:textId="267068EF" w:rsidR="002A7D0C" w:rsidRPr="002A7D0C" w:rsidRDefault="0049493C" w:rsidP="002A7D0C">
      <w:pPr>
        <w:pStyle w:val="EinstiegAbschluss"/>
      </w:pPr>
      <w:r>
        <w:rPr>
          <w:rStyle w:val="Fett"/>
          <w:rFonts w:cs="Arial"/>
        </w:rPr>
        <w:t>Abschluss:</w:t>
      </w:r>
      <w:r w:rsidR="002A7D0C">
        <w:rPr>
          <w:rStyle w:val="Fett"/>
          <w:rFonts w:cs="Arial"/>
        </w:rPr>
        <w:t xml:space="preserve"> </w:t>
      </w:r>
      <w:r w:rsidR="002A7D0C">
        <w:rPr>
          <w:rFonts w:cs="Arial"/>
        </w:rPr>
        <w:t xml:space="preserve">Der </w:t>
      </w:r>
      <w:proofErr w:type="spellStart"/>
      <w:r w:rsidR="002A7D0C">
        <w:rPr>
          <w:rFonts w:cs="Arial"/>
        </w:rPr>
        <w:t>Neonicotinoid</w:t>
      </w:r>
      <w:proofErr w:type="spellEnd"/>
      <w:r w:rsidR="002A7D0C">
        <w:rPr>
          <w:rFonts w:cs="Arial"/>
        </w:rPr>
        <w:t>-Einsatz ist sicherlich ein Faktor der mit für das Bienen-Sterben verantwortlich ist. Inwieweit das der Fall ist, kann aber nicht eindeutig geklärt werden, da es hierüber eine Vielzahl widersprüchlicher Studien gibt. Etwa die Hälfte dieser Studien wird von der Pestizid-Industrie finanziert. Wem man wie viel Glauben schenken kann mag der Leser selbst entscheiden. Darüber hinaus zeigt sich trotz EU-Moratoriums für die Neonicotinoide noch (!?) keine Besserung der Zustände.</w:t>
      </w:r>
    </w:p>
    <w:p w14:paraId="2A8C06EE" w14:textId="536BEE5F" w:rsidR="00931B30" w:rsidRDefault="00931B30" w:rsidP="00931B30">
      <w:pPr>
        <w:rPr>
          <w:b/>
          <w:bCs/>
        </w:rPr>
      </w:pPr>
      <w:r w:rsidRPr="000E61E0">
        <w:rPr>
          <w:b/>
          <w:bCs/>
        </w:rPr>
        <w:t>Quellen:</w:t>
      </w:r>
    </w:p>
    <w:p w14:paraId="394332D6" w14:textId="77777777" w:rsidR="002A7D0C" w:rsidRDefault="002A7D0C" w:rsidP="002A7D0C">
      <w:pPr>
        <w:pStyle w:val="AufzhlungStandard"/>
      </w:pPr>
      <w:proofErr w:type="spellStart"/>
      <w:r>
        <w:t>Chem.Unserer</w:t>
      </w:r>
      <w:proofErr w:type="spellEnd"/>
      <w:r>
        <w:t xml:space="preserve"> Zeit, 2008, 42, 408-424</w:t>
      </w:r>
    </w:p>
    <w:p w14:paraId="62022158" w14:textId="0FA60DB4" w:rsidR="002A7D0C" w:rsidRDefault="0049493C" w:rsidP="002A7D0C">
      <w:pPr>
        <w:pStyle w:val="AufzhlungStandard"/>
      </w:pPr>
      <w:hyperlink r:id="rId15" w:history="1">
        <w:r w:rsidR="002A7D0C">
          <w:rPr>
            <w:rStyle w:val="Hyperlink"/>
            <w:rFonts w:cs="Arial"/>
          </w:rPr>
          <w:t>http://www.efsa.europa.eu/de/press/news/130116.htm</w:t>
        </w:r>
      </w:hyperlink>
      <w:r w:rsidR="002A7D0C">
        <w:t>, 29.05.2015</w:t>
      </w:r>
    </w:p>
    <w:p w14:paraId="06C61280" w14:textId="706877C6" w:rsidR="002A7D0C" w:rsidRDefault="0049493C" w:rsidP="002A7D0C">
      <w:pPr>
        <w:pStyle w:val="AufzhlungStandard"/>
      </w:pPr>
      <w:hyperlink r:id="rId16" w:history="1">
        <w:r w:rsidR="002A7D0C">
          <w:rPr>
            <w:rStyle w:val="Hyperlink"/>
            <w:rFonts w:cs="Arial"/>
          </w:rPr>
          <w:t>http://www.nature.com/nature/journal/v521/n7550/full/nature14414.html</w:t>
        </w:r>
      </w:hyperlink>
      <w:r w:rsidR="002A7D0C">
        <w:t>, 29.05.2015</w:t>
      </w:r>
    </w:p>
    <w:p w14:paraId="5A4283C9" w14:textId="4EE9C85F" w:rsidR="004A4B07" w:rsidRPr="00286533" w:rsidRDefault="004A4B07" w:rsidP="00286533"/>
    <w:sectPr w:rsidR="004A4B07" w:rsidRPr="00286533" w:rsidSect="002A7D0C">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C506" w14:textId="77777777" w:rsidR="00AA5D66" w:rsidRDefault="00AA5D66" w:rsidP="005A7DCE">
      <w:pPr>
        <w:spacing w:before="0"/>
      </w:pPr>
      <w:r>
        <w:separator/>
      </w:r>
    </w:p>
  </w:endnote>
  <w:endnote w:type="continuationSeparator" w:id="0">
    <w:p w14:paraId="3214F425" w14:textId="77777777" w:rsidR="00AA5D66" w:rsidRDefault="00AA5D66"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625137"/>
      <w:docPartObj>
        <w:docPartGallery w:val="Page Numbers (Bottom of Page)"/>
        <w:docPartUnique/>
      </w:docPartObj>
    </w:sdtPr>
    <w:sdtEndPr/>
    <w:sdtContent>
      <w:p w14:paraId="7EE0C8EA" w14:textId="77777777" w:rsidR="005A7DCE" w:rsidRDefault="005A7DCE">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4B54474" w:rsidR="005A7DCE" w:rsidRDefault="005A7DCE">
        <w:pPr>
          <w:pStyle w:val="Fuzeile"/>
          <w:jc w:val="center"/>
        </w:pPr>
        <w:r>
          <w:fldChar w:fldCharType="begin"/>
        </w:r>
        <w:r>
          <w:instrText>PAGE    \* MERGEFORMAT</w:instrText>
        </w:r>
        <w:r>
          <w:fldChar w:fldCharType="separate"/>
        </w:r>
        <w:r w:rsidR="004A4B07">
          <w:rPr>
            <w:noProof/>
          </w:rPr>
          <w:t>3</w:t>
        </w:r>
        <w:r>
          <w:fldChar w:fldCharType="end"/>
        </w:r>
      </w:p>
    </w:sdtContent>
  </w:sdt>
  <w:p w14:paraId="69DF8B39"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A33A" w14:textId="77777777" w:rsidR="00AA5D66" w:rsidRDefault="00AA5D66" w:rsidP="005A7DCE">
      <w:pPr>
        <w:spacing w:before="0"/>
      </w:pPr>
      <w:r>
        <w:separator/>
      </w:r>
    </w:p>
  </w:footnote>
  <w:footnote w:type="continuationSeparator" w:id="0">
    <w:p w14:paraId="026CC8B6" w14:textId="77777777" w:rsidR="00AA5D66" w:rsidRDefault="00AA5D66"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4CE406DA"/>
    <w:multiLevelType w:val="multilevel"/>
    <w:tmpl w:val="189A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3B"/>
    <w:rsid w:val="00045EDE"/>
    <w:rsid w:val="000712A2"/>
    <w:rsid w:val="00074491"/>
    <w:rsid w:val="000D4A1C"/>
    <w:rsid w:val="000E61E0"/>
    <w:rsid w:val="001B0E73"/>
    <w:rsid w:val="001D6942"/>
    <w:rsid w:val="00286533"/>
    <w:rsid w:val="002A7D0C"/>
    <w:rsid w:val="002D1BE9"/>
    <w:rsid w:val="0033663A"/>
    <w:rsid w:val="0036111E"/>
    <w:rsid w:val="0049493C"/>
    <w:rsid w:val="004A4B07"/>
    <w:rsid w:val="005633FE"/>
    <w:rsid w:val="005A7DCE"/>
    <w:rsid w:val="006841CE"/>
    <w:rsid w:val="007161D1"/>
    <w:rsid w:val="007514D3"/>
    <w:rsid w:val="00783295"/>
    <w:rsid w:val="007B2C80"/>
    <w:rsid w:val="007F18E1"/>
    <w:rsid w:val="008117E4"/>
    <w:rsid w:val="00825BFE"/>
    <w:rsid w:val="00850560"/>
    <w:rsid w:val="00883728"/>
    <w:rsid w:val="008A524D"/>
    <w:rsid w:val="00902D3A"/>
    <w:rsid w:val="00931B30"/>
    <w:rsid w:val="009710A6"/>
    <w:rsid w:val="009B4835"/>
    <w:rsid w:val="00A21130"/>
    <w:rsid w:val="00A25B94"/>
    <w:rsid w:val="00A5383F"/>
    <w:rsid w:val="00AA5D66"/>
    <w:rsid w:val="00AB7E4B"/>
    <w:rsid w:val="00AE53F0"/>
    <w:rsid w:val="00AF7672"/>
    <w:rsid w:val="00B10DD4"/>
    <w:rsid w:val="00B85024"/>
    <w:rsid w:val="00C511E6"/>
    <w:rsid w:val="00CA413D"/>
    <w:rsid w:val="00D97908"/>
    <w:rsid w:val="00E14DE1"/>
    <w:rsid w:val="00E20AF3"/>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2A7D0C"/>
    <w:rPr>
      <w:color w:val="0000FF" w:themeColor="followedHyperlink"/>
      <w:u w:val="single"/>
    </w:rPr>
  </w:style>
  <w:style w:type="character" w:styleId="Fett">
    <w:name w:val="Strong"/>
    <w:basedOn w:val="Absatz-Standardschriftart"/>
    <w:uiPriority w:val="22"/>
    <w:qFormat/>
    <w:rsid w:val="002A7D0C"/>
    <w:rPr>
      <w:b/>
      <w:bCs/>
    </w:rPr>
  </w:style>
  <w:style w:type="paragraph" w:styleId="Untertitel">
    <w:name w:val="Subtitle"/>
    <w:basedOn w:val="Standard"/>
    <w:next w:val="Standard"/>
    <w:link w:val="UntertitelZchn"/>
    <w:uiPriority w:val="11"/>
    <w:rsid w:val="002A7D0C"/>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2A7D0C"/>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9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ure.com/nature/journal/v521/n7550/full/nature144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fsa.europa.eu/de/press/news/130116.htm"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A07D-F63C-4858-9ACF-7A1A8A8D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5</cp:revision>
  <cp:lastPrinted>2020-12-23T13:07:00Z</cp:lastPrinted>
  <dcterms:created xsi:type="dcterms:W3CDTF">2020-11-20T09:09:00Z</dcterms:created>
  <dcterms:modified xsi:type="dcterms:W3CDTF">2020-12-23T13:07:00Z</dcterms:modified>
</cp:coreProperties>
</file>