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E8473B">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D53474" w:rsidRDefault="00D53474"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D53474" w:rsidRDefault="00D53474"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1C0A377D" w:rsidR="00AE53F0" w:rsidRPr="001D6942" w:rsidRDefault="00E8473B" w:rsidP="001D6942">
      <w:pPr>
        <w:pStyle w:val="Seminar"/>
      </w:pPr>
      <w:r w:rsidRPr="001D6942">
        <w:t>Seminar</w:t>
      </w:r>
      <w:r w:rsidR="00FD7888">
        <w:t xml:space="preserve"> „Übungen im Vortragen – </w:t>
      </w:r>
      <w:r w:rsidR="00FD7888" w:rsidRPr="000662AC">
        <w:t>AC, PC</w:t>
      </w:r>
      <w:r w:rsidR="00FD7888">
        <w:t>“</w:t>
      </w:r>
    </w:p>
    <w:p w14:paraId="61C6F5BC" w14:textId="39CB0C28" w:rsidR="00E8473B" w:rsidRDefault="000662AC" w:rsidP="005633FE">
      <w:pPr>
        <w:pStyle w:val="Titel"/>
      </w:pPr>
      <w:r>
        <w:t>Metall-Komplexe -</w:t>
      </w:r>
      <w:r>
        <w:br/>
        <w:t>Zusammenhang zwischen Struktur und Farbe anhand von Beispielen</w:t>
      </w:r>
    </w:p>
    <w:p w14:paraId="28CE20D7" w14:textId="17E3E46B" w:rsidR="00E8473B" w:rsidRDefault="000662AC" w:rsidP="00E8473B">
      <w:pPr>
        <w:pStyle w:val="Autor"/>
      </w:pPr>
      <w:r>
        <w:t>Sabine Marx, WS 04/05; Max Waldenburger, 16</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4CA012B4" w14:textId="690A5C29" w:rsidR="00E87A7E"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5287667" w:history="1">
            <w:r w:rsidR="00E87A7E" w:rsidRPr="00786A72">
              <w:rPr>
                <w:rStyle w:val="Hyperlink"/>
                <w:noProof/>
              </w:rPr>
              <w:t>1</w:t>
            </w:r>
            <w:r w:rsidR="00E87A7E">
              <w:rPr>
                <w:rFonts w:asciiTheme="minorHAnsi" w:eastAsiaTheme="minorEastAsia" w:hAnsiTheme="minorHAnsi"/>
                <w:noProof/>
                <w:sz w:val="22"/>
                <w:lang w:eastAsia="de-DE"/>
              </w:rPr>
              <w:tab/>
            </w:r>
            <w:r w:rsidR="00E87A7E" w:rsidRPr="00786A72">
              <w:rPr>
                <w:rStyle w:val="Hyperlink"/>
                <w:noProof/>
              </w:rPr>
              <w:t>Aufbau von Komplex-Verbindungen</w:t>
            </w:r>
            <w:r w:rsidR="00E87A7E">
              <w:rPr>
                <w:noProof/>
                <w:webHidden/>
              </w:rPr>
              <w:tab/>
            </w:r>
            <w:r w:rsidR="00E87A7E">
              <w:rPr>
                <w:noProof/>
                <w:webHidden/>
              </w:rPr>
              <w:fldChar w:fldCharType="begin"/>
            </w:r>
            <w:r w:rsidR="00E87A7E">
              <w:rPr>
                <w:noProof/>
                <w:webHidden/>
              </w:rPr>
              <w:instrText xml:space="preserve"> PAGEREF _Toc55287667 \h </w:instrText>
            </w:r>
            <w:r w:rsidR="00E87A7E">
              <w:rPr>
                <w:noProof/>
                <w:webHidden/>
              </w:rPr>
            </w:r>
            <w:r w:rsidR="00E87A7E">
              <w:rPr>
                <w:noProof/>
                <w:webHidden/>
              </w:rPr>
              <w:fldChar w:fldCharType="separate"/>
            </w:r>
            <w:r w:rsidR="0052185E">
              <w:rPr>
                <w:noProof/>
                <w:webHidden/>
              </w:rPr>
              <w:t>1</w:t>
            </w:r>
            <w:r w:rsidR="00E87A7E">
              <w:rPr>
                <w:noProof/>
                <w:webHidden/>
              </w:rPr>
              <w:fldChar w:fldCharType="end"/>
            </w:r>
          </w:hyperlink>
        </w:p>
        <w:p w14:paraId="33FA6A6B" w14:textId="0CA53198" w:rsidR="00E87A7E" w:rsidRDefault="0052185E">
          <w:pPr>
            <w:pStyle w:val="Verzeichnis1"/>
            <w:tabs>
              <w:tab w:val="left" w:pos="480"/>
              <w:tab w:val="right" w:leader="dot" w:pos="9344"/>
            </w:tabs>
            <w:rPr>
              <w:rFonts w:asciiTheme="minorHAnsi" w:eastAsiaTheme="minorEastAsia" w:hAnsiTheme="minorHAnsi"/>
              <w:noProof/>
              <w:sz w:val="22"/>
              <w:lang w:eastAsia="de-DE"/>
            </w:rPr>
          </w:pPr>
          <w:hyperlink w:anchor="_Toc55287668" w:history="1">
            <w:r w:rsidR="00E87A7E" w:rsidRPr="00786A72">
              <w:rPr>
                <w:rStyle w:val="Hyperlink"/>
                <w:noProof/>
              </w:rPr>
              <w:t>2</w:t>
            </w:r>
            <w:r w:rsidR="00E87A7E">
              <w:rPr>
                <w:rFonts w:asciiTheme="minorHAnsi" w:eastAsiaTheme="minorEastAsia" w:hAnsiTheme="minorHAnsi"/>
                <w:noProof/>
                <w:sz w:val="22"/>
                <w:lang w:eastAsia="de-DE"/>
              </w:rPr>
              <w:tab/>
            </w:r>
            <w:r w:rsidR="00E87A7E" w:rsidRPr="00786A72">
              <w:rPr>
                <w:rStyle w:val="Hyperlink"/>
                <w:noProof/>
              </w:rPr>
              <w:t>Farbe von Komplex-Verbindungen</w:t>
            </w:r>
            <w:r w:rsidR="00E87A7E">
              <w:rPr>
                <w:noProof/>
                <w:webHidden/>
              </w:rPr>
              <w:tab/>
            </w:r>
            <w:r w:rsidR="00E87A7E">
              <w:rPr>
                <w:noProof/>
                <w:webHidden/>
              </w:rPr>
              <w:fldChar w:fldCharType="begin"/>
            </w:r>
            <w:r w:rsidR="00E87A7E">
              <w:rPr>
                <w:noProof/>
                <w:webHidden/>
              </w:rPr>
              <w:instrText xml:space="preserve"> PAGEREF _Toc55287668 \h </w:instrText>
            </w:r>
            <w:r w:rsidR="00E87A7E">
              <w:rPr>
                <w:noProof/>
                <w:webHidden/>
              </w:rPr>
            </w:r>
            <w:r w:rsidR="00E87A7E">
              <w:rPr>
                <w:noProof/>
                <w:webHidden/>
              </w:rPr>
              <w:fldChar w:fldCharType="separate"/>
            </w:r>
            <w:r>
              <w:rPr>
                <w:noProof/>
                <w:webHidden/>
              </w:rPr>
              <w:t>2</w:t>
            </w:r>
            <w:r w:rsidR="00E87A7E">
              <w:rPr>
                <w:noProof/>
                <w:webHidden/>
              </w:rPr>
              <w:fldChar w:fldCharType="end"/>
            </w:r>
          </w:hyperlink>
        </w:p>
        <w:p w14:paraId="28D15B59" w14:textId="2F013293" w:rsidR="00E87A7E" w:rsidRDefault="0052185E">
          <w:pPr>
            <w:pStyle w:val="Verzeichnis2"/>
            <w:tabs>
              <w:tab w:val="left" w:pos="880"/>
              <w:tab w:val="right" w:leader="dot" w:pos="9344"/>
            </w:tabs>
            <w:rPr>
              <w:rFonts w:asciiTheme="minorHAnsi" w:eastAsiaTheme="minorEastAsia" w:hAnsiTheme="minorHAnsi"/>
              <w:noProof/>
              <w:sz w:val="22"/>
              <w:lang w:eastAsia="de-DE"/>
            </w:rPr>
          </w:pPr>
          <w:hyperlink w:anchor="_Toc55287669" w:history="1">
            <w:r w:rsidR="00E87A7E" w:rsidRPr="00786A72">
              <w:rPr>
                <w:rStyle w:val="Hyperlink"/>
                <w:noProof/>
              </w:rPr>
              <w:t>2.1</w:t>
            </w:r>
            <w:r w:rsidR="00E87A7E">
              <w:rPr>
                <w:rFonts w:asciiTheme="minorHAnsi" w:eastAsiaTheme="minorEastAsia" w:hAnsiTheme="minorHAnsi"/>
                <w:noProof/>
                <w:sz w:val="22"/>
                <w:lang w:eastAsia="de-DE"/>
              </w:rPr>
              <w:tab/>
            </w:r>
            <w:r w:rsidR="00E87A7E" w:rsidRPr="00786A72">
              <w:rPr>
                <w:rStyle w:val="Hyperlink"/>
                <w:noProof/>
              </w:rPr>
              <w:t xml:space="preserve">Ligandenfeld-Theorie / Ligandenfeld-Aufspaltung </w:t>
            </w:r>
            <w:r w:rsidR="00E87A7E" w:rsidRPr="00786A72">
              <w:rPr>
                <w:rStyle w:val="Hyperlink"/>
                <w:rFonts w:cstheme="majorHAnsi"/>
                <w:noProof/>
              </w:rPr>
              <w:t>Δ</w:t>
            </w:r>
            <w:r w:rsidR="00E87A7E">
              <w:rPr>
                <w:noProof/>
                <w:webHidden/>
              </w:rPr>
              <w:tab/>
            </w:r>
            <w:r w:rsidR="00E87A7E">
              <w:rPr>
                <w:noProof/>
                <w:webHidden/>
              </w:rPr>
              <w:fldChar w:fldCharType="begin"/>
            </w:r>
            <w:r w:rsidR="00E87A7E">
              <w:rPr>
                <w:noProof/>
                <w:webHidden/>
              </w:rPr>
              <w:instrText xml:space="preserve"> PAGEREF _Toc55287669 \h </w:instrText>
            </w:r>
            <w:r w:rsidR="00E87A7E">
              <w:rPr>
                <w:noProof/>
                <w:webHidden/>
              </w:rPr>
            </w:r>
            <w:r w:rsidR="00E87A7E">
              <w:rPr>
                <w:noProof/>
                <w:webHidden/>
              </w:rPr>
              <w:fldChar w:fldCharType="separate"/>
            </w:r>
            <w:r>
              <w:rPr>
                <w:noProof/>
                <w:webHidden/>
              </w:rPr>
              <w:t>2</w:t>
            </w:r>
            <w:r w:rsidR="00E87A7E">
              <w:rPr>
                <w:noProof/>
                <w:webHidden/>
              </w:rPr>
              <w:fldChar w:fldCharType="end"/>
            </w:r>
          </w:hyperlink>
        </w:p>
        <w:p w14:paraId="02AA1BF5" w14:textId="3C7AD5C4" w:rsidR="00E87A7E" w:rsidRDefault="0052185E">
          <w:pPr>
            <w:pStyle w:val="Verzeichnis2"/>
            <w:tabs>
              <w:tab w:val="left" w:pos="880"/>
              <w:tab w:val="right" w:leader="dot" w:pos="9344"/>
            </w:tabs>
            <w:rPr>
              <w:rFonts w:asciiTheme="minorHAnsi" w:eastAsiaTheme="minorEastAsia" w:hAnsiTheme="minorHAnsi"/>
              <w:noProof/>
              <w:sz w:val="22"/>
              <w:lang w:eastAsia="de-DE"/>
            </w:rPr>
          </w:pPr>
          <w:hyperlink w:anchor="_Toc55287670" w:history="1">
            <w:r w:rsidR="00E87A7E" w:rsidRPr="00786A72">
              <w:rPr>
                <w:rStyle w:val="Hyperlink"/>
                <w:noProof/>
              </w:rPr>
              <w:t>2.2</w:t>
            </w:r>
            <w:r w:rsidR="00E87A7E">
              <w:rPr>
                <w:rFonts w:asciiTheme="minorHAnsi" w:eastAsiaTheme="minorEastAsia" w:hAnsiTheme="minorHAnsi"/>
                <w:noProof/>
                <w:sz w:val="22"/>
                <w:lang w:eastAsia="de-DE"/>
              </w:rPr>
              <w:tab/>
            </w:r>
            <w:r w:rsidR="00E87A7E" w:rsidRPr="00786A72">
              <w:rPr>
                <w:rStyle w:val="Hyperlink"/>
                <w:noProof/>
              </w:rPr>
              <w:t>Einflüsse auf die Farbe von Komplex-Verbindungen</w:t>
            </w:r>
            <w:r w:rsidR="00E87A7E">
              <w:rPr>
                <w:noProof/>
                <w:webHidden/>
              </w:rPr>
              <w:tab/>
            </w:r>
            <w:r w:rsidR="00E87A7E">
              <w:rPr>
                <w:noProof/>
                <w:webHidden/>
              </w:rPr>
              <w:fldChar w:fldCharType="begin"/>
            </w:r>
            <w:r w:rsidR="00E87A7E">
              <w:rPr>
                <w:noProof/>
                <w:webHidden/>
              </w:rPr>
              <w:instrText xml:space="preserve"> PAGEREF _Toc55287670 \h </w:instrText>
            </w:r>
            <w:r w:rsidR="00E87A7E">
              <w:rPr>
                <w:noProof/>
                <w:webHidden/>
              </w:rPr>
            </w:r>
            <w:r w:rsidR="00E87A7E">
              <w:rPr>
                <w:noProof/>
                <w:webHidden/>
              </w:rPr>
              <w:fldChar w:fldCharType="separate"/>
            </w:r>
            <w:r>
              <w:rPr>
                <w:noProof/>
                <w:webHidden/>
              </w:rPr>
              <w:t>3</w:t>
            </w:r>
            <w:r w:rsidR="00E87A7E">
              <w:rPr>
                <w:noProof/>
                <w:webHidden/>
              </w:rPr>
              <w:fldChar w:fldCharType="end"/>
            </w:r>
          </w:hyperlink>
        </w:p>
        <w:p w14:paraId="52FF4970" w14:textId="518B0C54" w:rsidR="00E87A7E" w:rsidRDefault="0052185E">
          <w:pPr>
            <w:pStyle w:val="Verzeichnis3"/>
            <w:tabs>
              <w:tab w:val="left" w:pos="1320"/>
              <w:tab w:val="right" w:leader="dot" w:pos="9344"/>
            </w:tabs>
            <w:rPr>
              <w:rFonts w:asciiTheme="minorHAnsi" w:eastAsiaTheme="minorEastAsia" w:hAnsiTheme="minorHAnsi"/>
              <w:noProof/>
              <w:sz w:val="22"/>
              <w:lang w:eastAsia="de-DE"/>
            </w:rPr>
          </w:pPr>
          <w:hyperlink w:anchor="_Toc55287671" w:history="1">
            <w:r w:rsidR="00E87A7E" w:rsidRPr="00786A72">
              <w:rPr>
                <w:rStyle w:val="Hyperlink"/>
                <w:noProof/>
              </w:rPr>
              <w:t>2.2.1</w:t>
            </w:r>
            <w:r w:rsidR="00E87A7E">
              <w:rPr>
                <w:rFonts w:asciiTheme="minorHAnsi" w:eastAsiaTheme="minorEastAsia" w:hAnsiTheme="minorHAnsi"/>
                <w:noProof/>
                <w:sz w:val="22"/>
                <w:lang w:eastAsia="de-DE"/>
              </w:rPr>
              <w:tab/>
            </w:r>
            <w:r w:rsidR="00E87A7E" w:rsidRPr="00786A72">
              <w:rPr>
                <w:rStyle w:val="Hyperlink"/>
                <w:noProof/>
              </w:rPr>
              <w:t>Einfluss der Liganden</w:t>
            </w:r>
            <w:r w:rsidR="00E87A7E">
              <w:rPr>
                <w:noProof/>
                <w:webHidden/>
              </w:rPr>
              <w:tab/>
            </w:r>
            <w:r w:rsidR="00E87A7E">
              <w:rPr>
                <w:noProof/>
                <w:webHidden/>
              </w:rPr>
              <w:fldChar w:fldCharType="begin"/>
            </w:r>
            <w:r w:rsidR="00E87A7E">
              <w:rPr>
                <w:noProof/>
                <w:webHidden/>
              </w:rPr>
              <w:instrText xml:space="preserve"> PAGEREF _Toc55287671 \h </w:instrText>
            </w:r>
            <w:r w:rsidR="00E87A7E">
              <w:rPr>
                <w:noProof/>
                <w:webHidden/>
              </w:rPr>
            </w:r>
            <w:r w:rsidR="00E87A7E">
              <w:rPr>
                <w:noProof/>
                <w:webHidden/>
              </w:rPr>
              <w:fldChar w:fldCharType="separate"/>
            </w:r>
            <w:r>
              <w:rPr>
                <w:noProof/>
                <w:webHidden/>
              </w:rPr>
              <w:t>3</w:t>
            </w:r>
            <w:r w:rsidR="00E87A7E">
              <w:rPr>
                <w:noProof/>
                <w:webHidden/>
              </w:rPr>
              <w:fldChar w:fldCharType="end"/>
            </w:r>
          </w:hyperlink>
        </w:p>
        <w:p w14:paraId="26B139D0" w14:textId="5AB8DF79" w:rsidR="00E87A7E" w:rsidRDefault="0052185E">
          <w:pPr>
            <w:pStyle w:val="Verzeichnis3"/>
            <w:tabs>
              <w:tab w:val="left" w:pos="1320"/>
              <w:tab w:val="right" w:leader="dot" w:pos="9344"/>
            </w:tabs>
            <w:rPr>
              <w:rFonts w:asciiTheme="minorHAnsi" w:eastAsiaTheme="minorEastAsia" w:hAnsiTheme="minorHAnsi"/>
              <w:noProof/>
              <w:sz w:val="22"/>
              <w:lang w:eastAsia="de-DE"/>
            </w:rPr>
          </w:pPr>
          <w:hyperlink w:anchor="_Toc55287672" w:history="1">
            <w:r w:rsidR="00E87A7E" w:rsidRPr="00786A72">
              <w:rPr>
                <w:rStyle w:val="Hyperlink"/>
                <w:noProof/>
              </w:rPr>
              <w:t>2.2.2</w:t>
            </w:r>
            <w:r w:rsidR="00E87A7E">
              <w:rPr>
                <w:rFonts w:asciiTheme="minorHAnsi" w:eastAsiaTheme="minorEastAsia" w:hAnsiTheme="minorHAnsi"/>
                <w:noProof/>
                <w:sz w:val="22"/>
                <w:lang w:eastAsia="de-DE"/>
              </w:rPr>
              <w:tab/>
            </w:r>
            <w:r w:rsidR="00E87A7E" w:rsidRPr="00786A72">
              <w:rPr>
                <w:rStyle w:val="Hyperlink"/>
                <w:noProof/>
              </w:rPr>
              <w:t>Einfluss des Zentral-Atoms</w:t>
            </w:r>
            <w:r w:rsidR="00E87A7E">
              <w:rPr>
                <w:noProof/>
                <w:webHidden/>
              </w:rPr>
              <w:tab/>
            </w:r>
            <w:r w:rsidR="00E87A7E">
              <w:rPr>
                <w:noProof/>
                <w:webHidden/>
              </w:rPr>
              <w:fldChar w:fldCharType="begin"/>
            </w:r>
            <w:r w:rsidR="00E87A7E">
              <w:rPr>
                <w:noProof/>
                <w:webHidden/>
              </w:rPr>
              <w:instrText xml:space="preserve"> PAGEREF _Toc55287672 \h </w:instrText>
            </w:r>
            <w:r w:rsidR="00E87A7E">
              <w:rPr>
                <w:noProof/>
                <w:webHidden/>
              </w:rPr>
            </w:r>
            <w:r w:rsidR="00E87A7E">
              <w:rPr>
                <w:noProof/>
                <w:webHidden/>
              </w:rPr>
              <w:fldChar w:fldCharType="separate"/>
            </w:r>
            <w:r>
              <w:rPr>
                <w:noProof/>
                <w:webHidden/>
              </w:rPr>
              <w:t>3</w:t>
            </w:r>
            <w:r w:rsidR="00E87A7E">
              <w:rPr>
                <w:noProof/>
                <w:webHidden/>
              </w:rPr>
              <w:fldChar w:fldCharType="end"/>
            </w:r>
          </w:hyperlink>
        </w:p>
        <w:p w14:paraId="7803AF29" w14:textId="28D19A44" w:rsidR="00E87A7E" w:rsidRDefault="0052185E">
          <w:pPr>
            <w:pStyle w:val="Verzeichnis1"/>
            <w:tabs>
              <w:tab w:val="left" w:pos="480"/>
              <w:tab w:val="right" w:leader="dot" w:pos="9344"/>
            </w:tabs>
            <w:rPr>
              <w:rFonts w:asciiTheme="minorHAnsi" w:eastAsiaTheme="minorEastAsia" w:hAnsiTheme="minorHAnsi"/>
              <w:noProof/>
              <w:sz w:val="22"/>
              <w:lang w:eastAsia="de-DE"/>
            </w:rPr>
          </w:pPr>
          <w:hyperlink w:anchor="_Toc55287673" w:history="1">
            <w:r w:rsidR="00E87A7E" w:rsidRPr="00786A72">
              <w:rPr>
                <w:rStyle w:val="Hyperlink"/>
                <w:noProof/>
              </w:rPr>
              <w:t>3</w:t>
            </w:r>
            <w:r w:rsidR="00E87A7E">
              <w:rPr>
                <w:rFonts w:asciiTheme="minorHAnsi" w:eastAsiaTheme="minorEastAsia" w:hAnsiTheme="minorHAnsi"/>
                <w:noProof/>
                <w:sz w:val="22"/>
                <w:lang w:eastAsia="de-DE"/>
              </w:rPr>
              <w:tab/>
            </w:r>
            <w:r w:rsidR="00E87A7E" w:rsidRPr="00786A72">
              <w:rPr>
                <w:rStyle w:val="Hyperlink"/>
                <w:noProof/>
              </w:rPr>
              <w:t>Farb-Entstehung des Berliner Blau</w:t>
            </w:r>
            <w:r w:rsidR="00E87A7E">
              <w:rPr>
                <w:noProof/>
                <w:webHidden/>
              </w:rPr>
              <w:tab/>
            </w:r>
            <w:r w:rsidR="00E87A7E">
              <w:rPr>
                <w:noProof/>
                <w:webHidden/>
              </w:rPr>
              <w:fldChar w:fldCharType="begin"/>
            </w:r>
            <w:r w:rsidR="00E87A7E">
              <w:rPr>
                <w:noProof/>
                <w:webHidden/>
              </w:rPr>
              <w:instrText xml:space="preserve"> PAGEREF _Toc55287673 \h </w:instrText>
            </w:r>
            <w:r w:rsidR="00E87A7E">
              <w:rPr>
                <w:noProof/>
                <w:webHidden/>
              </w:rPr>
            </w:r>
            <w:r w:rsidR="00E87A7E">
              <w:rPr>
                <w:noProof/>
                <w:webHidden/>
              </w:rPr>
              <w:fldChar w:fldCharType="separate"/>
            </w:r>
            <w:r>
              <w:rPr>
                <w:noProof/>
                <w:webHidden/>
              </w:rPr>
              <w:t>4</w:t>
            </w:r>
            <w:r w:rsidR="00E87A7E">
              <w:rPr>
                <w:noProof/>
                <w:webHidden/>
              </w:rPr>
              <w:fldChar w:fldCharType="end"/>
            </w:r>
          </w:hyperlink>
        </w:p>
        <w:p w14:paraId="5AC765BB" w14:textId="4063A67D" w:rsidR="009B4835" w:rsidRDefault="009B4835">
          <w:r>
            <w:rPr>
              <w:b/>
              <w:bCs/>
            </w:rPr>
            <w:fldChar w:fldCharType="end"/>
          </w:r>
        </w:p>
      </w:sdtContent>
    </w:sdt>
    <w:p w14:paraId="06CE8F08" w14:textId="5E71A652" w:rsidR="00FD7888" w:rsidRDefault="00FD7888" w:rsidP="00FD7888">
      <w:pPr>
        <w:pStyle w:val="EinstiegAbschluss"/>
      </w:pPr>
      <w:bookmarkStart w:id="0" w:name="_Überschrift_1"/>
      <w:bookmarkEnd w:id="0"/>
      <w:r w:rsidRPr="000662AC">
        <w:rPr>
          <w:rStyle w:val="Fett"/>
        </w:rPr>
        <w:t>Einstieg</w:t>
      </w:r>
      <w:r>
        <w:t>:</w:t>
      </w:r>
      <w:r w:rsidR="000662AC">
        <w:t xml:space="preserve"> </w:t>
      </w:r>
      <w:r w:rsidR="000662AC">
        <w:rPr>
          <w:rFonts w:cs="Arial"/>
        </w:rPr>
        <w:t>Preußen stieg im 18. und 19. Jahrhundert zu einer europäischen Großmacht auf. Markant an der preußischen Armee waren zu jener Zeit die leuchtend blauen Uniformen der Soldaten. 1706 wurde erstmals das Berliner Blau, oder auch preußisch Blau genannt, vom Berliner Johann J. Diesbach hergestellt. Es eignete sich hervorragend als Färbe-Mittel, nicht nur für die Kunst, sondern auch zur Färbung von Uniformen. Merkwürdigerweise haben die Soldaten ihre blaue Kriegskleidung nie gewaschen, nicht weil sie besonders unhygienisch waren – das Berliner blau birgt einen großen Nachteil in sich.</w:t>
      </w:r>
    </w:p>
    <w:p w14:paraId="3D51DEDA" w14:textId="2A51C628" w:rsidR="00E8473B" w:rsidRDefault="000662AC" w:rsidP="008A524D">
      <w:pPr>
        <w:pStyle w:val="berschrift1"/>
      </w:pPr>
      <w:bookmarkStart w:id="1" w:name="_Toc55287667"/>
      <w:r>
        <w:t>Aufbau von Komplex-Verbindungen</w:t>
      </w:r>
      <w:bookmarkEnd w:id="1"/>
    </w:p>
    <w:p w14:paraId="1E2BAC4C" w14:textId="3CE4B519" w:rsidR="000662AC" w:rsidRDefault="000662AC" w:rsidP="000662AC">
      <w:pPr>
        <w:rPr>
          <w:rFonts w:cs="Arial"/>
        </w:rPr>
      </w:pPr>
      <w:r>
        <w:rPr>
          <w:rFonts w:cs="Arial"/>
        </w:rPr>
        <w:t>Komplexe sind Verbindungen, in denen ein Zentral-Atom oder ein Zentral-Ion von mehreren Liganden in räumlich regelmäßiger Anordnung umgeben ist. Koordinationszahl (KZ): Anzahl der vom Zentral-Teilchen chemisch gebundenen Liganden.</w:t>
      </w:r>
    </w:p>
    <w:p w14:paraId="2D0446BE" w14:textId="4B5F1599" w:rsidR="000662AC" w:rsidRDefault="000662AC" w:rsidP="000662AC">
      <w:pPr>
        <w:rPr>
          <w:rFonts w:cs="Arial"/>
        </w:rPr>
      </w:pPr>
      <w:r>
        <w:rPr>
          <w:rFonts w:cs="Arial"/>
        </w:rPr>
        <w:t>Komplexe können je nach Metall-Zentrum, Ligand und Koordinationszahl verschiedene geometrische Strukturen aufweisen.</w:t>
      </w:r>
    </w:p>
    <w:p w14:paraId="19CC674D" w14:textId="05CFDFC3" w:rsidR="000662AC" w:rsidRDefault="000662AC" w:rsidP="000662AC">
      <w:pPr>
        <w:pStyle w:val="Bilder"/>
      </w:pPr>
      <w:r>
        <w:rPr>
          <w:lang w:eastAsia="de-DE"/>
        </w:rPr>
        <w:lastRenderedPageBreak/>
        <w:drawing>
          <wp:inline distT="0" distB="0" distL="0" distR="0" wp14:anchorId="303BCF10" wp14:editId="7E873ECF">
            <wp:extent cx="5133442" cy="288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442" cy="2880000"/>
                    </a:xfrm>
                    <a:prstGeom prst="rect">
                      <a:avLst/>
                    </a:prstGeom>
                    <a:noFill/>
                    <a:ln>
                      <a:noFill/>
                    </a:ln>
                  </pic:spPr>
                </pic:pic>
              </a:graphicData>
            </a:graphic>
          </wp:inline>
        </w:drawing>
      </w:r>
    </w:p>
    <w:p w14:paraId="12C7DD25" w14:textId="1DFC7F43" w:rsidR="000662AC" w:rsidRDefault="000662AC" w:rsidP="000662AC">
      <w:pPr>
        <w:pStyle w:val="Beschriftung"/>
      </w:pPr>
      <w:r>
        <w:t xml:space="preserve">Abb. </w:t>
      </w:r>
      <w:r w:rsidR="0052185E">
        <w:fldChar w:fldCharType="begin"/>
      </w:r>
      <w:r w:rsidR="0052185E">
        <w:instrText xml:space="preserve"> SEQ Abb. \* ARABIC </w:instrText>
      </w:r>
      <w:r w:rsidR="0052185E">
        <w:fldChar w:fldCharType="separate"/>
      </w:r>
      <w:r w:rsidR="0052185E">
        <w:rPr>
          <w:noProof/>
        </w:rPr>
        <w:t>1</w:t>
      </w:r>
      <w:r w:rsidR="0052185E">
        <w:rPr>
          <w:noProof/>
        </w:rPr>
        <w:fldChar w:fldCharType="end"/>
      </w:r>
      <w:r>
        <w:t>: Die Anordnung der Liganden für verschiedene KZ</w:t>
      </w:r>
    </w:p>
    <w:p w14:paraId="03D7A312" w14:textId="79B4C5D4" w:rsidR="000662AC" w:rsidRDefault="000662AC" w:rsidP="000662AC">
      <w:pPr>
        <w:pStyle w:val="berschrift1"/>
      </w:pPr>
      <w:bookmarkStart w:id="2" w:name="_Toc55287668"/>
      <w:r>
        <w:t>Farbe von Komplex-Verbindungen</w:t>
      </w:r>
      <w:bookmarkEnd w:id="2"/>
    </w:p>
    <w:p w14:paraId="271645BC" w14:textId="0F2793AD" w:rsidR="000662AC" w:rsidRDefault="000662AC" w:rsidP="000662AC">
      <w:pPr>
        <w:pStyle w:val="berschrift2"/>
      </w:pPr>
      <w:bookmarkStart w:id="3" w:name="_Toc55287669"/>
      <w:r>
        <w:t xml:space="preserve">Ligandenfeld-Theorie / Ligandenfeld-Aufspaltung </w:t>
      </w:r>
      <w:r>
        <w:rPr>
          <w:rFonts w:cstheme="majorHAnsi"/>
        </w:rPr>
        <w:t>Δ</w:t>
      </w:r>
      <w:bookmarkEnd w:id="3"/>
    </w:p>
    <w:p w14:paraId="7C5910E9" w14:textId="57DE3571" w:rsidR="000662AC" w:rsidRDefault="000662AC" w:rsidP="000662AC">
      <w:pPr>
        <w:rPr>
          <w:rFonts w:cs="Arial"/>
        </w:rPr>
      </w:pPr>
      <w:r w:rsidRPr="000662AC">
        <w:rPr>
          <w:rStyle w:val="Fett"/>
        </w:rPr>
        <w:t>Beispiel</w:t>
      </w:r>
      <w:r>
        <w:rPr>
          <w:rFonts w:cs="Arial"/>
        </w:rPr>
        <w:t>: oktaedrisches Ligandenfeld</w:t>
      </w:r>
    </w:p>
    <w:p w14:paraId="02B50D57" w14:textId="0EC37A31" w:rsidR="000662AC" w:rsidRDefault="000662AC" w:rsidP="000662AC">
      <w:pPr>
        <w:rPr>
          <w:rFonts w:cs="Arial"/>
        </w:rPr>
      </w:pPr>
      <w:r>
        <w:rPr>
          <w:rFonts w:cs="Arial"/>
        </w:rPr>
        <w:t>Beim Modell der Ligandenfeld-Theorie werden das Zentral-Teilchen sowie die Liganden als Punkt-Ladungen angesehen. Demzufolge werden ausschließlich elektrostatische Wechselwirkungen zwischen dem positiv geladenen Zentral-Teilchen und dessen Elektronen in den d-Orbitalen sowie den Liganden betrachtet.</w:t>
      </w:r>
    </w:p>
    <w:p w14:paraId="7C3357CE" w14:textId="2CCC46A3" w:rsidR="000662AC" w:rsidRDefault="000662AC" w:rsidP="000662AC">
      <w:pPr>
        <w:rPr>
          <w:rFonts w:cs="Arial"/>
        </w:rPr>
      </w:pPr>
      <w:r>
        <w:rPr>
          <w:rFonts w:cs="Arial"/>
        </w:rPr>
        <w:t>Im oktaedrischen Ligandenfeld sind die d- Orbitale nicht mehr energetisch gleichwertig. Oktaedrisch angeordnete Liganden nähern sich den d</w:t>
      </w:r>
      <w:r>
        <w:rPr>
          <w:rFonts w:cs="Arial"/>
          <w:vertAlign w:val="subscript"/>
        </w:rPr>
        <w:t>z</w:t>
      </w:r>
      <w:r>
        <w:rPr>
          <w:rFonts w:cs="Arial"/>
          <w:vertAlign w:val="superscript"/>
        </w:rPr>
        <w:t>2</w:t>
      </w:r>
      <w:r>
        <w:rPr>
          <w:rFonts w:cs="Arial"/>
        </w:rPr>
        <w:t xml:space="preserve"> , d</w:t>
      </w:r>
      <w:r>
        <w:rPr>
          <w:rFonts w:cs="Arial"/>
          <w:vertAlign w:val="subscript"/>
        </w:rPr>
        <w:t>x</w:t>
      </w:r>
      <w:r>
        <w:rPr>
          <w:rFonts w:cs="Arial"/>
          <w:vertAlign w:val="superscript"/>
        </w:rPr>
        <w:t>2</w:t>
      </w:r>
      <w:r>
        <w:rPr>
          <w:rFonts w:cs="Arial"/>
        </w:rPr>
        <w:t>-</w:t>
      </w:r>
      <w:r>
        <w:rPr>
          <w:rFonts w:cs="Arial"/>
          <w:vertAlign w:val="subscript"/>
        </w:rPr>
        <w:t>y</w:t>
      </w:r>
      <w:r>
        <w:rPr>
          <w:rFonts w:cs="Arial"/>
          <w:vertAlign w:val="superscript"/>
        </w:rPr>
        <w:t>2</w:t>
      </w:r>
      <w:r>
        <w:rPr>
          <w:rFonts w:cs="Arial"/>
        </w:rPr>
        <w:t xml:space="preserve"> - Orbitalen des Zentral-Ions stärker, deshalb sind diese energiereicher.</w:t>
      </w:r>
    </w:p>
    <w:p w14:paraId="33BEA9BE" w14:textId="08EF9E8F" w:rsidR="000662AC" w:rsidRDefault="000662AC" w:rsidP="000662AC">
      <w:pPr>
        <w:rPr>
          <w:rFonts w:cs="Arial"/>
        </w:rPr>
      </w:pPr>
      <w:r>
        <w:rPr>
          <w:rFonts w:cs="Arial"/>
        </w:rPr>
        <w:t>Es erfolgt also eine Aufspaltung in zwei Gruppen von Orbitalen: e</w:t>
      </w:r>
      <w:r>
        <w:rPr>
          <w:rFonts w:cs="Arial"/>
          <w:vertAlign w:val="subscript"/>
        </w:rPr>
        <w:t>g</w:t>
      </w:r>
      <w:r>
        <w:rPr>
          <w:rFonts w:cs="Arial"/>
        </w:rPr>
        <w:t xml:space="preserve"> - Orbitale: d</w:t>
      </w:r>
      <w:r>
        <w:rPr>
          <w:rFonts w:cs="Arial"/>
          <w:vertAlign w:val="subscript"/>
        </w:rPr>
        <w:t>z</w:t>
      </w:r>
      <w:r>
        <w:rPr>
          <w:rFonts w:cs="Arial"/>
          <w:vertAlign w:val="superscript"/>
        </w:rPr>
        <w:t>2</w:t>
      </w:r>
      <w:r>
        <w:rPr>
          <w:rFonts w:cs="Arial"/>
        </w:rPr>
        <w:t xml:space="preserve"> , d</w:t>
      </w:r>
      <w:r>
        <w:rPr>
          <w:rFonts w:cs="Arial"/>
          <w:vertAlign w:val="subscript"/>
        </w:rPr>
        <w:t>x</w:t>
      </w:r>
      <w:r>
        <w:rPr>
          <w:rFonts w:cs="Arial"/>
          <w:vertAlign w:val="superscript"/>
        </w:rPr>
        <w:t>2</w:t>
      </w:r>
      <w:r>
        <w:rPr>
          <w:rFonts w:cs="Arial"/>
        </w:rPr>
        <w:t>-</w:t>
      </w:r>
      <w:r>
        <w:rPr>
          <w:rFonts w:cs="Arial"/>
          <w:vertAlign w:val="subscript"/>
        </w:rPr>
        <w:t>y</w:t>
      </w:r>
      <w:r>
        <w:rPr>
          <w:rFonts w:cs="Arial"/>
          <w:vertAlign w:val="superscript"/>
        </w:rPr>
        <w:t>2</w:t>
      </w:r>
      <w:r>
        <w:rPr>
          <w:rFonts w:cs="Arial"/>
        </w:rPr>
        <w:t xml:space="preserve"> und die t</w:t>
      </w:r>
      <w:r>
        <w:rPr>
          <w:rFonts w:cs="Arial"/>
          <w:vertAlign w:val="subscript"/>
        </w:rPr>
        <w:t xml:space="preserve">2g </w:t>
      </w:r>
      <w:r>
        <w:rPr>
          <w:rFonts w:cs="Arial"/>
        </w:rPr>
        <w:t>- Orbitale : d</w:t>
      </w:r>
      <w:r>
        <w:rPr>
          <w:rFonts w:cs="Arial"/>
          <w:vertAlign w:val="subscript"/>
        </w:rPr>
        <w:t>xy</w:t>
      </w:r>
      <w:r>
        <w:rPr>
          <w:rFonts w:cs="Arial"/>
        </w:rPr>
        <w:t xml:space="preserve"> , </w:t>
      </w:r>
      <w:proofErr w:type="spellStart"/>
      <w:r>
        <w:rPr>
          <w:rFonts w:cs="Arial"/>
        </w:rPr>
        <w:t>d</w:t>
      </w:r>
      <w:r>
        <w:rPr>
          <w:rFonts w:cs="Arial"/>
          <w:vertAlign w:val="subscript"/>
        </w:rPr>
        <w:t>xz</w:t>
      </w:r>
      <w:proofErr w:type="spellEnd"/>
      <w:r>
        <w:rPr>
          <w:rFonts w:cs="Arial"/>
          <w:vertAlign w:val="subscript"/>
        </w:rPr>
        <w:t xml:space="preserve"> </w:t>
      </w:r>
      <w:r>
        <w:rPr>
          <w:rFonts w:cs="Arial"/>
        </w:rPr>
        <w:t xml:space="preserve">und </w:t>
      </w:r>
      <w:proofErr w:type="spellStart"/>
      <w:r>
        <w:rPr>
          <w:rFonts w:cs="Arial"/>
        </w:rPr>
        <w:t>d</w:t>
      </w:r>
      <w:r>
        <w:rPr>
          <w:rFonts w:cs="Arial"/>
          <w:vertAlign w:val="subscript"/>
        </w:rPr>
        <w:t>yz</w:t>
      </w:r>
      <w:proofErr w:type="spellEnd"/>
      <w:r>
        <w:rPr>
          <w:rFonts w:cs="Arial"/>
        </w:rPr>
        <w:t xml:space="preserve"> [</w:t>
      </w:r>
      <w:r>
        <w:rPr>
          <w:rFonts w:cs="Arial"/>
        </w:rPr>
        <w:fldChar w:fldCharType="begin"/>
      </w:r>
      <w:r>
        <w:rPr>
          <w:rFonts w:cs="Arial"/>
        </w:rPr>
        <w:instrText xml:space="preserve"> REF _Ref55286457 \r \h </w:instrText>
      </w:r>
      <w:r>
        <w:rPr>
          <w:rFonts w:cs="Arial"/>
        </w:rPr>
      </w:r>
      <w:r>
        <w:rPr>
          <w:rFonts w:cs="Arial"/>
        </w:rPr>
        <w:fldChar w:fldCharType="separate"/>
      </w:r>
      <w:r w:rsidR="0052185E">
        <w:rPr>
          <w:rFonts w:cs="Arial"/>
        </w:rPr>
        <w:t>1</w:t>
      </w:r>
      <w:r>
        <w:rPr>
          <w:rFonts w:cs="Arial"/>
        </w:rPr>
        <w:fldChar w:fldCharType="end"/>
      </w:r>
      <w:r>
        <w:rPr>
          <w:rFonts w:cs="Arial"/>
        </w:rPr>
        <w:t>].</w:t>
      </w:r>
    </w:p>
    <w:p w14:paraId="09F6B140" w14:textId="599B2B5B" w:rsidR="000662AC" w:rsidRDefault="000662AC" w:rsidP="000662AC">
      <w:pPr>
        <w:pStyle w:val="Bilder"/>
      </w:pPr>
      <w:r>
        <w:rPr>
          <w:lang w:eastAsia="de-DE"/>
        </w:rPr>
        <w:drawing>
          <wp:inline distT="0" distB="0" distL="0" distR="0" wp14:anchorId="2C53F405" wp14:editId="6B393086">
            <wp:extent cx="4870115" cy="288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0115" cy="2880000"/>
                    </a:xfrm>
                    <a:prstGeom prst="rect">
                      <a:avLst/>
                    </a:prstGeom>
                    <a:noFill/>
                    <a:ln>
                      <a:noFill/>
                    </a:ln>
                  </pic:spPr>
                </pic:pic>
              </a:graphicData>
            </a:graphic>
          </wp:inline>
        </w:drawing>
      </w:r>
    </w:p>
    <w:p w14:paraId="30DB196D" w14:textId="3E9EB875" w:rsidR="000662AC" w:rsidRDefault="000662AC" w:rsidP="000662AC">
      <w:pPr>
        <w:pStyle w:val="Beschriftung"/>
      </w:pPr>
      <w:r>
        <w:t xml:space="preserve">Abb. </w:t>
      </w:r>
      <w:r w:rsidR="0052185E">
        <w:fldChar w:fldCharType="begin"/>
      </w:r>
      <w:r w:rsidR="0052185E">
        <w:instrText xml:space="preserve"> SEQ Abb. \* ARABIC </w:instrText>
      </w:r>
      <w:r w:rsidR="0052185E">
        <w:fldChar w:fldCharType="separate"/>
      </w:r>
      <w:r w:rsidR="0052185E">
        <w:rPr>
          <w:noProof/>
        </w:rPr>
        <w:t>2</w:t>
      </w:r>
      <w:r w:rsidR="0052185E">
        <w:rPr>
          <w:noProof/>
        </w:rPr>
        <w:fldChar w:fldCharType="end"/>
      </w:r>
      <w:r>
        <w:t xml:space="preserve">: Aufspaltung der d-Orbitale im oktaedrischen </w:t>
      </w:r>
      <w:proofErr w:type="spellStart"/>
      <w:r>
        <w:t>Ligandenfeld</w:t>
      </w:r>
      <w:proofErr w:type="spellEnd"/>
      <w:r>
        <w:t xml:space="preserve"> [</w:t>
      </w:r>
      <w:r>
        <w:fldChar w:fldCharType="begin"/>
      </w:r>
      <w:r>
        <w:instrText xml:space="preserve"> REF _Ref55286457 \r \h </w:instrText>
      </w:r>
      <w:r>
        <w:fldChar w:fldCharType="separate"/>
      </w:r>
      <w:r w:rsidR="0052185E">
        <w:t>1</w:t>
      </w:r>
      <w:r>
        <w:fldChar w:fldCharType="end"/>
      </w:r>
      <w:r>
        <w:t>]</w:t>
      </w:r>
    </w:p>
    <w:p w14:paraId="7D4B00D0" w14:textId="2311DC20" w:rsidR="000662AC" w:rsidRDefault="000662AC" w:rsidP="000662AC">
      <w:pPr>
        <w:rPr>
          <w:rFonts w:cs="Arial"/>
        </w:rPr>
      </w:pPr>
      <w:r w:rsidRPr="000662AC">
        <w:rPr>
          <w:rStyle w:val="Fett"/>
        </w:rPr>
        <w:t>Beispiel</w:t>
      </w:r>
      <w:r>
        <w:rPr>
          <w:rFonts w:cs="Arial"/>
        </w:rPr>
        <w:t>: Ti</w:t>
      </w:r>
      <w:r>
        <w:rPr>
          <w:rFonts w:cs="Arial"/>
          <w:vertAlign w:val="superscript"/>
        </w:rPr>
        <w:t>3+</w:t>
      </w:r>
      <w:r>
        <w:rPr>
          <w:rFonts w:cs="Arial"/>
        </w:rPr>
        <w:t xml:space="preserve"> in wässriger Lösung [Ti(H</w:t>
      </w:r>
      <w:r>
        <w:rPr>
          <w:rFonts w:cs="Arial"/>
          <w:vertAlign w:val="subscript"/>
        </w:rPr>
        <w:t>2</w:t>
      </w:r>
      <w:r>
        <w:rPr>
          <w:rFonts w:cs="Arial"/>
        </w:rPr>
        <w:t>O)</w:t>
      </w:r>
      <w:r>
        <w:rPr>
          <w:rFonts w:cs="Arial"/>
          <w:vertAlign w:val="subscript"/>
        </w:rPr>
        <w:t>6</w:t>
      </w:r>
      <w:r>
        <w:rPr>
          <w:rFonts w:cs="Arial"/>
        </w:rPr>
        <w:t>]</w:t>
      </w:r>
      <w:r>
        <w:rPr>
          <w:rFonts w:cs="Arial"/>
          <w:vertAlign w:val="superscript"/>
        </w:rPr>
        <w:t>3+</w:t>
      </w:r>
    </w:p>
    <w:p w14:paraId="7F367CC8" w14:textId="4AFF6F54" w:rsidR="000662AC" w:rsidRDefault="000662AC" w:rsidP="000662AC">
      <w:pPr>
        <w:rPr>
          <w:rFonts w:cs="Arial"/>
        </w:rPr>
      </w:pPr>
      <w:r>
        <w:rPr>
          <w:rFonts w:cs="Arial"/>
        </w:rPr>
        <w:lastRenderedPageBreak/>
        <w:t>Die Größe der Ligandenfeld-Aufspaltung Δ beträgt 243 kJ/mol. Ti</w:t>
      </w:r>
      <w:r>
        <w:rPr>
          <w:rFonts w:cs="Arial"/>
          <w:vertAlign w:val="superscript"/>
        </w:rPr>
        <w:t xml:space="preserve">3+ </w:t>
      </w:r>
      <w:r>
        <w:rPr>
          <w:rFonts w:cs="Arial"/>
        </w:rPr>
        <w:t>besitzt ein d-Elektron, das sich im Grund-Zustand auf dem t</w:t>
      </w:r>
      <w:r>
        <w:rPr>
          <w:rFonts w:cs="Arial"/>
          <w:vertAlign w:val="subscript"/>
        </w:rPr>
        <w:t xml:space="preserve">2g </w:t>
      </w:r>
      <w:r>
        <w:rPr>
          <w:rFonts w:cs="Arial"/>
        </w:rPr>
        <w:t>Niveau befindet. Durch Licht-Absorption kann dieses Elektron angeregt werden, es geht dabei in den e</w:t>
      </w:r>
      <w:r>
        <w:rPr>
          <w:rFonts w:cs="Arial"/>
          <w:vertAlign w:val="subscript"/>
        </w:rPr>
        <w:t>g</w:t>
      </w:r>
      <w:r>
        <w:rPr>
          <w:rFonts w:cs="Arial"/>
        </w:rPr>
        <w:t xml:space="preserve"> -Zustand über. Die dazu erforderliche Energie beträgt 243 kJ/mol (entspricht einer Wellenlänge λ= 500 nm). Die Absorptionsbande liegt also im sichtbaren Bereich (blaugrün) und verursacht die rötlich- violette Färbung (Komplementär-Farbe zu blaugrün). Die Farben vieler anderer Übergangsmetall-Komplexe entstehen ebenfalls durch Anregung von d-Elektronen.</w:t>
      </w:r>
    </w:p>
    <w:p w14:paraId="445EC1B5" w14:textId="23ACC086" w:rsidR="000662AC" w:rsidRDefault="000662AC" w:rsidP="000662AC">
      <w:pPr>
        <w:pStyle w:val="berschrift2"/>
      </w:pPr>
      <w:bookmarkStart w:id="4" w:name="_Toc55287670"/>
      <w:r>
        <w:t>Einflüsse auf die Farbe von Komplex-Verbindungen</w:t>
      </w:r>
      <w:bookmarkEnd w:id="4"/>
    </w:p>
    <w:p w14:paraId="35629BF0" w14:textId="179F6F0C" w:rsidR="000662AC" w:rsidRDefault="000662AC" w:rsidP="000662AC">
      <w:pPr>
        <w:pStyle w:val="berschrift3"/>
      </w:pPr>
      <w:bookmarkStart w:id="5" w:name="_Toc55287671"/>
      <w:r>
        <w:t>Einfluss der Liganden</w:t>
      </w:r>
      <w:bookmarkEnd w:id="5"/>
    </w:p>
    <w:p w14:paraId="5A73E857" w14:textId="283C30F6" w:rsidR="000662AC" w:rsidRDefault="000662AC" w:rsidP="000662AC">
      <w:pPr>
        <w:rPr>
          <w:rFonts w:cs="Arial"/>
        </w:rPr>
      </w:pPr>
      <w:r>
        <w:rPr>
          <w:rFonts w:cs="Arial"/>
        </w:rPr>
        <w:t>Ordnet man die Liganden nach ihrer Fähigkeit d-Orbitale aufzuspalten, erhält man die spektrochemische Reihe.</w:t>
      </w:r>
    </w:p>
    <w:p w14:paraId="282F23C3" w14:textId="0C9FB1DE" w:rsidR="000662AC" w:rsidRPr="0052185E" w:rsidRDefault="0052185E" w:rsidP="000662AC">
      <w:pPr>
        <w:pStyle w:val="Formeln"/>
        <w:rPr>
          <w:rFonts w:eastAsiaTheme="minorEastAsia"/>
          <w:lang w:val="en-US"/>
        </w:rPr>
      </w:pPr>
      <m:oMathPara>
        <m:oMath>
          <m:sSup>
            <m:sSupPr>
              <m:ctrlPr>
                <w:rPr>
                  <w:rFonts w:ascii="Cambria Math" w:hAnsi="Cambria Math"/>
                </w:rPr>
              </m:ctrlPr>
            </m:sSupPr>
            <m:e>
              <m:r>
                <m:rPr>
                  <m:nor/>
                </m:rPr>
                <w:rPr>
                  <w:lang w:val="en-US"/>
                </w:rPr>
                <m:t>I</m:t>
              </m:r>
            </m:e>
            <m:sup>
              <m:r>
                <m:rPr>
                  <m:nor/>
                </m:rPr>
                <w:rPr>
                  <w:lang w:val="en-US"/>
                </w:rPr>
                <m:t>-</m:t>
              </m:r>
            </m:sup>
          </m:sSup>
          <m:r>
            <m:rPr>
              <m:nor/>
            </m:rPr>
            <w:rPr>
              <w:lang w:val="en-US"/>
            </w:rPr>
            <m:t xml:space="preserve"> &lt;</m:t>
          </m:r>
          <m:r>
            <m:rPr>
              <m:sty m:val="p"/>
            </m:rPr>
            <w:rPr>
              <w:rFonts w:ascii="Cambria Math" w:hAnsi="Cambria Math"/>
              <w:lang w:val="en-US"/>
            </w:rPr>
            <m:t xml:space="preserve"> </m:t>
          </m:r>
          <m:sSup>
            <m:sSupPr>
              <m:ctrlPr>
                <w:rPr>
                  <w:rFonts w:ascii="Cambria Math" w:hAnsi="Cambria Math"/>
                </w:rPr>
              </m:ctrlPr>
            </m:sSupPr>
            <m:e>
              <m:r>
                <m:rPr>
                  <m:nor/>
                </m:rPr>
                <w:rPr>
                  <w:lang w:val="en-US"/>
                </w:rPr>
                <m:t>Cl</m:t>
              </m:r>
            </m:e>
            <m:sup>
              <m:r>
                <m:rPr>
                  <m:nor/>
                </m:rPr>
                <w:rPr>
                  <w:lang w:val="en-US"/>
                </w:rPr>
                <m:t>-</m:t>
              </m:r>
            </m:sup>
          </m:sSup>
          <m:r>
            <m:rPr>
              <m:nor/>
            </m:rPr>
            <w:rPr>
              <w:lang w:val="en-US"/>
            </w:rPr>
            <m:t xml:space="preserve"> &lt;</m:t>
          </m:r>
          <m:r>
            <m:rPr>
              <m:sty m:val="p"/>
            </m:rPr>
            <w:rPr>
              <w:rFonts w:ascii="Cambria Math" w:hAnsi="Cambria Math"/>
              <w:lang w:val="en-US"/>
            </w:rPr>
            <m:t xml:space="preserve"> </m:t>
          </m:r>
          <m:sSup>
            <m:sSupPr>
              <m:ctrlPr>
                <w:rPr>
                  <w:rFonts w:ascii="Cambria Math" w:hAnsi="Cambria Math"/>
                </w:rPr>
              </m:ctrlPr>
            </m:sSupPr>
            <m:e>
              <m:r>
                <m:rPr>
                  <m:nor/>
                </m:rPr>
                <w:rPr>
                  <w:lang w:val="en-US"/>
                </w:rPr>
                <m:t>F</m:t>
              </m:r>
            </m:e>
            <m:sup>
              <m:r>
                <m:rPr>
                  <m:nor/>
                </m:rPr>
                <w:rPr>
                  <w:lang w:val="en-US"/>
                </w:rPr>
                <m:t>-</m:t>
              </m:r>
            </m:sup>
          </m:sSup>
          <m:r>
            <m:rPr>
              <m:nor/>
            </m:rPr>
            <w:rPr>
              <w:lang w:val="en-US"/>
            </w:rPr>
            <m:t xml:space="preserve"> &lt;</m:t>
          </m:r>
          <m:r>
            <m:rPr>
              <m:sty m:val="p"/>
            </m:rPr>
            <w:rPr>
              <w:rFonts w:ascii="Cambria Math" w:hAnsi="Cambria Math"/>
              <w:lang w:val="en-US"/>
            </w:rPr>
            <m:t xml:space="preserve"> </m:t>
          </m:r>
          <m:sSup>
            <m:sSupPr>
              <m:ctrlPr>
                <w:rPr>
                  <w:rFonts w:ascii="Cambria Math" w:hAnsi="Cambria Math"/>
                </w:rPr>
              </m:ctrlPr>
            </m:sSupPr>
            <m:e>
              <m:r>
                <m:rPr>
                  <m:nor/>
                </m:rPr>
                <w:rPr>
                  <w:lang w:val="en-US"/>
                </w:rPr>
                <m:t>OH</m:t>
              </m:r>
            </m:e>
            <m:sup>
              <m:r>
                <m:rPr>
                  <m:nor/>
                </m:rPr>
                <w:rPr>
                  <w:lang w:val="en-US"/>
                </w:rPr>
                <m:t>-</m:t>
              </m:r>
            </m:sup>
          </m:sSup>
          <m:r>
            <m:rPr>
              <m:nor/>
            </m:rPr>
            <w:rPr>
              <w:lang w:val="en-US"/>
            </w:rPr>
            <m:t xml:space="preserve"> &lt;</m:t>
          </m:r>
          <m:r>
            <m:rPr>
              <m:sty m:val="p"/>
            </m:rPr>
            <w:rPr>
              <w:rFonts w:ascii="Cambria Math" w:hAnsi="Cambria Math"/>
              <w:lang w:val="en-US"/>
            </w:rPr>
            <m:t xml:space="preserve"> </m:t>
          </m:r>
          <m:sSub>
            <m:sSubPr>
              <m:ctrlPr>
                <w:rPr>
                  <w:rFonts w:ascii="Cambria Math" w:hAnsi="Cambria Math"/>
                </w:rPr>
              </m:ctrlPr>
            </m:sSubPr>
            <m:e>
              <m:r>
                <m:rPr>
                  <m:nor/>
                </m:rPr>
                <w:rPr>
                  <w:lang w:val="en-US"/>
                </w:rPr>
                <m:t>H</m:t>
              </m:r>
            </m:e>
            <m:sub>
              <m:r>
                <m:rPr>
                  <m:nor/>
                </m:rPr>
                <w:rPr>
                  <w:lang w:val="en-US"/>
                </w:rPr>
                <m:t>2</m:t>
              </m:r>
            </m:sub>
          </m:sSub>
          <m:r>
            <m:rPr>
              <m:nor/>
            </m:rPr>
            <w:rPr>
              <w:lang w:val="en-US"/>
            </w:rPr>
            <m:t>O &lt;</m:t>
          </m:r>
          <m:r>
            <m:rPr>
              <m:sty m:val="p"/>
            </m:rPr>
            <w:rPr>
              <w:rFonts w:ascii="Cambria Math" w:hAnsi="Cambria Math"/>
              <w:lang w:val="en-US"/>
            </w:rPr>
            <m:t xml:space="preserve"> </m:t>
          </m:r>
          <m:sSub>
            <m:sSubPr>
              <m:ctrlPr>
                <w:rPr>
                  <w:rFonts w:ascii="Cambria Math" w:hAnsi="Cambria Math"/>
                </w:rPr>
              </m:ctrlPr>
            </m:sSubPr>
            <m:e>
              <m:r>
                <m:rPr>
                  <m:nor/>
                </m:rPr>
                <w:rPr>
                  <w:lang w:val="en-US"/>
                </w:rPr>
                <m:t>NH</m:t>
              </m:r>
            </m:e>
            <m:sub>
              <m:r>
                <m:rPr>
                  <m:nor/>
                </m:rPr>
                <w:rPr>
                  <w:lang w:val="en-US"/>
                </w:rPr>
                <m:t>3</m:t>
              </m:r>
            </m:sub>
          </m:sSub>
          <m:r>
            <m:rPr>
              <m:nor/>
            </m:rPr>
            <w:rPr>
              <w:lang w:val="en-US"/>
            </w:rPr>
            <m:t xml:space="preserve"> &lt;</m:t>
          </m:r>
          <m:r>
            <m:rPr>
              <m:sty m:val="p"/>
            </m:rPr>
            <w:rPr>
              <w:rFonts w:ascii="Cambria Math" w:hAnsi="Cambria Math"/>
              <w:lang w:val="en-US"/>
            </w:rPr>
            <m:t xml:space="preserve"> </m:t>
          </m:r>
          <m:sSup>
            <m:sSupPr>
              <m:ctrlPr>
                <w:rPr>
                  <w:rFonts w:ascii="Cambria Math" w:hAnsi="Cambria Math"/>
                </w:rPr>
              </m:ctrlPr>
            </m:sSupPr>
            <m:e>
              <m:r>
                <m:rPr>
                  <m:nor/>
                </m:rPr>
                <w:rPr>
                  <w:lang w:val="en-US"/>
                </w:rPr>
                <m:t>CN</m:t>
              </m:r>
            </m:e>
            <m:sup>
              <m:r>
                <m:rPr>
                  <m:nor/>
                </m:rPr>
                <w:rPr>
                  <w:lang w:val="en-US"/>
                </w:rPr>
                <m:t>-</m:t>
              </m:r>
            </m:sup>
          </m:sSup>
          <m:r>
            <m:rPr>
              <m:nor/>
            </m:rPr>
            <w:rPr>
              <w:lang w:val="en-US"/>
            </w:rPr>
            <m:t xml:space="preserve"> &lt; CO</m:t>
          </m:r>
        </m:oMath>
      </m:oMathPara>
    </w:p>
    <w:p w14:paraId="657736A9" w14:textId="5454FC0B" w:rsidR="000662AC" w:rsidRDefault="000662AC" w:rsidP="000662AC">
      <w:pPr>
        <w:rPr>
          <w:rFonts w:cs="Arial"/>
        </w:rPr>
      </w:pPr>
      <w:r>
        <w:rPr>
          <w:rFonts w:cs="Arial"/>
        </w:rPr>
        <w:t xml:space="preserve">Δ erhöht sich demnach, wenn (bei gegebenem Komplex-Zentrum) ein Ligand der </w:t>
      </w:r>
      <w:r w:rsidR="00D53474">
        <w:rPr>
          <w:rFonts w:cs="Arial"/>
        </w:rPr>
        <w:t>s</w:t>
      </w:r>
      <w:r>
        <w:rPr>
          <w:rFonts w:cs="Arial"/>
        </w:rPr>
        <w:t>pektrochemischen Reihe durch einen rechts davon stehenden Liganden mit stärkerem Ligandenfeld ersetzt wird.</w:t>
      </w:r>
    </w:p>
    <w:p w14:paraId="5B561ABF" w14:textId="46B119B6" w:rsidR="00D53474" w:rsidRDefault="00D53474" w:rsidP="000662AC">
      <w:pPr>
        <w:rPr>
          <w:rFonts w:cs="Arial"/>
        </w:rPr>
      </w:pPr>
      <w:r w:rsidRPr="00D53474">
        <w:rPr>
          <w:rStyle w:val="Fett"/>
        </w:rPr>
        <w:t>Versuch</w:t>
      </w:r>
      <w:r>
        <w:rPr>
          <w:rFonts w:cs="Arial"/>
        </w:rPr>
        <w:t>: Hexaquanickel(II) reagiert mit Ammoniak zu Hexamminnickel(II). Durch den Liganden-Austausch ändert sich die Farbe des Komplexes von grün zu blau.</w:t>
      </w:r>
    </w:p>
    <w:p w14:paraId="1334303D" w14:textId="31A62F59" w:rsidR="00D53474" w:rsidRPr="00D53474" w:rsidRDefault="0052185E" w:rsidP="00D53474">
      <w:pPr>
        <w:pStyle w:val="Formeln"/>
        <w:rPr>
          <w:rFonts w:eastAsiaTheme="minorEastAsia"/>
          <w:b/>
          <w:bCs/>
          <w:color w:val="0000FF" w:themeColor="accent1"/>
        </w:rPr>
      </w:pPr>
      <m:oMathPara>
        <m:oMath>
          <m:sSup>
            <m:sSupPr>
              <m:ctrlPr>
                <w:rPr>
                  <w:rFonts w:ascii="Cambria Math" w:hAnsi="Cambria Math"/>
                  <w:b/>
                  <w:bCs/>
                  <w:color w:val="00BF00" w:themeColor="accent3" w:themeShade="BF"/>
                </w:rPr>
              </m:ctrlPr>
            </m:sSupPr>
            <m:e>
              <m:d>
                <m:dPr>
                  <m:begChr m:val="["/>
                  <m:endChr m:val="]"/>
                  <m:ctrlPr>
                    <w:rPr>
                      <w:rFonts w:ascii="Cambria Math" w:hAnsi="Cambria Math"/>
                      <w:b/>
                      <w:bCs/>
                      <w:color w:val="00BF00" w:themeColor="accent3" w:themeShade="BF"/>
                    </w:rPr>
                  </m:ctrlPr>
                </m:dPr>
                <m:e>
                  <m:r>
                    <m:rPr>
                      <m:nor/>
                    </m:rPr>
                    <w:rPr>
                      <w:b/>
                      <w:bCs/>
                      <w:color w:val="00BF00" w:themeColor="accent3" w:themeShade="BF"/>
                    </w:rPr>
                    <m:t>Ni</m:t>
                  </m:r>
                  <m:sSub>
                    <m:sSubPr>
                      <m:ctrlPr>
                        <w:rPr>
                          <w:rFonts w:ascii="Cambria Math" w:hAnsi="Cambria Math"/>
                          <w:b/>
                          <w:bCs/>
                          <w:color w:val="00BF00" w:themeColor="accent3" w:themeShade="BF"/>
                        </w:rPr>
                      </m:ctrlPr>
                    </m:sSubPr>
                    <m:e>
                      <m:d>
                        <m:dPr>
                          <m:ctrlPr>
                            <w:rPr>
                              <w:rFonts w:ascii="Cambria Math" w:hAnsi="Cambria Math"/>
                              <w:b/>
                              <w:bCs/>
                              <w:color w:val="00BF00" w:themeColor="accent3" w:themeShade="BF"/>
                            </w:rPr>
                          </m:ctrlPr>
                        </m:dPr>
                        <m:e>
                          <m:sSub>
                            <m:sSubPr>
                              <m:ctrlPr>
                                <w:rPr>
                                  <w:rFonts w:ascii="Cambria Math" w:hAnsi="Cambria Math"/>
                                  <w:b/>
                                  <w:bCs/>
                                  <w:color w:val="00BF00" w:themeColor="accent3" w:themeShade="BF"/>
                                </w:rPr>
                              </m:ctrlPr>
                            </m:sSubPr>
                            <m:e>
                              <m:r>
                                <m:rPr>
                                  <m:nor/>
                                </m:rPr>
                                <w:rPr>
                                  <w:b/>
                                  <w:bCs/>
                                  <w:color w:val="00BF00" w:themeColor="accent3" w:themeShade="BF"/>
                                </w:rPr>
                                <m:t>H</m:t>
                              </m:r>
                            </m:e>
                            <m:sub>
                              <m:r>
                                <m:rPr>
                                  <m:nor/>
                                </m:rPr>
                                <w:rPr>
                                  <w:b/>
                                  <w:bCs/>
                                  <w:color w:val="00BF00" w:themeColor="accent3" w:themeShade="BF"/>
                                </w:rPr>
                                <m:t>2</m:t>
                              </m:r>
                            </m:sub>
                          </m:sSub>
                          <m:r>
                            <m:rPr>
                              <m:nor/>
                            </m:rPr>
                            <w:rPr>
                              <w:b/>
                              <w:bCs/>
                              <w:color w:val="00BF00" w:themeColor="accent3" w:themeShade="BF"/>
                            </w:rPr>
                            <m:t>O</m:t>
                          </m:r>
                        </m:e>
                      </m:d>
                    </m:e>
                    <m:sub>
                      <m:r>
                        <m:rPr>
                          <m:nor/>
                        </m:rPr>
                        <w:rPr>
                          <w:b/>
                          <w:bCs/>
                          <w:color w:val="00BF00" w:themeColor="accent3" w:themeShade="BF"/>
                        </w:rPr>
                        <m:t>6</m:t>
                      </m:r>
                    </m:sub>
                  </m:sSub>
                </m:e>
              </m:d>
            </m:e>
            <m:sup>
              <m:r>
                <m:rPr>
                  <m:nor/>
                </m:rPr>
                <w:rPr>
                  <w:b/>
                  <w:bCs/>
                  <w:color w:val="00BF00" w:themeColor="accent3" w:themeShade="BF"/>
                </w:rPr>
                <m:t>2+</m:t>
              </m:r>
            </m:sup>
          </m:sSup>
          <m:r>
            <m:rPr>
              <m:nor/>
            </m:rPr>
            <m:t xml:space="preserve"> </m:t>
          </m:r>
          <m:box>
            <m:boxPr>
              <m:opEmu m:val="1"/>
              <m:ctrlPr>
                <w:rPr>
                  <w:rFonts w:ascii="Cambria Math" w:hAnsi="Cambria Math"/>
                </w:rPr>
              </m:ctrlPr>
            </m:boxPr>
            <m:e>
              <m:groupChr>
                <m:groupChrPr>
                  <m:chr m:val="→"/>
                  <m:vertJc m:val="bot"/>
                  <m:ctrlPr>
                    <w:rPr>
                      <w:rFonts w:ascii="Cambria Math" w:hAnsi="Cambria Math"/>
                    </w:rPr>
                  </m:ctrlPr>
                </m:groupChrPr>
                <m:e>
                  <m:sSub>
                    <m:sSubPr>
                      <m:ctrlPr>
                        <w:rPr>
                          <w:rFonts w:ascii="Cambria Math" w:hAnsi="Cambria Math"/>
                        </w:rPr>
                      </m:ctrlPr>
                    </m:sSubPr>
                    <m:e>
                      <m:r>
                        <m:rPr>
                          <m:nor/>
                        </m:rPr>
                        <m:t>NH</m:t>
                      </m:r>
                    </m:e>
                    <m:sub>
                      <m:r>
                        <m:rPr>
                          <m:nor/>
                        </m:rPr>
                        <m:t>3</m:t>
                      </m:r>
                    </m:sub>
                  </m:sSub>
                </m:e>
              </m:groupChr>
            </m:e>
          </m:box>
          <m:r>
            <m:rPr>
              <m:nor/>
            </m:rPr>
            <m:t xml:space="preserve"> </m:t>
          </m:r>
          <m:sSup>
            <m:sSupPr>
              <m:ctrlPr>
                <w:rPr>
                  <w:rFonts w:ascii="Cambria Math" w:hAnsi="Cambria Math"/>
                  <w:b/>
                  <w:bCs/>
                  <w:color w:val="0000FF" w:themeColor="accent1"/>
                </w:rPr>
              </m:ctrlPr>
            </m:sSupPr>
            <m:e>
              <m:d>
                <m:dPr>
                  <m:begChr m:val="["/>
                  <m:endChr m:val="]"/>
                  <m:ctrlPr>
                    <w:rPr>
                      <w:rFonts w:ascii="Cambria Math" w:hAnsi="Cambria Math"/>
                      <w:b/>
                      <w:bCs/>
                      <w:color w:val="0000FF" w:themeColor="accent1"/>
                    </w:rPr>
                  </m:ctrlPr>
                </m:dPr>
                <m:e>
                  <m:r>
                    <m:rPr>
                      <m:nor/>
                    </m:rPr>
                    <w:rPr>
                      <w:b/>
                      <w:bCs/>
                      <w:color w:val="0000FF" w:themeColor="accent1"/>
                    </w:rPr>
                    <m:t>Ni</m:t>
                  </m:r>
                  <m:sSub>
                    <m:sSubPr>
                      <m:ctrlPr>
                        <w:rPr>
                          <w:rFonts w:ascii="Cambria Math" w:hAnsi="Cambria Math"/>
                          <w:b/>
                          <w:bCs/>
                          <w:color w:val="0000FF" w:themeColor="accent1"/>
                        </w:rPr>
                      </m:ctrlPr>
                    </m:sSubPr>
                    <m:e>
                      <m:d>
                        <m:dPr>
                          <m:ctrlPr>
                            <w:rPr>
                              <w:rFonts w:ascii="Cambria Math" w:hAnsi="Cambria Math"/>
                              <w:b/>
                              <w:bCs/>
                              <w:color w:val="0000FF" w:themeColor="accent1"/>
                            </w:rPr>
                          </m:ctrlPr>
                        </m:dPr>
                        <m:e>
                          <m:sSub>
                            <m:sSubPr>
                              <m:ctrlPr>
                                <w:rPr>
                                  <w:rFonts w:ascii="Cambria Math" w:hAnsi="Cambria Math"/>
                                  <w:b/>
                                  <w:bCs/>
                                  <w:color w:val="0000FF" w:themeColor="accent1"/>
                                </w:rPr>
                              </m:ctrlPr>
                            </m:sSubPr>
                            <m:e>
                              <m:r>
                                <m:rPr>
                                  <m:nor/>
                                </m:rPr>
                                <w:rPr>
                                  <w:b/>
                                  <w:bCs/>
                                  <w:color w:val="0000FF" w:themeColor="accent1"/>
                                </w:rPr>
                                <m:t>NH</m:t>
                              </m:r>
                            </m:e>
                            <m:sub>
                              <m:r>
                                <m:rPr>
                                  <m:nor/>
                                </m:rPr>
                                <w:rPr>
                                  <w:b/>
                                  <w:bCs/>
                                  <w:color w:val="0000FF" w:themeColor="accent1"/>
                                </w:rPr>
                                <m:t>3</m:t>
                              </m:r>
                            </m:sub>
                          </m:sSub>
                        </m:e>
                      </m:d>
                    </m:e>
                    <m:sub>
                      <m:r>
                        <m:rPr>
                          <m:nor/>
                        </m:rPr>
                        <w:rPr>
                          <w:b/>
                          <w:bCs/>
                          <w:color w:val="0000FF" w:themeColor="accent1"/>
                        </w:rPr>
                        <m:t>6</m:t>
                      </m:r>
                    </m:sub>
                  </m:sSub>
                </m:e>
              </m:d>
            </m:e>
            <m:sup>
              <m:r>
                <m:rPr>
                  <m:nor/>
                </m:rPr>
                <w:rPr>
                  <w:b/>
                  <w:bCs/>
                  <w:color w:val="0000FF" w:themeColor="accent1"/>
                </w:rPr>
                <m:t>2+</m:t>
              </m:r>
            </m:sup>
          </m:sSup>
        </m:oMath>
      </m:oMathPara>
    </w:p>
    <w:p w14:paraId="4F7337B5" w14:textId="48B0DA4A" w:rsidR="00D53474" w:rsidRDefault="00D53474" w:rsidP="00D53474">
      <w:pPr>
        <w:pStyle w:val="berschrift3"/>
      </w:pPr>
      <w:bookmarkStart w:id="6" w:name="_Toc55287672"/>
      <w:r>
        <w:t>Einfluss des Zentral-Atoms</w:t>
      </w:r>
      <w:bookmarkEnd w:id="6"/>
    </w:p>
    <w:p w14:paraId="43B337A0" w14:textId="4232EDD3" w:rsidR="00D53474" w:rsidRDefault="00D53474" w:rsidP="00D53474">
      <w:pPr>
        <w:rPr>
          <w:rFonts w:cs="Arial"/>
        </w:rPr>
      </w:pPr>
      <w:r>
        <w:rPr>
          <w:rFonts w:cs="Arial"/>
        </w:rPr>
        <w:t>Bei gleichen Liganden wächst Δ mit der Haupt-Quantenzahl der d-Orbitale der Metall-Ionen: 5d &gt; 4d &gt; 3d und mit steigender Oxidationsstufe des Zentral-Ions.</w:t>
      </w:r>
    </w:p>
    <w:p w14:paraId="36DA91CB" w14:textId="09350068" w:rsidR="00D53474" w:rsidRDefault="00D53474" w:rsidP="00D53474">
      <w:pPr>
        <w:rPr>
          <w:rFonts w:cs="Arial"/>
        </w:rPr>
      </w:pPr>
      <w:r>
        <w:rPr>
          <w:rFonts w:cs="Arial"/>
        </w:rPr>
        <w:t>Für Metall-Ionen erhält man die Reihe:</w:t>
      </w:r>
    </w:p>
    <w:p w14:paraId="515D52D9" w14:textId="001C7A53" w:rsidR="00D53474" w:rsidRPr="00D53474" w:rsidRDefault="0052185E" w:rsidP="00D53474">
      <w:pPr>
        <w:pStyle w:val="Formeln"/>
        <w:rPr>
          <w:rFonts w:eastAsiaTheme="minorEastAsia"/>
        </w:rPr>
      </w:pPr>
      <m:oMathPara>
        <m:oMath>
          <m:sSup>
            <m:sSupPr>
              <m:ctrlPr>
                <w:rPr>
                  <w:rFonts w:ascii="Cambria Math" w:hAnsi="Cambria Math"/>
                </w:rPr>
              </m:ctrlPr>
            </m:sSupPr>
            <m:e>
              <m:r>
                <m:rPr>
                  <m:nor/>
                </m:rPr>
                <m:t>Mn</m:t>
              </m:r>
            </m:e>
            <m:sup>
              <m:r>
                <m:rPr>
                  <m:nor/>
                </m:rPr>
                <m:t>2+</m:t>
              </m:r>
            </m:sup>
          </m:sSup>
          <m:r>
            <m:rPr>
              <m:nor/>
            </m:rPr>
            <m:t xml:space="preserve"> &lt;</m:t>
          </m:r>
          <m:r>
            <m:rPr>
              <m:sty m:val="p"/>
            </m:rPr>
            <w:rPr>
              <w:rFonts w:ascii="Cambria Math" w:hAnsi="Cambria Math"/>
            </w:rPr>
            <m:t xml:space="preserve"> </m:t>
          </m:r>
          <m:sSup>
            <m:sSupPr>
              <m:ctrlPr>
                <w:rPr>
                  <w:rFonts w:ascii="Cambria Math" w:hAnsi="Cambria Math"/>
                </w:rPr>
              </m:ctrlPr>
            </m:sSupPr>
            <m:e>
              <m:r>
                <m:rPr>
                  <m:nor/>
                </m:rPr>
                <m:t>Fe</m:t>
              </m:r>
            </m:e>
            <m:sup>
              <m:r>
                <m:rPr>
                  <m:nor/>
                </m:rPr>
                <m:t>2+</m:t>
              </m:r>
            </m:sup>
          </m:sSup>
          <m:r>
            <m:rPr>
              <m:nor/>
            </m:rPr>
            <m:t xml:space="preserve"> &lt;</m:t>
          </m:r>
          <m:r>
            <m:rPr>
              <m:sty m:val="p"/>
            </m:rPr>
            <w:rPr>
              <w:rFonts w:ascii="Cambria Math" w:hAnsi="Cambria Math"/>
            </w:rPr>
            <m:t xml:space="preserve"> </m:t>
          </m:r>
          <m:sSup>
            <m:sSupPr>
              <m:ctrlPr>
                <w:rPr>
                  <w:rFonts w:ascii="Cambria Math" w:hAnsi="Cambria Math"/>
                </w:rPr>
              </m:ctrlPr>
            </m:sSupPr>
            <m:e>
              <m:r>
                <m:rPr>
                  <m:nor/>
                </m:rPr>
                <m:t>Fe</m:t>
              </m:r>
            </m:e>
            <m:sup>
              <m:r>
                <m:rPr>
                  <m:nor/>
                </m:rPr>
                <m:t>3+</m:t>
              </m:r>
            </m:sup>
          </m:sSup>
          <m:r>
            <m:rPr>
              <m:nor/>
            </m:rPr>
            <m:t xml:space="preserve"> &lt;</m:t>
          </m:r>
          <m:r>
            <m:rPr>
              <m:sty m:val="p"/>
            </m:rPr>
            <w:rPr>
              <w:rFonts w:ascii="Cambria Math" w:hAnsi="Cambria Math"/>
            </w:rPr>
            <m:t xml:space="preserve"> </m:t>
          </m:r>
          <m:sSup>
            <m:sSupPr>
              <m:ctrlPr>
                <w:rPr>
                  <w:rFonts w:ascii="Cambria Math" w:hAnsi="Cambria Math"/>
                </w:rPr>
              </m:ctrlPr>
            </m:sSupPr>
            <m:e>
              <m:r>
                <m:rPr>
                  <m:nor/>
                </m:rPr>
                <m:t>Mn</m:t>
              </m:r>
            </m:e>
            <m:sup>
              <m:r>
                <m:rPr>
                  <m:nor/>
                </m:rPr>
                <m:t>4+</m:t>
              </m:r>
            </m:sup>
          </m:sSup>
          <m:r>
            <m:rPr>
              <m:nor/>
            </m:rPr>
            <m:t xml:space="preserve"> &lt;</m:t>
          </m:r>
          <m:r>
            <m:rPr>
              <m:sty m:val="p"/>
            </m:rPr>
            <w:rPr>
              <w:rFonts w:ascii="Cambria Math" w:hAnsi="Cambria Math"/>
            </w:rPr>
            <m:t xml:space="preserve"> </m:t>
          </m:r>
          <m:sSup>
            <m:sSupPr>
              <m:ctrlPr>
                <w:rPr>
                  <w:rFonts w:ascii="Cambria Math" w:hAnsi="Cambria Math"/>
                </w:rPr>
              </m:ctrlPr>
            </m:sSupPr>
            <m:e>
              <m:r>
                <m:rPr>
                  <m:nor/>
                </m:rPr>
                <m:t>Mo</m:t>
              </m:r>
            </m:e>
            <m:sup>
              <m:r>
                <m:rPr>
                  <m:nor/>
                </m:rPr>
                <m:t>3+</m:t>
              </m:r>
            </m:sup>
          </m:sSup>
          <m:r>
            <m:rPr>
              <m:nor/>
            </m:rPr>
            <m:t xml:space="preserve"> &lt;</m:t>
          </m:r>
          <m:r>
            <m:rPr>
              <m:sty m:val="p"/>
            </m:rPr>
            <w:rPr>
              <w:rFonts w:ascii="Cambria Math" w:hAnsi="Cambria Math"/>
            </w:rPr>
            <m:t xml:space="preserve"> </m:t>
          </m:r>
          <m:sSup>
            <m:sSupPr>
              <m:ctrlPr>
                <w:rPr>
                  <w:rFonts w:ascii="Cambria Math" w:hAnsi="Cambria Math"/>
                </w:rPr>
              </m:ctrlPr>
            </m:sSupPr>
            <m:e>
              <m:r>
                <m:rPr>
                  <m:nor/>
                </m:rPr>
                <m:t>Rh</m:t>
              </m:r>
            </m:e>
            <m:sup>
              <m:r>
                <m:rPr>
                  <m:nor/>
                </m:rPr>
                <m:t>3+</m:t>
              </m:r>
            </m:sup>
          </m:sSup>
          <m:r>
            <m:rPr>
              <m:nor/>
            </m:rPr>
            <m:t xml:space="preserve"> &lt;</m:t>
          </m:r>
          <m:r>
            <m:rPr>
              <m:sty m:val="p"/>
            </m:rPr>
            <w:rPr>
              <w:rFonts w:ascii="Cambria Math" w:hAnsi="Cambria Math"/>
            </w:rPr>
            <m:t xml:space="preserve"> </m:t>
          </m:r>
          <m:sSup>
            <m:sSupPr>
              <m:ctrlPr>
                <w:rPr>
                  <w:rFonts w:ascii="Cambria Math" w:hAnsi="Cambria Math"/>
                </w:rPr>
              </m:ctrlPr>
            </m:sSupPr>
            <m:e>
              <m:r>
                <m:rPr>
                  <m:nor/>
                </m:rPr>
                <m:t>Pd</m:t>
              </m:r>
            </m:e>
            <m:sup>
              <m:r>
                <m:rPr>
                  <m:nor/>
                </m:rPr>
                <m:t>4+</m:t>
              </m:r>
            </m:sup>
          </m:sSup>
        </m:oMath>
      </m:oMathPara>
    </w:p>
    <w:p w14:paraId="5F8D84E9" w14:textId="04D01ECC" w:rsidR="00D53474" w:rsidRDefault="00D53474" w:rsidP="00D53474">
      <w:r w:rsidRPr="00D53474">
        <w:rPr>
          <w:rStyle w:val="Fett"/>
        </w:rPr>
        <w:t>Versuch</w:t>
      </w:r>
      <w:r>
        <w:t xml:space="preserve">: mineralisches Chamäleon - stufenweise Reduktion des </w:t>
      </w:r>
      <w:r w:rsidR="00E87A7E">
        <w:t>Permanganat</w:t>
      </w:r>
      <w:r>
        <w:t>-Ions</w:t>
      </w:r>
    </w:p>
    <w:p w14:paraId="742D7096" w14:textId="684BD106" w:rsidR="00D53474" w:rsidRDefault="00D53474" w:rsidP="00D53474">
      <w:r w:rsidRPr="00D53474">
        <w:rPr>
          <w:rStyle w:val="Fett"/>
        </w:rPr>
        <w:t>Material</w:t>
      </w:r>
      <w:r>
        <w:t>:</w:t>
      </w:r>
    </w:p>
    <w:p w14:paraId="4081AB6A" w14:textId="77777777" w:rsidR="00D53474" w:rsidRDefault="00D53474" w:rsidP="00D53474">
      <w:pPr>
        <w:pStyle w:val="Liste1Aufzhlung"/>
        <w:sectPr w:rsidR="00D53474" w:rsidSect="009B4835">
          <w:footerReference w:type="default" r:id="rId11"/>
          <w:pgSz w:w="11906" w:h="16838"/>
          <w:pgMar w:top="851" w:right="1134" w:bottom="851" w:left="1418" w:header="0" w:footer="0" w:gutter="0"/>
          <w:cols w:space="708"/>
          <w:titlePg/>
          <w:docGrid w:linePitch="360"/>
        </w:sectPr>
      </w:pPr>
    </w:p>
    <w:p w14:paraId="3F9EB782" w14:textId="6F739756" w:rsidR="00D53474" w:rsidRDefault="00D53474" w:rsidP="00D53474">
      <w:pPr>
        <w:pStyle w:val="Liste1Aufzhlung"/>
      </w:pPr>
      <w:r>
        <w:lastRenderedPageBreak/>
        <w:t>Becherglas, 1.000 mL</w:t>
      </w:r>
    </w:p>
    <w:p w14:paraId="61CD0BF3" w14:textId="6663AA60" w:rsidR="00D53474" w:rsidRDefault="00D53474" w:rsidP="00D53474">
      <w:pPr>
        <w:pStyle w:val="Liste1Aufzhlung"/>
      </w:pPr>
      <w:r>
        <w:t>Kleine Bechergläser</w:t>
      </w:r>
    </w:p>
    <w:p w14:paraId="188C0C5B" w14:textId="0972435B" w:rsidR="00D53474" w:rsidRDefault="00D53474" w:rsidP="00D53474">
      <w:pPr>
        <w:pStyle w:val="Liste1Aufzhlung"/>
      </w:pPr>
      <w:r>
        <w:lastRenderedPageBreak/>
        <w:t>Pipette</w:t>
      </w:r>
    </w:p>
    <w:p w14:paraId="2C810E06" w14:textId="77777777" w:rsidR="00D53474" w:rsidRDefault="00D53474" w:rsidP="00D53474">
      <w:pPr>
        <w:rPr>
          <w:rStyle w:val="Fett"/>
        </w:rPr>
        <w:sectPr w:rsidR="00D53474" w:rsidSect="00D53474">
          <w:type w:val="continuous"/>
          <w:pgSz w:w="11906" w:h="16838"/>
          <w:pgMar w:top="851" w:right="1134" w:bottom="851" w:left="1418" w:header="0" w:footer="0" w:gutter="0"/>
          <w:cols w:num="2" w:space="708"/>
          <w:titlePg/>
          <w:docGrid w:linePitch="360"/>
        </w:sectPr>
      </w:pPr>
    </w:p>
    <w:p w14:paraId="7F8EAECE" w14:textId="4999CE02" w:rsidR="00D53474" w:rsidRDefault="00D53474" w:rsidP="00D53474">
      <w:r w:rsidRPr="00D53474">
        <w:rPr>
          <w:rStyle w:val="Fett"/>
        </w:rPr>
        <w:lastRenderedPageBreak/>
        <w:t>Chemikalien</w:t>
      </w:r>
      <w:r>
        <w:t>:</w:t>
      </w:r>
    </w:p>
    <w:p w14:paraId="24D7483F" w14:textId="77777777" w:rsidR="00D53474" w:rsidRDefault="00D53474" w:rsidP="00D53474">
      <w:pPr>
        <w:pStyle w:val="Liste1Aufzhlung"/>
        <w:sectPr w:rsidR="00D53474" w:rsidSect="00D53474">
          <w:type w:val="continuous"/>
          <w:pgSz w:w="11906" w:h="16838"/>
          <w:pgMar w:top="851" w:right="1134" w:bottom="851" w:left="1418" w:header="0" w:footer="0" w:gutter="0"/>
          <w:cols w:space="708"/>
          <w:titlePg/>
          <w:docGrid w:linePitch="360"/>
        </w:sectPr>
      </w:pPr>
    </w:p>
    <w:p w14:paraId="7C287CC0" w14:textId="2177C68B" w:rsidR="00D53474" w:rsidRDefault="00D53474" w:rsidP="00D53474">
      <w:pPr>
        <w:pStyle w:val="Liste1Aufzhlung"/>
        <w:jc w:val="left"/>
      </w:pPr>
      <w:r>
        <w:lastRenderedPageBreak/>
        <w:t xml:space="preserve">1 g </w:t>
      </w:r>
      <w:r w:rsidRPr="00D53474">
        <w:rPr>
          <w:rStyle w:val="RotZchn"/>
        </w:rPr>
        <w:t>Kaliumpermanganat</w:t>
      </w:r>
      <w:r>
        <w:br/>
        <w:t>in 300 mL VE-Wasser</w:t>
      </w:r>
    </w:p>
    <w:p w14:paraId="278C0342" w14:textId="619F40BA" w:rsidR="00D53474" w:rsidRDefault="00D53474" w:rsidP="00D53474">
      <w:pPr>
        <w:pStyle w:val="Liste1Aufzhlung"/>
        <w:jc w:val="left"/>
      </w:pPr>
      <w:r>
        <w:t xml:space="preserve">10 mL </w:t>
      </w:r>
      <w:r w:rsidRPr="00D53474">
        <w:rPr>
          <w:rStyle w:val="RotZchn"/>
        </w:rPr>
        <w:t>Natronlauge</w:t>
      </w:r>
      <w:r>
        <w:br/>
        <w:t>w= 50%</w:t>
      </w:r>
    </w:p>
    <w:p w14:paraId="52B41308" w14:textId="7F086765" w:rsidR="00D53474" w:rsidRDefault="00D53474" w:rsidP="00D53474">
      <w:pPr>
        <w:pStyle w:val="Liste1Aufzhlung"/>
        <w:jc w:val="left"/>
      </w:pPr>
      <w:r>
        <w:lastRenderedPageBreak/>
        <w:t>10 </w:t>
      </w:r>
      <w:proofErr w:type="spellStart"/>
      <w:r>
        <w:t>mL</w:t>
      </w:r>
      <w:proofErr w:type="spellEnd"/>
      <w:r>
        <w:t xml:space="preserve"> </w:t>
      </w:r>
      <w:proofErr w:type="spellStart"/>
      <w:r w:rsidRPr="00D53474">
        <w:rPr>
          <w:rStyle w:val="RotZchn"/>
        </w:rPr>
        <w:t>Natriumformiat</w:t>
      </w:r>
      <w:proofErr w:type="spellEnd"/>
      <w:r>
        <w:t>-Lösung</w:t>
      </w:r>
      <w:r>
        <w:br/>
        <w:t>w= 1%</w:t>
      </w:r>
    </w:p>
    <w:p w14:paraId="11A80A1D" w14:textId="2458FEF9" w:rsidR="00D53474" w:rsidRDefault="00D53474" w:rsidP="00D53474">
      <w:pPr>
        <w:pStyle w:val="Liste1Aufzhlung"/>
        <w:jc w:val="left"/>
      </w:pPr>
      <w:r>
        <w:t xml:space="preserve">Halbkonzentrierte </w:t>
      </w:r>
      <w:r w:rsidRPr="00D53474">
        <w:rPr>
          <w:rStyle w:val="RotZchn"/>
        </w:rPr>
        <w:t>Schwefelsäure</w:t>
      </w:r>
    </w:p>
    <w:p w14:paraId="053A4B36" w14:textId="39706685" w:rsidR="00D53474" w:rsidRDefault="00D53474" w:rsidP="00D53474">
      <w:pPr>
        <w:pStyle w:val="Liste1Aufzhlung"/>
        <w:jc w:val="left"/>
      </w:pPr>
      <w:r w:rsidRPr="00D53474">
        <w:rPr>
          <w:rStyle w:val="RotZchn"/>
        </w:rPr>
        <w:t>Natriumsulfit</w:t>
      </w:r>
      <w:r>
        <w:t>-Lösung</w:t>
      </w:r>
      <w:r>
        <w:br/>
        <w:t>w= 1%</w:t>
      </w:r>
    </w:p>
    <w:p w14:paraId="564A9CCB" w14:textId="77777777" w:rsidR="00D53474" w:rsidRDefault="00D53474" w:rsidP="00D53474">
      <w:pPr>
        <w:pStyle w:val="Bilder"/>
        <w:sectPr w:rsidR="00D53474" w:rsidSect="00D53474">
          <w:type w:val="continuous"/>
          <w:pgSz w:w="11906" w:h="16838"/>
          <w:pgMar w:top="851" w:right="1134" w:bottom="851" w:left="1418" w:header="0" w:footer="0" w:gutter="0"/>
          <w:cols w:num="2" w:space="708"/>
          <w:titlePg/>
          <w:docGrid w:linePitch="360"/>
        </w:sectPr>
      </w:pPr>
    </w:p>
    <w:p w14:paraId="1F5987EF" w14:textId="71FB71D3" w:rsidR="00D53474" w:rsidRDefault="00D53474" w:rsidP="00D53474">
      <w:pPr>
        <w:pStyle w:val="Bilder"/>
      </w:pPr>
      <w:r>
        <w:rPr>
          <w:lang w:eastAsia="de-DE"/>
        </w:rPr>
        <w:lastRenderedPageBreak/>
        <w:drawing>
          <wp:inline distT="0" distB="0" distL="0" distR="0" wp14:anchorId="5AE57F68" wp14:editId="341923E1">
            <wp:extent cx="3121249" cy="1800000"/>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1249" cy="1800000"/>
                    </a:xfrm>
                    <a:prstGeom prst="rect">
                      <a:avLst/>
                    </a:prstGeom>
                    <a:noFill/>
                    <a:ln>
                      <a:noFill/>
                    </a:ln>
                  </pic:spPr>
                </pic:pic>
              </a:graphicData>
            </a:graphic>
          </wp:inline>
        </w:drawing>
      </w:r>
    </w:p>
    <w:p w14:paraId="1479D28C" w14:textId="57A54B0D" w:rsidR="00D53474" w:rsidRDefault="00D53474" w:rsidP="00D53474">
      <w:pPr>
        <w:pStyle w:val="Beschriftung"/>
      </w:pPr>
      <w:r>
        <w:t xml:space="preserve">Abb. </w:t>
      </w:r>
      <w:r w:rsidR="0052185E">
        <w:fldChar w:fldCharType="begin"/>
      </w:r>
      <w:r w:rsidR="0052185E">
        <w:instrText xml:space="preserve"> SEQ Abb. \* ARABIC </w:instrText>
      </w:r>
      <w:r w:rsidR="0052185E">
        <w:fldChar w:fldCharType="separate"/>
      </w:r>
      <w:r w:rsidR="0052185E">
        <w:rPr>
          <w:noProof/>
        </w:rPr>
        <w:t>3</w:t>
      </w:r>
      <w:r w:rsidR="0052185E">
        <w:rPr>
          <w:noProof/>
        </w:rPr>
        <w:fldChar w:fldCharType="end"/>
      </w:r>
      <w:r>
        <w:t>: mineralisches Chamäleon [</w:t>
      </w:r>
      <w:r>
        <w:fldChar w:fldCharType="begin"/>
      </w:r>
      <w:r>
        <w:instrText xml:space="preserve"> REF _Ref55287288 \r \h </w:instrText>
      </w:r>
      <w:r>
        <w:fldChar w:fldCharType="separate"/>
      </w:r>
      <w:r w:rsidR="0052185E">
        <w:t>5</w:t>
      </w:r>
      <w:r>
        <w:fldChar w:fldCharType="end"/>
      </w:r>
      <w:r>
        <w:t>]</w:t>
      </w:r>
    </w:p>
    <w:p w14:paraId="5B2CAFFA" w14:textId="0A54B32A" w:rsidR="00D53474" w:rsidRDefault="00D53474" w:rsidP="00D53474">
      <w:pPr>
        <w:pStyle w:val="berschrift1"/>
      </w:pPr>
      <w:bookmarkStart w:id="7" w:name="_Toc55287673"/>
      <w:r>
        <w:t>Farb-Entstehung des Berliner Blau</w:t>
      </w:r>
      <w:bookmarkEnd w:id="7"/>
    </w:p>
    <w:p w14:paraId="5C00C900" w14:textId="77777777" w:rsidR="00CA7E47" w:rsidRDefault="00D53474" w:rsidP="00D53474">
      <w:pPr>
        <w:rPr>
          <w:rFonts w:cs="Arial"/>
        </w:rPr>
      </w:pPr>
      <w:r>
        <w:rPr>
          <w:rFonts w:cs="Arial"/>
        </w:rPr>
        <w:t>Die intensive blaue Farbe des Berliner Blau ist bedingt durch ein anderes Prinzip der Farb</w:t>
      </w:r>
      <w:r w:rsidR="00CA7E47">
        <w:rPr>
          <w:rFonts w:cs="Arial"/>
        </w:rPr>
        <w:t>-E</w:t>
      </w:r>
      <w:r>
        <w:rPr>
          <w:rFonts w:cs="Arial"/>
        </w:rPr>
        <w:t xml:space="preserve">ntstehung. Ursache sind sogenannte </w:t>
      </w:r>
      <w:proofErr w:type="spellStart"/>
      <w:r>
        <w:rPr>
          <w:rFonts w:cs="Arial"/>
        </w:rPr>
        <w:t>Intervalence</w:t>
      </w:r>
      <w:proofErr w:type="spellEnd"/>
      <w:r>
        <w:rPr>
          <w:rFonts w:cs="Arial"/>
        </w:rPr>
        <w:t xml:space="preserve">-Charge-Transfer-Übergänge. </w:t>
      </w:r>
    </w:p>
    <w:p w14:paraId="6E6A129E" w14:textId="5EE62CEC" w:rsidR="00D53474" w:rsidRDefault="00D53474" w:rsidP="00D53474">
      <w:pPr>
        <w:rPr>
          <w:rFonts w:cs="Arial"/>
        </w:rPr>
      </w:pPr>
      <w:r>
        <w:rPr>
          <w:rFonts w:cs="Arial"/>
        </w:rPr>
        <w:t>Berliner Blau besteht aus K[</w:t>
      </w:r>
      <w:proofErr w:type="spellStart"/>
      <w:r>
        <w:rPr>
          <w:rFonts w:cs="Arial"/>
        </w:rPr>
        <w:t>Fe</w:t>
      </w:r>
      <w:r>
        <w:rPr>
          <w:rFonts w:cs="Arial"/>
          <w:vertAlign w:val="superscript"/>
        </w:rPr>
        <w:t>II</w:t>
      </w:r>
      <w:r>
        <w:rPr>
          <w:rFonts w:cs="Arial"/>
        </w:rPr>
        <w:t>Fe</w:t>
      </w:r>
      <w:r>
        <w:rPr>
          <w:rFonts w:cs="Arial"/>
          <w:vertAlign w:val="superscript"/>
        </w:rPr>
        <w:t>III</w:t>
      </w:r>
      <w:proofErr w:type="spellEnd"/>
      <w:r>
        <w:rPr>
          <w:rFonts w:cs="Arial"/>
        </w:rPr>
        <w:t>(CN)</w:t>
      </w:r>
      <w:r>
        <w:rPr>
          <w:rFonts w:cs="Arial"/>
          <w:vertAlign w:val="subscript"/>
        </w:rPr>
        <w:t>6</w:t>
      </w:r>
      <w:r>
        <w:rPr>
          <w:rFonts w:cs="Arial"/>
        </w:rPr>
        <w:t>]</w:t>
      </w:r>
      <w:r>
        <w:rPr>
          <w:rFonts w:cs="Arial"/>
          <w:vertAlign w:val="subscript"/>
        </w:rPr>
        <w:t xml:space="preserve">n </w:t>
      </w:r>
      <w:r>
        <w:rPr>
          <w:rFonts w:cs="Arial"/>
        </w:rPr>
        <w:t>- Komplexen.</w:t>
      </w:r>
    </w:p>
    <w:p w14:paraId="3F564661" w14:textId="7FE9744E" w:rsidR="00CA7E47" w:rsidRDefault="00CA7E47" w:rsidP="00D53474">
      <w:pPr>
        <w:rPr>
          <w:rFonts w:cs="Arial"/>
        </w:rPr>
      </w:pPr>
      <w:r>
        <w:rPr>
          <w:rFonts w:cs="Arial"/>
        </w:rPr>
        <w:t>Dabei handelt sich um einen mehrkernigen Komplex mit CN</w:t>
      </w:r>
      <w:r>
        <w:rPr>
          <w:rFonts w:cs="Arial"/>
          <w:vertAlign w:val="superscript"/>
        </w:rPr>
        <w:t>-</w:t>
      </w:r>
      <w:r>
        <w:rPr>
          <w:rFonts w:cs="Arial"/>
        </w:rPr>
        <w:t xml:space="preserve"> als Brücken-Ligand. Das Kohlenstoff-Atom des Cyanid-Ions (in </w:t>
      </w:r>
      <w:r w:rsidR="00E87A7E">
        <w:rPr>
          <w:rFonts w:cs="Arial"/>
          <w:color w:val="FF00FF" w:themeColor="accent4"/>
        </w:rPr>
        <w:fldChar w:fldCharType="begin"/>
      </w:r>
      <w:r w:rsidR="00E87A7E">
        <w:rPr>
          <w:rFonts w:cs="Arial"/>
        </w:rPr>
        <w:instrText xml:space="preserve"> REF _Ref55287582 \h </w:instrText>
      </w:r>
      <w:r w:rsidR="00E87A7E">
        <w:rPr>
          <w:rFonts w:cs="Arial"/>
          <w:color w:val="FF00FF" w:themeColor="accent4"/>
        </w:rPr>
      </w:r>
      <w:r w:rsidR="00E87A7E">
        <w:rPr>
          <w:rFonts w:cs="Arial"/>
          <w:color w:val="FF00FF" w:themeColor="accent4"/>
        </w:rPr>
        <w:fldChar w:fldCharType="separate"/>
      </w:r>
      <w:r w:rsidR="0052185E">
        <w:t xml:space="preserve">Abb. </w:t>
      </w:r>
      <w:r w:rsidR="0052185E">
        <w:rPr>
          <w:noProof/>
        </w:rPr>
        <w:t>4</w:t>
      </w:r>
      <w:r w:rsidR="00E87A7E">
        <w:rPr>
          <w:rFonts w:cs="Arial"/>
          <w:color w:val="FF00FF" w:themeColor="accent4"/>
        </w:rPr>
        <w:fldChar w:fldCharType="end"/>
      </w:r>
      <w:r w:rsidRPr="00CA7E47">
        <w:rPr>
          <w:rFonts w:cs="Arial"/>
          <w:color w:val="FF00FF" w:themeColor="accent4"/>
        </w:rPr>
        <w:t xml:space="preserve"> </w:t>
      </w:r>
      <w:r>
        <w:rPr>
          <w:rFonts w:cs="Arial"/>
        </w:rPr>
        <w:t xml:space="preserve">schwarz dargestellt) </w:t>
      </w:r>
      <w:r w:rsidR="00E87A7E">
        <w:rPr>
          <w:rFonts w:cs="Arial"/>
        </w:rPr>
        <w:t>koordiniert</w:t>
      </w:r>
      <w:r>
        <w:rPr>
          <w:rFonts w:cs="Arial"/>
        </w:rPr>
        <w:t xml:space="preserve"> an das Fe(II)-Zentrum, das Stickstoff-Atom (in </w:t>
      </w:r>
      <w:r w:rsidR="00E87A7E">
        <w:rPr>
          <w:rFonts w:cs="Arial"/>
          <w:color w:val="FF00FF" w:themeColor="accent4"/>
        </w:rPr>
        <w:fldChar w:fldCharType="begin"/>
      </w:r>
      <w:r w:rsidR="00E87A7E">
        <w:rPr>
          <w:rFonts w:cs="Arial"/>
        </w:rPr>
        <w:instrText xml:space="preserve"> REF _Ref55287582 \h </w:instrText>
      </w:r>
      <w:r w:rsidR="00E87A7E">
        <w:rPr>
          <w:rFonts w:cs="Arial"/>
          <w:color w:val="FF00FF" w:themeColor="accent4"/>
        </w:rPr>
      </w:r>
      <w:r w:rsidR="00E87A7E">
        <w:rPr>
          <w:rFonts w:cs="Arial"/>
          <w:color w:val="FF00FF" w:themeColor="accent4"/>
        </w:rPr>
        <w:fldChar w:fldCharType="separate"/>
      </w:r>
      <w:r w:rsidR="0052185E">
        <w:t xml:space="preserve">Abb. </w:t>
      </w:r>
      <w:r w:rsidR="0052185E">
        <w:rPr>
          <w:noProof/>
        </w:rPr>
        <w:t>4</w:t>
      </w:r>
      <w:r w:rsidR="00E87A7E">
        <w:rPr>
          <w:rFonts w:cs="Arial"/>
          <w:color w:val="FF00FF" w:themeColor="accent4"/>
        </w:rPr>
        <w:fldChar w:fldCharType="end"/>
      </w:r>
      <w:r w:rsidR="00E87A7E">
        <w:rPr>
          <w:rFonts w:cs="Arial"/>
          <w:color w:val="FF00FF" w:themeColor="accent4"/>
        </w:rPr>
        <w:t xml:space="preserve"> </w:t>
      </w:r>
      <w:r>
        <w:rPr>
          <w:rFonts w:cs="Arial"/>
        </w:rPr>
        <w:t>grün dargestellt) an das Fe(III)-Zentrum.</w:t>
      </w:r>
    </w:p>
    <w:p w14:paraId="19E63954" w14:textId="60E39019" w:rsidR="00CA7E47" w:rsidRDefault="00CA7E47" w:rsidP="00D53474">
      <w:pPr>
        <w:rPr>
          <w:rFonts w:cs="Arial"/>
        </w:rPr>
      </w:pPr>
      <w:r>
        <w:rPr>
          <w:rFonts w:cs="Arial"/>
        </w:rPr>
        <w:t>Durch Licht wird ein Elektron angeregt und über den Cyanid-Liganden vom Fe(II) zum Fe(III) übertragen. Im Gitter wird ein schneller Elektronen-Transfer begünstigt. Somit ist relativ wenig Energie erforderlich. Deshalb wird Licht kleiner Wellenlänge absorbiert (rot-gelb), blaues Licht als Komplementär-Farbe wird reflektiert.</w:t>
      </w:r>
    </w:p>
    <w:p w14:paraId="151BF2D1" w14:textId="4821A131" w:rsidR="00CA7E47" w:rsidRDefault="00CA7E47" w:rsidP="00CA7E47">
      <w:pPr>
        <w:pStyle w:val="Bilder"/>
      </w:pPr>
      <w:r>
        <w:rPr>
          <w:lang w:eastAsia="de-DE"/>
        </w:rPr>
        <w:drawing>
          <wp:inline distT="0" distB="0" distL="0" distR="0" wp14:anchorId="549075F9" wp14:editId="403B8BE5">
            <wp:extent cx="3218003" cy="1800000"/>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8003" cy="1800000"/>
                    </a:xfrm>
                    <a:prstGeom prst="rect">
                      <a:avLst/>
                    </a:prstGeom>
                    <a:noFill/>
                    <a:ln>
                      <a:noFill/>
                    </a:ln>
                  </pic:spPr>
                </pic:pic>
              </a:graphicData>
            </a:graphic>
          </wp:inline>
        </w:drawing>
      </w:r>
    </w:p>
    <w:p w14:paraId="4D319DA1" w14:textId="72EC7840" w:rsidR="00CA7E47" w:rsidRDefault="00CA7E47" w:rsidP="00CA7E47">
      <w:pPr>
        <w:pStyle w:val="Beschriftung"/>
      </w:pPr>
      <w:bookmarkStart w:id="8" w:name="_Ref55287582"/>
      <w:r>
        <w:t xml:space="preserve">Abb. </w:t>
      </w:r>
      <w:r w:rsidR="0052185E">
        <w:fldChar w:fldCharType="begin"/>
      </w:r>
      <w:r w:rsidR="0052185E">
        <w:instrText xml:space="preserve"> SEQ Abb. \* ARABIC </w:instrText>
      </w:r>
      <w:r w:rsidR="0052185E">
        <w:fldChar w:fldCharType="separate"/>
      </w:r>
      <w:r w:rsidR="0052185E">
        <w:rPr>
          <w:noProof/>
        </w:rPr>
        <w:t>4</w:t>
      </w:r>
      <w:r w:rsidR="0052185E">
        <w:rPr>
          <w:noProof/>
        </w:rPr>
        <w:fldChar w:fldCharType="end"/>
      </w:r>
      <w:bookmarkEnd w:id="8"/>
      <w:r>
        <w:t>: Komplex-Struktur des Berliner Blau</w:t>
      </w:r>
    </w:p>
    <w:p w14:paraId="616E86D3" w14:textId="77777777" w:rsidR="0052185E" w:rsidRDefault="0052185E">
      <w:pPr>
        <w:spacing w:before="0"/>
        <w:jc w:val="left"/>
        <w:rPr>
          <w:rStyle w:val="Fett"/>
        </w:rPr>
      </w:pPr>
      <w:r>
        <w:rPr>
          <w:rStyle w:val="Fett"/>
        </w:rPr>
        <w:br w:type="page"/>
      </w:r>
    </w:p>
    <w:p w14:paraId="58B76ACC" w14:textId="1AA90697" w:rsidR="0052185E" w:rsidRPr="0052185E" w:rsidRDefault="0052185E" w:rsidP="0052185E">
      <w:pPr>
        <w:pStyle w:val="Zusammenfassung"/>
        <w:rPr>
          <w:rStyle w:val="Fett"/>
          <w:b w:val="0"/>
          <w:bCs w:val="0"/>
        </w:rPr>
      </w:pPr>
      <w:bookmarkStart w:id="9" w:name="_GoBack"/>
      <w:bookmarkEnd w:id="9"/>
      <w:r>
        <w:rPr>
          <w:rStyle w:val="Fett"/>
        </w:rPr>
        <w:t xml:space="preserve">Zusammenfassung: </w:t>
      </w:r>
      <w:r w:rsidRPr="0052185E">
        <w:rPr>
          <w:rStyle w:val="Fett"/>
          <w:b w:val="0"/>
        </w:rPr>
        <w:t>fehlt</w:t>
      </w:r>
      <w:r>
        <w:rPr>
          <w:rStyle w:val="Fett"/>
        </w:rPr>
        <w:t>.</w:t>
      </w:r>
    </w:p>
    <w:p w14:paraId="639CEA3A" w14:textId="41078649" w:rsidR="00CA7E47" w:rsidRPr="00CA7E47" w:rsidRDefault="00CA7E47" w:rsidP="00CA7E47">
      <w:pPr>
        <w:pStyle w:val="EinstiegAbschluss"/>
      </w:pPr>
      <w:r w:rsidRPr="00CA7E47">
        <w:rPr>
          <w:rStyle w:val="Fett"/>
        </w:rPr>
        <w:t>Abschluss</w:t>
      </w:r>
      <w:r>
        <w:t xml:space="preserve">: </w:t>
      </w:r>
      <w:r>
        <w:rPr>
          <w:rFonts w:cs="Arial"/>
        </w:rPr>
        <w:t>So kraftvoll die Farbe des Berliner Blau auch ist - als Dauer-Färbemittel für Kleidung ist es ungeeignet, da der Komplex in basischem Milieu zerfällt. Es entsteht braunes Eisen(III)oxid-hydroxid [FeO(OH)].</w:t>
      </w:r>
    </w:p>
    <w:p w14:paraId="31F3ACCA" w14:textId="364E981B" w:rsidR="00CA7E47" w:rsidRPr="00CA7E47" w:rsidRDefault="00CA7E47" w:rsidP="00CA7E47">
      <w:pPr>
        <w:pStyle w:val="EinstiegAbschluss"/>
      </w:pPr>
      <w:r>
        <w:rPr>
          <w:rFonts w:cs="Arial"/>
        </w:rPr>
        <w:t xml:space="preserve">Das Waschen mit Seifen und anderen basischen Wasch-Mitteln ist daher nicht möglich. Aus diesem Grund konnten die Preußen ihre Uniformen nicht durch Waschen mit z. B. Pottasche, welches basisch reagiert, reinigen. Dennoch setzten die Preußen auf die </w:t>
      </w:r>
      <w:r w:rsidR="00E87A7E">
        <w:rPr>
          <w:rFonts w:cs="Arial"/>
        </w:rPr>
        <w:t>kräftige</w:t>
      </w:r>
      <w:r>
        <w:rPr>
          <w:rFonts w:cs="Arial"/>
        </w:rPr>
        <w:t xml:space="preserve"> blaue Farbe für die Kriegsuniformen, um sowohl Anmutigkeit als auch Furcht zu vermitteln. Die Soldaten der heutigen Zeit tragen überwiegend Tarn-Farben, um vom Feind möglichst nicht entdeckt zu werden.</w:t>
      </w:r>
    </w:p>
    <w:p w14:paraId="2A8C06EE" w14:textId="1CBE966B" w:rsidR="00931B30" w:rsidRDefault="00931B30" w:rsidP="00931B30">
      <w:pPr>
        <w:rPr>
          <w:b/>
          <w:bCs/>
        </w:rPr>
      </w:pPr>
      <w:r w:rsidRPr="000E61E0">
        <w:rPr>
          <w:b/>
          <w:bCs/>
        </w:rPr>
        <w:t>Quellen:</w:t>
      </w:r>
    </w:p>
    <w:p w14:paraId="62B0860D" w14:textId="6FBB2319" w:rsidR="000662AC" w:rsidRDefault="000662AC" w:rsidP="000662AC">
      <w:pPr>
        <w:pStyle w:val="AufzhlungStandard"/>
      </w:pPr>
      <w:bookmarkStart w:id="10" w:name="_Ref55286457"/>
      <w:r>
        <w:t>Riedel, E.: Anorganische Chemie, De Gruyter, 5. Auflage, 2002</w:t>
      </w:r>
      <w:bookmarkEnd w:id="10"/>
    </w:p>
    <w:p w14:paraId="29137E4F" w14:textId="793E74B5" w:rsidR="000662AC" w:rsidRDefault="000662AC" w:rsidP="000662AC">
      <w:pPr>
        <w:pStyle w:val="AufzhlungStandard"/>
      </w:pPr>
      <w:r>
        <w:t>Holleman, A.F.; Wiberg, E.: Lehrbuch der Anorganischen Chemie, De Gruyter, 101. Auflage, 1995</w:t>
      </w:r>
    </w:p>
    <w:p w14:paraId="6BE17184" w14:textId="6C10430E" w:rsidR="000662AC" w:rsidRDefault="000662AC" w:rsidP="000662AC">
      <w:pPr>
        <w:pStyle w:val="AufzhlungStandard"/>
      </w:pPr>
      <w:r>
        <w:t>Demuth, R.: Praxis der Naturwissenschaften Chemie, 31,1982,144</w:t>
      </w:r>
    </w:p>
    <w:p w14:paraId="42CCC678" w14:textId="46E9614D" w:rsidR="000662AC" w:rsidRDefault="000662AC" w:rsidP="000662AC">
      <w:pPr>
        <w:pStyle w:val="AufzhlungStandard"/>
      </w:pPr>
      <w:r>
        <w:lastRenderedPageBreak/>
        <w:t>Skript Experimente für den Chemieunterricht, Experimentierkurs II, Stand 18.10.2004</w:t>
      </w:r>
    </w:p>
    <w:bookmarkStart w:id="11" w:name="_Ref55287288"/>
    <w:p w14:paraId="44E6CAA0" w14:textId="6F27A3BA" w:rsidR="000662AC" w:rsidRDefault="000662AC" w:rsidP="000662AC">
      <w:pPr>
        <w:pStyle w:val="AufzhlungStandard"/>
      </w:pPr>
      <w:r>
        <w:fldChar w:fldCharType="begin"/>
      </w:r>
      <w:r>
        <w:instrText xml:space="preserve"> HYPERLINK "http://www.axel-schunk.de/experiment/edm1198.html" </w:instrText>
      </w:r>
      <w:r>
        <w:fldChar w:fldCharType="separate"/>
      </w:r>
      <w:r>
        <w:rPr>
          <w:rStyle w:val="Hyperlink"/>
          <w:rFonts w:cs="Arial"/>
        </w:rPr>
        <w:t>http://www.axel-schunk.de/experiment/edm1198.html</w:t>
      </w:r>
      <w:r>
        <w:fldChar w:fldCharType="end"/>
      </w:r>
      <w:r>
        <w:t>; (zuletzt aufgerufen am 27.07.2016)</w:t>
      </w:r>
      <w:bookmarkEnd w:id="11"/>
    </w:p>
    <w:p w14:paraId="64F83E94" w14:textId="77777777" w:rsidR="000662AC" w:rsidRDefault="000662AC" w:rsidP="000662AC">
      <w:pPr>
        <w:pStyle w:val="AufzhlungStandard"/>
      </w:pPr>
      <w:r>
        <w:t>Weber, B.: Koordinationschemie, Springer-Verlag, Berlin Heidelberg, 2014.</w:t>
      </w:r>
    </w:p>
    <w:sectPr w:rsidR="000662AC" w:rsidSect="00D53474">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C506" w14:textId="77777777" w:rsidR="00D53474" w:rsidRDefault="00D53474" w:rsidP="005A7DCE">
      <w:pPr>
        <w:spacing w:before="0"/>
      </w:pPr>
      <w:r>
        <w:separator/>
      </w:r>
    </w:p>
  </w:endnote>
  <w:endnote w:type="continuationSeparator" w:id="0">
    <w:p w14:paraId="3214F425" w14:textId="77777777" w:rsidR="00D53474" w:rsidRDefault="00D53474"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D53474" w:rsidRDefault="00D53474">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2E2F2489" w:rsidR="00D53474" w:rsidRDefault="00D53474">
        <w:pPr>
          <w:pStyle w:val="Fuzeile"/>
          <w:jc w:val="center"/>
        </w:pPr>
        <w:r>
          <w:fldChar w:fldCharType="begin"/>
        </w:r>
        <w:r>
          <w:instrText>PAGE    \* MERGEFORMAT</w:instrText>
        </w:r>
        <w:r>
          <w:fldChar w:fldCharType="separate"/>
        </w:r>
        <w:r w:rsidR="0052185E">
          <w:rPr>
            <w:noProof/>
          </w:rPr>
          <w:t>5</w:t>
        </w:r>
        <w:r>
          <w:fldChar w:fldCharType="end"/>
        </w:r>
      </w:p>
    </w:sdtContent>
  </w:sdt>
  <w:p w14:paraId="69DF8B39" w14:textId="77777777" w:rsidR="00D53474" w:rsidRDefault="00D5347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33A" w14:textId="77777777" w:rsidR="00D53474" w:rsidRDefault="00D53474" w:rsidP="005A7DCE">
      <w:pPr>
        <w:spacing w:before="0"/>
      </w:pPr>
      <w:r>
        <w:separator/>
      </w:r>
    </w:p>
  </w:footnote>
  <w:footnote w:type="continuationSeparator" w:id="0">
    <w:p w14:paraId="026CC8B6" w14:textId="77777777" w:rsidR="00D53474" w:rsidRDefault="00D53474"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A09853E0"/>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0"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1"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3"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7F09A4"/>
    <w:multiLevelType w:val="multilevel"/>
    <w:tmpl w:val="339C4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5"/>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1"/>
  </w:num>
  <w:num w:numId="7">
    <w:abstractNumId w:val="6"/>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 w:numId="20">
    <w:abstractNumId w:val="13"/>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662AC"/>
    <w:rsid w:val="000712A2"/>
    <w:rsid w:val="00074491"/>
    <w:rsid w:val="000D4A1C"/>
    <w:rsid w:val="000E61E0"/>
    <w:rsid w:val="001B0E73"/>
    <w:rsid w:val="001D6942"/>
    <w:rsid w:val="00286533"/>
    <w:rsid w:val="0033663A"/>
    <w:rsid w:val="0036111E"/>
    <w:rsid w:val="004A4B07"/>
    <w:rsid w:val="0052185E"/>
    <w:rsid w:val="005633FE"/>
    <w:rsid w:val="005A7DCE"/>
    <w:rsid w:val="007161D1"/>
    <w:rsid w:val="007514D3"/>
    <w:rsid w:val="00783295"/>
    <w:rsid w:val="007B2C80"/>
    <w:rsid w:val="007F18E1"/>
    <w:rsid w:val="008117E4"/>
    <w:rsid w:val="00825BFE"/>
    <w:rsid w:val="00850560"/>
    <w:rsid w:val="00883728"/>
    <w:rsid w:val="008A524D"/>
    <w:rsid w:val="00931B30"/>
    <w:rsid w:val="009710A6"/>
    <w:rsid w:val="009B4835"/>
    <w:rsid w:val="00A21130"/>
    <w:rsid w:val="00A5383F"/>
    <w:rsid w:val="00AA5D66"/>
    <w:rsid w:val="00AB7E4B"/>
    <w:rsid w:val="00AE53F0"/>
    <w:rsid w:val="00AF7672"/>
    <w:rsid w:val="00B10DD4"/>
    <w:rsid w:val="00B85024"/>
    <w:rsid w:val="00C511E6"/>
    <w:rsid w:val="00CA413D"/>
    <w:rsid w:val="00CA7E47"/>
    <w:rsid w:val="00D53474"/>
    <w:rsid w:val="00D97908"/>
    <w:rsid w:val="00E14DE1"/>
    <w:rsid w:val="00E20AF3"/>
    <w:rsid w:val="00E50811"/>
    <w:rsid w:val="00E54A99"/>
    <w:rsid w:val="00E77397"/>
    <w:rsid w:val="00E8473B"/>
    <w:rsid w:val="00E87A7E"/>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B10DD4"/>
    <w:pPr>
      <w:spacing w:after="12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BesuchterLink">
    <w:name w:val="FollowedHyperlink"/>
    <w:basedOn w:val="Absatz-Standardschriftart"/>
    <w:uiPriority w:val="99"/>
    <w:semiHidden/>
    <w:unhideWhenUsed/>
    <w:rsid w:val="000662AC"/>
    <w:rPr>
      <w:color w:val="0000FF" w:themeColor="followedHyperlink"/>
      <w:u w:val="single"/>
    </w:rPr>
  </w:style>
  <w:style w:type="character" w:styleId="Fett">
    <w:name w:val="Strong"/>
    <w:basedOn w:val="Absatz-Standardschriftart"/>
    <w:uiPriority w:val="22"/>
    <w:rsid w:val="000662AC"/>
    <w:rPr>
      <w:b/>
      <w:bCs/>
    </w:rPr>
  </w:style>
  <w:style w:type="character" w:styleId="Platzhaltertext">
    <w:name w:val="Placeholder Text"/>
    <w:basedOn w:val="Absatz-Standardschriftart"/>
    <w:uiPriority w:val="99"/>
    <w:semiHidden/>
    <w:rsid w:val="000662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89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59A1F-DD74-4820-AEBB-0593E2AE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975</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2020-12-09T15:26:00Z</cp:lastPrinted>
  <dcterms:created xsi:type="dcterms:W3CDTF">2020-11-03T07:54:00Z</dcterms:created>
  <dcterms:modified xsi:type="dcterms:W3CDTF">2020-12-09T15:27:00Z</dcterms:modified>
</cp:coreProperties>
</file>