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A3F8FFE" w14:textId="77777777" w:rsidR="00E8473B" w:rsidRDefault="00E8473B" w:rsidP="00E8473B">
      <w:pPr>
        <w:pStyle w:val="Bilder"/>
      </w:pPr>
      <w:r w:rsidRPr="00716CB6">
        <w:rPr>
          <w:lang w:eastAsia="de-DE"/>
        </w:rPr>
        <mc:AlternateContent>
          <mc:Choice Requires="wpg">
            <w:drawing>
              <wp:inline distT="0" distB="0" distL="0" distR="0" wp14:anchorId="6C927070" wp14:editId="48F05825">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C584A" w14:textId="77777777" w:rsidR="000A1208" w:rsidRDefault="000A1208"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wps:txbx>
                        <wps:bodyPr>
                          <a:sp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927070"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111C584A" w14:textId="77777777" w:rsidR="000A1208" w:rsidRDefault="000A1208"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47726D2A" wp14:editId="0BD2C96A">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3383C91C" w14:textId="7F9CCF77" w:rsidR="00AE53F0" w:rsidRPr="008903E1" w:rsidRDefault="00E8473B" w:rsidP="008903E1">
      <w:pPr>
        <w:pStyle w:val="Seminar"/>
      </w:pPr>
      <w:r w:rsidRPr="008903E1">
        <w:t>Seminar</w:t>
      </w:r>
      <w:r w:rsidR="00FD7888" w:rsidRPr="008903E1">
        <w:t xml:space="preserve"> „Übungen im Vortragen –</w:t>
      </w:r>
      <w:r w:rsidR="008903E1" w:rsidRPr="008903E1">
        <w:t xml:space="preserve"> </w:t>
      </w:r>
      <w:r w:rsidR="00FD7888" w:rsidRPr="008903E1">
        <w:t>PC“</w:t>
      </w:r>
    </w:p>
    <w:p w14:paraId="61C6F5BC" w14:textId="14F5ED7E" w:rsidR="00E8473B" w:rsidRDefault="008903E1" w:rsidP="005633FE">
      <w:pPr>
        <w:pStyle w:val="Titel"/>
      </w:pPr>
      <w:r>
        <w:t>Katalyse: Prinzipien</w:t>
      </w:r>
    </w:p>
    <w:p w14:paraId="28CE20D7" w14:textId="32CB5B03" w:rsidR="00E8473B" w:rsidRPr="008A779C" w:rsidRDefault="008903E1" w:rsidP="00E8473B">
      <w:pPr>
        <w:pStyle w:val="Autor"/>
      </w:pPr>
      <w:r w:rsidRPr="008A779C">
        <w:t>Ralf Burger, WS 00/01; Svenja Neumeier, WS 12/13</w:t>
      </w:r>
      <w:r w:rsidR="008A779C" w:rsidRPr="008A779C">
        <w:t xml:space="preserve">; </w:t>
      </w:r>
      <w:r w:rsidR="0033225B" w:rsidRPr="0033225B">
        <w:rPr>
          <w:color w:val="auto"/>
        </w:rPr>
        <w:t>Helmrich Nadja, WS 22/23</w:t>
      </w:r>
    </w:p>
    <w:sdt>
      <w:sdtPr>
        <w:rPr>
          <w:rFonts w:ascii="Arial" w:eastAsiaTheme="minorHAnsi" w:hAnsi="Arial" w:cstheme="minorBidi"/>
          <w:color w:val="auto"/>
          <w:sz w:val="24"/>
          <w:szCs w:val="22"/>
          <w:lang w:eastAsia="en-US"/>
        </w:rPr>
        <w:id w:val="1411498495"/>
        <w:docPartObj>
          <w:docPartGallery w:val="Table of Contents"/>
          <w:docPartUnique/>
        </w:docPartObj>
      </w:sdtPr>
      <w:sdtEndPr>
        <w:rPr>
          <w:b/>
          <w:bCs/>
        </w:rPr>
      </w:sdtEndPr>
      <w:sdtContent>
        <w:p w14:paraId="660EA471" w14:textId="5DF63EA1" w:rsidR="009B4835" w:rsidRDefault="009B4835">
          <w:pPr>
            <w:pStyle w:val="Inhaltsverzeichnisberschrift"/>
          </w:pPr>
          <w:r>
            <w:t>Gliederung</w:t>
          </w:r>
        </w:p>
        <w:p w14:paraId="140480DF" w14:textId="37B51641" w:rsidR="008C330A" w:rsidRDefault="009B4835">
          <w:pPr>
            <w:pStyle w:val="Verzeichnis1"/>
            <w:tabs>
              <w:tab w:val="left" w:pos="480"/>
              <w:tab w:val="right" w:leader="dot" w:pos="9344"/>
            </w:tabs>
            <w:rPr>
              <w:rFonts w:asciiTheme="minorHAnsi" w:eastAsiaTheme="minorEastAsia" w:hAnsiTheme="minorHAnsi"/>
              <w:noProof/>
              <w:kern w:val="2"/>
              <w:sz w:val="22"/>
              <w:lang w:eastAsia="de-DE"/>
              <w14:ligatures w14:val="standardContextual"/>
            </w:rPr>
          </w:pPr>
          <w:r>
            <w:fldChar w:fldCharType="begin"/>
          </w:r>
          <w:r>
            <w:instrText xml:space="preserve"> TOC \o "1-3" \h \z \u </w:instrText>
          </w:r>
          <w:r>
            <w:fldChar w:fldCharType="separate"/>
          </w:r>
          <w:hyperlink w:anchor="_Toc146015311" w:history="1">
            <w:r w:rsidR="008C330A" w:rsidRPr="00860CB9">
              <w:rPr>
                <w:rStyle w:val="Hyperlink"/>
                <w:noProof/>
              </w:rPr>
              <w:t>1</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Daten aus der Geschichte der Katalyse</w:t>
            </w:r>
            <w:r w:rsidR="008C330A">
              <w:rPr>
                <w:noProof/>
                <w:webHidden/>
              </w:rPr>
              <w:tab/>
            </w:r>
            <w:r w:rsidR="008C330A">
              <w:rPr>
                <w:noProof/>
                <w:webHidden/>
              </w:rPr>
              <w:fldChar w:fldCharType="begin"/>
            </w:r>
            <w:r w:rsidR="008C330A">
              <w:rPr>
                <w:noProof/>
                <w:webHidden/>
              </w:rPr>
              <w:instrText xml:space="preserve"> PAGEREF _Toc146015311 \h </w:instrText>
            </w:r>
            <w:r w:rsidR="008C330A">
              <w:rPr>
                <w:noProof/>
                <w:webHidden/>
              </w:rPr>
            </w:r>
            <w:r w:rsidR="008C330A">
              <w:rPr>
                <w:noProof/>
                <w:webHidden/>
              </w:rPr>
              <w:fldChar w:fldCharType="separate"/>
            </w:r>
            <w:r w:rsidR="00F85A00">
              <w:rPr>
                <w:noProof/>
                <w:webHidden/>
              </w:rPr>
              <w:t>2</w:t>
            </w:r>
            <w:r w:rsidR="008C330A">
              <w:rPr>
                <w:noProof/>
                <w:webHidden/>
              </w:rPr>
              <w:fldChar w:fldCharType="end"/>
            </w:r>
          </w:hyperlink>
        </w:p>
        <w:p w14:paraId="0BD0A336" w14:textId="1123B036" w:rsidR="008C330A" w:rsidRDefault="00F85A00">
          <w:pPr>
            <w:pStyle w:val="Verzeichnis1"/>
            <w:tabs>
              <w:tab w:val="left" w:pos="480"/>
              <w:tab w:val="right" w:leader="dot" w:pos="9344"/>
            </w:tabs>
            <w:rPr>
              <w:rFonts w:asciiTheme="minorHAnsi" w:eastAsiaTheme="minorEastAsia" w:hAnsiTheme="minorHAnsi"/>
              <w:noProof/>
              <w:kern w:val="2"/>
              <w:sz w:val="22"/>
              <w:lang w:eastAsia="de-DE"/>
              <w14:ligatures w14:val="standardContextual"/>
            </w:rPr>
          </w:pPr>
          <w:hyperlink w:anchor="_Toc146015312" w:history="1">
            <w:r w:rsidR="008C330A" w:rsidRPr="00860CB9">
              <w:rPr>
                <w:rStyle w:val="Hyperlink"/>
                <w:noProof/>
              </w:rPr>
              <w:t>2</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Erste Definition eines Katalysator nach Jöns Jakob Berzelius</w:t>
            </w:r>
            <w:r w:rsidR="008C330A">
              <w:rPr>
                <w:noProof/>
                <w:webHidden/>
              </w:rPr>
              <w:tab/>
            </w:r>
            <w:r w:rsidR="008C330A">
              <w:rPr>
                <w:noProof/>
                <w:webHidden/>
              </w:rPr>
              <w:fldChar w:fldCharType="begin"/>
            </w:r>
            <w:r w:rsidR="008C330A">
              <w:rPr>
                <w:noProof/>
                <w:webHidden/>
              </w:rPr>
              <w:instrText xml:space="preserve"> PAGEREF _Toc146015312 \h </w:instrText>
            </w:r>
            <w:r w:rsidR="008C330A">
              <w:rPr>
                <w:noProof/>
                <w:webHidden/>
              </w:rPr>
            </w:r>
            <w:r w:rsidR="008C330A">
              <w:rPr>
                <w:noProof/>
                <w:webHidden/>
              </w:rPr>
              <w:fldChar w:fldCharType="separate"/>
            </w:r>
            <w:r>
              <w:rPr>
                <w:noProof/>
                <w:webHidden/>
              </w:rPr>
              <w:t>3</w:t>
            </w:r>
            <w:r w:rsidR="008C330A">
              <w:rPr>
                <w:noProof/>
                <w:webHidden/>
              </w:rPr>
              <w:fldChar w:fldCharType="end"/>
            </w:r>
          </w:hyperlink>
        </w:p>
        <w:p w14:paraId="5E120AEF" w14:textId="24D81A5B" w:rsidR="008C330A" w:rsidRDefault="00F85A00">
          <w:pPr>
            <w:pStyle w:val="Verzeichnis1"/>
            <w:tabs>
              <w:tab w:val="left" w:pos="480"/>
              <w:tab w:val="right" w:leader="dot" w:pos="9344"/>
            </w:tabs>
            <w:rPr>
              <w:rFonts w:asciiTheme="minorHAnsi" w:eastAsiaTheme="minorEastAsia" w:hAnsiTheme="minorHAnsi"/>
              <w:noProof/>
              <w:kern w:val="2"/>
              <w:sz w:val="22"/>
              <w:lang w:eastAsia="de-DE"/>
              <w14:ligatures w14:val="standardContextual"/>
            </w:rPr>
          </w:pPr>
          <w:hyperlink w:anchor="_Toc146015313" w:history="1">
            <w:r w:rsidR="008C330A" w:rsidRPr="00860CB9">
              <w:rPr>
                <w:rStyle w:val="Hyperlink"/>
                <w:noProof/>
              </w:rPr>
              <w:t>3</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Prinzip der Katalyse</w:t>
            </w:r>
            <w:r w:rsidR="008C330A">
              <w:rPr>
                <w:noProof/>
                <w:webHidden/>
              </w:rPr>
              <w:tab/>
            </w:r>
            <w:r w:rsidR="008C330A">
              <w:rPr>
                <w:noProof/>
                <w:webHidden/>
              </w:rPr>
              <w:fldChar w:fldCharType="begin"/>
            </w:r>
            <w:r w:rsidR="008C330A">
              <w:rPr>
                <w:noProof/>
                <w:webHidden/>
              </w:rPr>
              <w:instrText xml:space="preserve"> PAGEREF _Toc146015313 \h </w:instrText>
            </w:r>
            <w:r w:rsidR="008C330A">
              <w:rPr>
                <w:noProof/>
                <w:webHidden/>
              </w:rPr>
            </w:r>
            <w:r w:rsidR="008C330A">
              <w:rPr>
                <w:noProof/>
                <w:webHidden/>
              </w:rPr>
              <w:fldChar w:fldCharType="separate"/>
            </w:r>
            <w:r>
              <w:rPr>
                <w:noProof/>
                <w:webHidden/>
              </w:rPr>
              <w:t>4</w:t>
            </w:r>
            <w:r w:rsidR="008C330A">
              <w:rPr>
                <w:noProof/>
                <w:webHidden/>
              </w:rPr>
              <w:fldChar w:fldCharType="end"/>
            </w:r>
          </w:hyperlink>
        </w:p>
        <w:p w14:paraId="753A5521" w14:textId="3B777FE4" w:rsidR="008C330A" w:rsidRDefault="00F85A00">
          <w:pPr>
            <w:pStyle w:val="Verzeichnis1"/>
            <w:tabs>
              <w:tab w:val="left" w:pos="480"/>
              <w:tab w:val="right" w:leader="dot" w:pos="9344"/>
            </w:tabs>
            <w:rPr>
              <w:rFonts w:asciiTheme="minorHAnsi" w:eastAsiaTheme="minorEastAsia" w:hAnsiTheme="minorHAnsi"/>
              <w:noProof/>
              <w:kern w:val="2"/>
              <w:sz w:val="22"/>
              <w:lang w:eastAsia="de-DE"/>
              <w14:ligatures w14:val="standardContextual"/>
            </w:rPr>
          </w:pPr>
          <w:hyperlink w:anchor="_Toc146015314" w:history="1">
            <w:r w:rsidR="008C330A" w:rsidRPr="00860CB9">
              <w:rPr>
                <w:rStyle w:val="Hyperlink"/>
                <w:noProof/>
              </w:rPr>
              <w:t>4</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Definition des Katalysators nach Wilhelm Ostwald (1909)</w:t>
            </w:r>
            <w:r w:rsidR="008C330A">
              <w:rPr>
                <w:noProof/>
                <w:webHidden/>
              </w:rPr>
              <w:tab/>
            </w:r>
            <w:r w:rsidR="008C330A">
              <w:rPr>
                <w:noProof/>
                <w:webHidden/>
              </w:rPr>
              <w:fldChar w:fldCharType="begin"/>
            </w:r>
            <w:r w:rsidR="008C330A">
              <w:rPr>
                <w:noProof/>
                <w:webHidden/>
              </w:rPr>
              <w:instrText xml:space="preserve"> PAGEREF _Toc146015314 \h </w:instrText>
            </w:r>
            <w:r w:rsidR="008C330A">
              <w:rPr>
                <w:noProof/>
                <w:webHidden/>
              </w:rPr>
            </w:r>
            <w:r w:rsidR="008C330A">
              <w:rPr>
                <w:noProof/>
                <w:webHidden/>
              </w:rPr>
              <w:fldChar w:fldCharType="separate"/>
            </w:r>
            <w:r>
              <w:rPr>
                <w:noProof/>
                <w:webHidden/>
              </w:rPr>
              <w:t>6</w:t>
            </w:r>
            <w:r w:rsidR="008C330A">
              <w:rPr>
                <w:noProof/>
                <w:webHidden/>
              </w:rPr>
              <w:fldChar w:fldCharType="end"/>
            </w:r>
          </w:hyperlink>
        </w:p>
        <w:p w14:paraId="59E0B8D1" w14:textId="1EADF0B6" w:rsidR="008C330A" w:rsidRDefault="00F85A00">
          <w:pPr>
            <w:pStyle w:val="Verzeichnis1"/>
            <w:tabs>
              <w:tab w:val="left" w:pos="480"/>
              <w:tab w:val="right" w:leader="dot" w:pos="9344"/>
            </w:tabs>
            <w:rPr>
              <w:rFonts w:asciiTheme="minorHAnsi" w:eastAsiaTheme="minorEastAsia" w:hAnsiTheme="minorHAnsi"/>
              <w:noProof/>
              <w:kern w:val="2"/>
              <w:sz w:val="22"/>
              <w:lang w:eastAsia="de-DE"/>
              <w14:ligatures w14:val="standardContextual"/>
            </w:rPr>
          </w:pPr>
          <w:hyperlink w:anchor="_Toc146015315" w:history="1">
            <w:r w:rsidR="008C330A" w:rsidRPr="00860CB9">
              <w:rPr>
                <w:rStyle w:val="Hyperlink"/>
                <w:noProof/>
              </w:rPr>
              <w:t>5</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Katalysator-Typen</w:t>
            </w:r>
            <w:r w:rsidR="008C330A">
              <w:rPr>
                <w:noProof/>
                <w:webHidden/>
              </w:rPr>
              <w:tab/>
            </w:r>
            <w:r w:rsidR="008C330A">
              <w:rPr>
                <w:noProof/>
                <w:webHidden/>
              </w:rPr>
              <w:fldChar w:fldCharType="begin"/>
            </w:r>
            <w:r w:rsidR="008C330A">
              <w:rPr>
                <w:noProof/>
                <w:webHidden/>
              </w:rPr>
              <w:instrText xml:space="preserve"> PAGEREF _Toc146015315 \h </w:instrText>
            </w:r>
            <w:r w:rsidR="008C330A">
              <w:rPr>
                <w:noProof/>
                <w:webHidden/>
              </w:rPr>
            </w:r>
            <w:r w:rsidR="008C330A">
              <w:rPr>
                <w:noProof/>
                <w:webHidden/>
              </w:rPr>
              <w:fldChar w:fldCharType="separate"/>
            </w:r>
            <w:r>
              <w:rPr>
                <w:noProof/>
                <w:webHidden/>
              </w:rPr>
              <w:t>6</w:t>
            </w:r>
            <w:r w:rsidR="008C330A">
              <w:rPr>
                <w:noProof/>
                <w:webHidden/>
              </w:rPr>
              <w:fldChar w:fldCharType="end"/>
            </w:r>
          </w:hyperlink>
        </w:p>
        <w:p w14:paraId="1D1EFE13" w14:textId="7B6E5AB6" w:rsidR="008C330A" w:rsidRDefault="00F85A00">
          <w:pPr>
            <w:pStyle w:val="Verzeichnis2"/>
            <w:tabs>
              <w:tab w:val="left" w:pos="880"/>
              <w:tab w:val="right" w:leader="dot" w:pos="9344"/>
            </w:tabs>
            <w:rPr>
              <w:rFonts w:asciiTheme="minorHAnsi" w:eastAsiaTheme="minorEastAsia" w:hAnsiTheme="minorHAnsi"/>
              <w:noProof/>
              <w:kern w:val="2"/>
              <w:sz w:val="22"/>
              <w:lang w:eastAsia="de-DE"/>
              <w14:ligatures w14:val="standardContextual"/>
            </w:rPr>
          </w:pPr>
          <w:hyperlink w:anchor="_Toc146015316" w:history="1">
            <w:r w:rsidR="008C330A" w:rsidRPr="00860CB9">
              <w:rPr>
                <w:rStyle w:val="Hyperlink"/>
                <w:noProof/>
              </w:rPr>
              <w:t>5.1</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Heterogene Katalysatoren</w:t>
            </w:r>
            <w:r w:rsidR="008C330A">
              <w:rPr>
                <w:noProof/>
                <w:webHidden/>
              </w:rPr>
              <w:tab/>
            </w:r>
            <w:r w:rsidR="008C330A">
              <w:rPr>
                <w:noProof/>
                <w:webHidden/>
              </w:rPr>
              <w:fldChar w:fldCharType="begin"/>
            </w:r>
            <w:r w:rsidR="008C330A">
              <w:rPr>
                <w:noProof/>
                <w:webHidden/>
              </w:rPr>
              <w:instrText xml:space="preserve"> PAGEREF _Toc146015316 \h </w:instrText>
            </w:r>
            <w:r w:rsidR="008C330A">
              <w:rPr>
                <w:noProof/>
                <w:webHidden/>
              </w:rPr>
            </w:r>
            <w:r w:rsidR="008C330A">
              <w:rPr>
                <w:noProof/>
                <w:webHidden/>
              </w:rPr>
              <w:fldChar w:fldCharType="separate"/>
            </w:r>
            <w:r>
              <w:rPr>
                <w:noProof/>
                <w:webHidden/>
              </w:rPr>
              <w:t>7</w:t>
            </w:r>
            <w:r w:rsidR="008C330A">
              <w:rPr>
                <w:noProof/>
                <w:webHidden/>
              </w:rPr>
              <w:fldChar w:fldCharType="end"/>
            </w:r>
          </w:hyperlink>
        </w:p>
        <w:p w14:paraId="4905D1B4" w14:textId="79E202CB" w:rsidR="008C330A" w:rsidRDefault="00F85A00">
          <w:pPr>
            <w:pStyle w:val="Verzeichnis2"/>
            <w:tabs>
              <w:tab w:val="left" w:pos="880"/>
              <w:tab w:val="right" w:leader="dot" w:pos="9344"/>
            </w:tabs>
            <w:rPr>
              <w:rFonts w:asciiTheme="minorHAnsi" w:eastAsiaTheme="minorEastAsia" w:hAnsiTheme="minorHAnsi"/>
              <w:noProof/>
              <w:kern w:val="2"/>
              <w:sz w:val="22"/>
              <w:lang w:eastAsia="de-DE"/>
              <w14:ligatures w14:val="standardContextual"/>
            </w:rPr>
          </w:pPr>
          <w:hyperlink w:anchor="_Toc146015317" w:history="1">
            <w:r w:rsidR="008C330A" w:rsidRPr="00860CB9">
              <w:rPr>
                <w:rStyle w:val="Hyperlink"/>
                <w:noProof/>
              </w:rPr>
              <w:t>5.2</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Homogene Katalysatoren</w:t>
            </w:r>
            <w:r w:rsidR="008C330A">
              <w:rPr>
                <w:noProof/>
                <w:webHidden/>
              </w:rPr>
              <w:tab/>
            </w:r>
            <w:r w:rsidR="008C330A">
              <w:rPr>
                <w:noProof/>
                <w:webHidden/>
              </w:rPr>
              <w:fldChar w:fldCharType="begin"/>
            </w:r>
            <w:r w:rsidR="008C330A">
              <w:rPr>
                <w:noProof/>
                <w:webHidden/>
              </w:rPr>
              <w:instrText xml:space="preserve"> PAGEREF _Toc146015317 \h </w:instrText>
            </w:r>
            <w:r w:rsidR="008C330A">
              <w:rPr>
                <w:noProof/>
                <w:webHidden/>
              </w:rPr>
            </w:r>
            <w:r w:rsidR="008C330A">
              <w:rPr>
                <w:noProof/>
                <w:webHidden/>
              </w:rPr>
              <w:fldChar w:fldCharType="separate"/>
            </w:r>
            <w:r>
              <w:rPr>
                <w:noProof/>
                <w:webHidden/>
              </w:rPr>
              <w:t>7</w:t>
            </w:r>
            <w:r w:rsidR="008C330A">
              <w:rPr>
                <w:noProof/>
                <w:webHidden/>
              </w:rPr>
              <w:fldChar w:fldCharType="end"/>
            </w:r>
          </w:hyperlink>
        </w:p>
        <w:p w14:paraId="7F4AC612" w14:textId="76E3972A" w:rsidR="008C330A" w:rsidRDefault="00F85A00">
          <w:pPr>
            <w:pStyle w:val="Verzeichnis2"/>
            <w:tabs>
              <w:tab w:val="left" w:pos="880"/>
              <w:tab w:val="right" w:leader="dot" w:pos="9344"/>
            </w:tabs>
            <w:rPr>
              <w:rFonts w:asciiTheme="minorHAnsi" w:eastAsiaTheme="minorEastAsia" w:hAnsiTheme="minorHAnsi"/>
              <w:noProof/>
              <w:kern w:val="2"/>
              <w:sz w:val="22"/>
              <w:lang w:eastAsia="de-DE"/>
              <w14:ligatures w14:val="standardContextual"/>
            </w:rPr>
          </w:pPr>
          <w:hyperlink w:anchor="_Toc146015318" w:history="1">
            <w:r w:rsidR="008C330A" w:rsidRPr="00860CB9">
              <w:rPr>
                <w:rStyle w:val="Hyperlink"/>
                <w:noProof/>
              </w:rPr>
              <w:t>5.3</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Autokatalyse</w:t>
            </w:r>
            <w:r w:rsidR="008C330A">
              <w:rPr>
                <w:noProof/>
                <w:webHidden/>
              </w:rPr>
              <w:tab/>
            </w:r>
            <w:r w:rsidR="008C330A">
              <w:rPr>
                <w:noProof/>
                <w:webHidden/>
              </w:rPr>
              <w:fldChar w:fldCharType="begin"/>
            </w:r>
            <w:r w:rsidR="008C330A">
              <w:rPr>
                <w:noProof/>
                <w:webHidden/>
              </w:rPr>
              <w:instrText xml:space="preserve"> PAGEREF _Toc146015318 \h </w:instrText>
            </w:r>
            <w:r w:rsidR="008C330A">
              <w:rPr>
                <w:noProof/>
                <w:webHidden/>
              </w:rPr>
            </w:r>
            <w:r w:rsidR="008C330A">
              <w:rPr>
                <w:noProof/>
                <w:webHidden/>
              </w:rPr>
              <w:fldChar w:fldCharType="separate"/>
            </w:r>
            <w:r>
              <w:rPr>
                <w:noProof/>
                <w:webHidden/>
              </w:rPr>
              <w:t>8</w:t>
            </w:r>
            <w:r w:rsidR="008C330A">
              <w:rPr>
                <w:noProof/>
                <w:webHidden/>
              </w:rPr>
              <w:fldChar w:fldCharType="end"/>
            </w:r>
          </w:hyperlink>
        </w:p>
        <w:p w14:paraId="729D9F04" w14:textId="536CF146" w:rsidR="008C330A" w:rsidRDefault="00F85A00">
          <w:pPr>
            <w:pStyle w:val="Verzeichnis2"/>
            <w:tabs>
              <w:tab w:val="left" w:pos="880"/>
              <w:tab w:val="right" w:leader="dot" w:pos="9344"/>
            </w:tabs>
            <w:rPr>
              <w:rFonts w:asciiTheme="minorHAnsi" w:eastAsiaTheme="minorEastAsia" w:hAnsiTheme="minorHAnsi"/>
              <w:noProof/>
              <w:kern w:val="2"/>
              <w:sz w:val="22"/>
              <w:lang w:eastAsia="de-DE"/>
              <w14:ligatures w14:val="standardContextual"/>
            </w:rPr>
          </w:pPr>
          <w:hyperlink w:anchor="_Toc146015319" w:history="1">
            <w:r w:rsidR="008C330A" w:rsidRPr="00860CB9">
              <w:rPr>
                <w:rStyle w:val="Hyperlink"/>
                <w:noProof/>
              </w:rPr>
              <w:t>5.4</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Biokatalysatoren</w:t>
            </w:r>
            <w:r w:rsidR="008C330A">
              <w:rPr>
                <w:noProof/>
                <w:webHidden/>
              </w:rPr>
              <w:tab/>
            </w:r>
            <w:r w:rsidR="008C330A">
              <w:rPr>
                <w:noProof/>
                <w:webHidden/>
              </w:rPr>
              <w:fldChar w:fldCharType="begin"/>
            </w:r>
            <w:r w:rsidR="008C330A">
              <w:rPr>
                <w:noProof/>
                <w:webHidden/>
              </w:rPr>
              <w:instrText xml:space="preserve"> PAGEREF _Toc146015319 \h </w:instrText>
            </w:r>
            <w:r w:rsidR="008C330A">
              <w:rPr>
                <w:noProof/>
                <w:webHidden/>
              </w:rPr>
            </w:r>
            <w:r w:rsidR="008C330A">
              <w:rPr>
                <w:noProof/>
                <w:webHidden/>
              </w:rPr>
              <w:fldChar w:fldCharType="separate"/>
            </w:r>
            <w:r>
              <w:rPr>
                <w:noProof/>
                <w:webHidden/>
              </w:rPr>
              <w:t>9</w:t>
            </w:r>
            <w:r w:rsidR="008C330A">
              <w:rPr>
                <w:noProof/>
                <w:webHidden/>
              </w:rPr>
              <w:fldChar w:fldCharType="end"/>
            </w:r>
          </w:hyperlink>
        </w:p>
        <w:p w14:paraId="23EA4DAC" w14:textId="26B59F75" w:rsidR="008C330A" w:rsidRDefault="00F85A00">
          <w:pPr>
            <w:pStyle w:val="Verzeichnis1"/>
            <w:tabs>
              <w:tab w:val="left" w:pos="480"/>
              <w:tab w:val="right" w:leader="dot" w:pos="9344"/>
            </w:tabs>
            <w:rPr>
              <w:rFonts w:asciiTheme="minorHAnsi" w:eastAsiaTheme="minorEastAsia" w:hAnsiTheme="minorHAnsi"/>
              <w:noProof/>
              <w:kern w:val="2"/>
              <w:sz w:val="22"/>
              <w:lang w:eastAsia="de-DE"/>
              <w14:ligatures w14:val="standardContextual"/>
            </w:rPr>
          </w:pPr>
          <w:hyperlink w:anchor="_Toc146015320" w:history="1">
            <w:r w:rsidR="008C330A" w:rsidRPr="00860CB9">
              <w:rPr>
                <w:rStyle w:val="Hyperlink"/>
                <w:noProof/>
              </w:rPr>
              <w:t>6</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Ausgewählte Anwendungsbeispiele</w:t>
            </w:r>
            <w:r w:rsidR="008C330A">
              <w:rPr>
                <w:noProof/>
                <w:webHidden/>
              </w:rPr>
              <w:tab/>
            </w:r>
            <w:r w:rsidR="008C330A">
              <w:rPr>
                <w:noProof/>
                <w:webHidden/>
              </w:rPr>
              <w:fldChar w:fldCharType="begin"/>
            </w:r>
            <w:r w:rsidR="008C330A">
              <w:rPr>
                <w:noProof/>
                <w:webHidden/>
              </w:rPr>
              <w:instrText xml:space="preserve"> PAGEREF _Toc146015320 \h </w:instrText>
            </w:r>
            <w:r w:rsidR="008C330A">
              <w:rPr>
                <w:noProof/>
                <w:webHidden/>
              </w:rPr>
            </w:r>
            <w:r w:rsidR="008C330A">
              <w:rPr>
                <w:noProof/>
                <w:webHidden/>
              </w:rPr>
              <w:fldChar w:fldCharType="separate"/>
            </w:r>
            <w:r>
              <w:rPr>
                <w:noProof/>
                <w:webHidden/>
              </w:rPr>
              <w:t>10</w:t>
            </w:r>
            <w:r w:rsidR="008C330A">
              <w:rPr>
                <w:noProof/>
                <w:webHidden/>
              </w:rPr>
              <w:fldChar w:fldCharType="end"/>
            </w:r>
          </w:hyperlink>
        </w:p>
        <w:p w14:paraId="6EB284A4" w14:textId="0F5404B1" w:rsidR="008C330A" w:rsidRDefault="00F85A00">
          <w:pPr>
            <w:pStyle w:val="Verzeichnis2"/>
            <w:tabs>
              <w:tab w:val="left" w:pos="880"/>
              <w:tab w:val="right" w:leader="dot" w:pos="9344"/>
            </w:tabs>
            <w:rPr>
              <w:rFonts w:asciiTheme="minorHAnsi" w:eastAsiaTheme="minorEastAsia" w:hAnsiTheme="minorHAnsi"/>
              <w:noProof/>
              <w:kern w:val="2"/>
              <w:sz w:val="22"/>
              <w:lang w:eastAsia="de-DE"/>
              <w14:ligatures w14:val="standardContextual"/>
            </w:rPr>
          </w:pPr>
          <w:hyperlink w:anchor="_Toc146015321" w:history="1">
            <w:r w:rsidR="008C330A" w:rsidRPr="00860CB9">
              <w:rPr>
                <w:rStyle w:val="Hyperlink"/>
                <w:noProof/>
              </w:rPr>
              <w:t>6.1</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Ammoniak-Synthese nach dem Haber-Bosch-Verfahren</w:t>
            </w:r>
            <w:r w:rsidR="008C330A">
              <w:rPr>
                <w:noProof/>
                <w:webHidden/>
              </w:rPr>
              <w:tab/>
            </w:r>
            <w:r w:rsidR="008C330A">
              <w:rPr>
                <w:noProof/>
                <w:webHidden/>
              </w:rPr>
              <w:fldChar w:fldCharType="begin"/>
            </w:r>
            <w:r w:rsidR="008C330A">
              <w:rPr>
                <w:noProof/>
                <w:webHidden/>
              </w:rPr>
              <w:instrText xml:space="preserve"> PAGEREF _Toc146015321 \h </w:instrText>
            </w:r>
            <w:r w:rsidR="008C330A">
              <w:rPr>
                <w:noProof/>
                <w:webHidden/>
              </w:rPr>
            </w:r>
            <w:r w:rsidR="008C330A">
              <w:rPr>
                <w:noProof/>
                <w:webHidden/>
              </w:rPr>
              <w:fldChar w:fldCharType="separate"/>
            </w:r>
            <w:r>
              <w:rPr>
                <w:noProof/>
                <w:webHidden/>
              </w:rPr>
              <w:t>10</w:t>
            </w:r>
            <w:r w:rsidR="008C330A">
              <w:rPr>
                <w:noProof/>
                <w:webHidden/>
              </w:rPr>
              <w:fldChar w:fldCharType="end"/>
            </w:r>
          </w:hyperlink>
        </w:p>
        <w:p w14:paraId="51977A84" w14:textId="5A0477D9" w:rsidR="008C330A" w:rsidRDefault="00F85A00">
          <w:pPr>
            <w:pStyle w:val="Verzeichnis2"/>
            <w:tabs>
              <w:tab w:val="left" w:pos="880"/>
              <w:tab w:val="right" w:leader="dot" w:pos="9344"/>
            </w:tabs>
            <w:rPr>
              <w:rFonts w:asciiTheme="minorHAnsi" w:eastAsiaTheme="minorEastAsia" w:hAnsiTheme="minorHAnsi"/>
              <w:noProof/>
              <w:kern w:val="2"/>
              <w:sz w:val="22"/>
              <w:lang w:eastAsia="de-DE"/>
              <w14:ligatures w14:val="standardContextual"/>
            </w:rPr>
          </w:pPr>
          <w:hyperlink w:anchor="_Toc146015322" w:history="1">
            <w:r w:rsidR="008C330A" w:rsidRPr="00860CB9">
              <w:rPr>
                <w:rStyle w:val="Hyperlink"/>
                <w:noProof/>
              </w:rPr>
              <w:t>6.2</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Cracken von langkettigen Kohlenwasserstoffen</w:t>
            </w:r>
            <w:r w:rsidR="008C330A">
              <w:rPr>
                <w:noProof/>
                <w:webHidden/>
              </w:rPr>
              <w:tab/>
            </w:r>
            <w:r w:rsidR="008C330A">
              <w:rPr>
                <w:noProof/>
                <w:webHidden/>
              </w:rPr>
              <w:fldChar w:fldCharType="begin"/>
            </w:r>
            <w:r w:rsidR="008C330A">
              <w:rPr>
                <w:noProof/>
                <w:webHidden/>
              </w:rPr>
              <w:instrText xml:space="preserve"> PAGEREF _Toc146015322 \h </w:instrText>
            </w:r>
            <w:r w:rsidR="008C330A">
              <w:rPr>
                <w:noProof/>
                <w:webHidden/>
              </w:rPr>
            </w:r>
            <w:r w:rsidR="008C330A">
              <w:rPr>
                <w:noProof/>
                <w:webHidden/>
              </w:rPr>
              <w:fldChar w:fldCharType="separate"/>
            </w:r>
            <w:r>
              <w:rPr>
                <w:noProof/>
                <w:webHidden/>
              </w:rPr>
              <w:t>11</w:t>
            </w:r>
            <w:r w:rsidR="008C330A">
              <w:rPr>
                <w:noProof/>
                <w:webHidden/>
              </w:rPr>
              <w:fldChar w:fldCharType="end"/>
            </w:r>
          </w:hyperlink>
        </w:p>
        <w:p w14:paraId="3B440C5F" w14:textId="79DB02AD" w:rsidR="008C330A" w:rsidRDefault="00F85A00">
          <w:pPr>
            <w:pStyle w:val="Verzeichnis2"/>
            <w:tabs>
              <w:tab w:val="left" w:pos="880"/>
              <w:tab w:val="right" w:leader="dot" w:pos="9344"/>
            </w:tabs>
            <w:rPr>
              <w:rFonts w:asciiTheme="minorHAnsi" w:eastAsiaTheme="minorEastAsia" w:hAnsiTheme="minorHAnsi"/>
              <w:noProof/>
              <w:kern w:val="2"/>
              <w:sz w:val="22"/>
              <w:lang w:eastAsia="de-DE"/>
              <w14:ligatures w14:val="standardContextual"/>
            </w:rPr>
          </w:pPr>
          <w:hyperlink w:anchor="_Toc146015323" w:history="1">
            <w:r w:rsidR="008C330A" w:rsidRPr="00860CB9">
              <w:rPr>
                <w:rStyle w:val="Hyperlink"/>
                <w:noProof/>
              </w:rPr>
              <w:t>6.3</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Niederdruck Ethylenpolymerisation</w:t>
            </w:r>
            <w:r w:rsidR="008C330A">
              <w:rPr>
                <w:noProof/>
                <w:webHidden/>
              </w:rPr>
              <w:tab/>
            </w:r>
            <w:r w:rsidR="008C330A">
              <w:rPr>
                <w:noProof/>
                <w:webHidden/>
              </w:rPr>
              <w:fldChar w:fldCharType="begin"/>
            </w:r>
            <w:r w:rsidR="008C330A">
              <w:rPr>
                <w:noProof/>
                <w:webHidden/>
              </w:rPr>
              <w:instrText xml:space="preserve"> PAGEREF _Toc146015323 \h </w:instrText>
            </w:r>
            <w:r w:rsidR="008C330A">
              <w:rPr>
                <w:noProof/>
                <w:webHidden/>
              </w:rPr>
            </w:r>
            <w:r w:rsidR="008C330A">
              <w:rPr>
                <w:noProof/>
                <w:webHidden/>
              </w:rPr>
              <w:fldChar w:fldCharType="separate"/>
            </w:r>
            <w:r>
              <w:rPr>
                <w:noProof/>
                <w:webHidden/>
              </w:rPr>
              <w:t>12</w:t>
            </w:r>
            <w:r w:rsidR="008C330A">
              <w:rPr>
                <w:noProof/>
                <w:webHidden/>
              </w:rPr>
              <w:fldChar w:fldCharType="end"/>
            </w:r>
          </w:hyperlink>
        </w:p>
        <w:p w14:paraId="3C9B5A00" w14:textId="1C78DC55" w:rsidR="008C330A" w:rsidRDefault="00F85A00">
          <w:pPr>
            <w:pStyle w:val="Verzeichnis1"/>
            <w:tabs>
              <w:tab w:val="left" w:pos="480"/>
              <w:tab w:val="right" w:leader="dot" w:pos="9344"/>
            </w:tabs>
            <w:rPr>
              <w:rFonts w:asciiTheme="minorHAnsi" w:eastAsiaTheme="minorEastAsia" w:hAnsiTheme="minorHAnsi"/>
              <w:noProof/>
              <w:kern w:val="2"/>
              <w:sz w:val="22"/>
              <w:lang w:eastAsia="de-DE"/>
              <w14:ligatures w14:val="standardContextual"/>
            </w:rPr>
          </w:pPr>
          <w:hyperlink w:anchor="_Toc146015324" w:history="1">
            <w:r w:rsidR="008C330A" w:rsidRPr="00860CB9">
              <w:rPr>
                <w:rStyle w:val="Hyperlink"/>
                <w:noProof/>
              </w:rPr>
              <w:t>7</w:t>
            </w:r>
            <w:r w:rsidR="008C330A">
              <w:rPr>
                <w:rFonts w:asciiTheme="minorHAnsi" w:eastAsiaTheme="minorEastAsia" w:hAnsiTheme="minorHAnsi"/>
                <w:noProof/>
                <w:kern w:val="2"/>
                <w:sz w:val="22"/>
                <w:lang w:eastAsia="de-DE"/>
                <w14:ligatures w14:val="standardContextual"/>
              </w:rPr>
              <w:tab/>
            </w:r>
            <w:r w:rsidR="008C330A" w:rsidRPr="00860CB9">
              <w:rPr>
                <w:rStyle w:val="Hyperlink"/>
                <w:noProof/>
              </w:rPr>
              <w:t>Der Wilkinson-Katalysator</w:t>
            </w:r>
            <w:r w:rsidR="008C330A">
              <w:rPr>
                <w:noProof/>
                <w:webHidden/>
              </w:rPr>
              <w:tab/>
            </w:r>
            <w:r w:rsidR="008C330A">
              <w:rPr>
                <w:noProof/>
                <w:webHidden/>
              </w:rPr>
              <w:fldChar w:fldCharType="begin"/>
            </w:r>
            <w:r w:rsidR="008C330A">
              <w:rPr>
                <w:noProof/>
                <w:webHidden/>
              </w:rPr>
              <w:instrText xml:space="preserve"> PAGEREF _Toc146015324 \h </w:instrText>
            </w:r>
            <w:r w:rsidR="008C330A">
              <w:rPr>
                <w:noProof/>
                <w:webHidden/>
              </w:rPr>
            </w:r>
            <w:r w:rsidR="008C330A">
              <w:rPr>
                <w:noProof/>
                <w:webHidden/>
              </w:rPr>
              <w:fldChar w:fldCharType="separate"/>
            </w:r>
            <w:r>
              <w:rPr>
                <w:noProof/>
                <w:webHidden/>
              </w:rPr>
              <w:t>13</w:t>
            </w:r>
            <w:r w:rsidR="008C330A">
              <w:rPr>
                <w:noProof/>
                <w:webHidden/>
              </w:rPr>
              <w:fldChar w:fldCharType="end"/>
            </w:r>
          </w:hyperlink>
        </w:p>
        <w:p w14:paraId="5AC765BB" w14:textId="2ED88266" w:rsidR="009B4835" w:rsidRDefault="009B4835">
          <w:r>
            <w:rPr>
              <w:b/>
              <w:bCs/>
            </w:rPr>
            <w:fldChar w:fldCharType="end"/>
          </w:r>
        </w:p>
      </w:sdtContent>
    </w:sdt>
    <w:p w14:paraId="06CE8F08" w14:textId="600AA4B7" w:rsidR="00FD7888" w:rsidRDefault="00FD7888" w:rsidP="00FD7888">
      <w:pPr>
        <w:pStyle w:val="EinstiegAbschluss"/>
      </w:pPr>
      <w:bookmarkStart w:id="1" w:name="_Überschrift_1"/>
      <w:bookmarkEnd w:id="1"/>
      <w:r w:rsidRPr="008903E1">
        <w:rPr>
          <w:rStyle w:val="Fett"/>
        </w:rPr>
        <w:t>Einstieg</w:t>
      </w:r>
      <w:r w:rsidR="008903E1" w:rsidRPr="008903E1">
        <w:rPr>
          <w:rStyle w:val="Fett"/>
        </w:rPr>
        <w:t xml:space="preserve"> 1</w:t>
      </w:r>
      <w:r>
        <w:t>:</w:t>
      </w:r>
    </w:p>
    <w:p w14:paraId="135DF466" w14:textId="7A503265" w:rsidR="008903E1" w:rsidRPr="008903E1" w:rsidRDefault="008903E1" w:rsidP="00FD7888">
      <w:pPr>
        <w:pStyle w:val="EinstiegAbschluss"/>
      </w:pPr>
      <w:r>
        <w:rPr>
          <w:rStyle w:val="Fett"/>
        </w:rPr>
        <w:t>Vorbereitung</w:t>
      </w:r>
      <w:r w:rsidRPr="008903E1">
        <w:t>:</w:t>
      </w:r>
      <w:r>
        <w:t xml:space="preserve"> </w:t>
      </w:r>
      <w:r>
        <w:rPr>
          <w:rFonts w:cs="Arial"/>
        </w:rPr>
        <w:t>2 Luftballons wurden mit Wasserstoff-Gas gefüllt und jeweils an einem Stativ befestigt. Anschließend wurde auf jeden Ballon ein Stück Paket-Klebeband (ca. 4 cm x 4 cm) geklebt. Diese Präparation macht es möglich, dass die Ballons durch das Paket-Klebeband hindurch mit einer Nadel angestochen werden können, ohne da</w:t>
      </w:r>
      <w:r w:rsidR="00600D54">
        <w:rPr>
          <w:rFonts w:cs="Arial"/>
        </w:rPr>
        <w:t>s</w:t>
      </w:r>
      <w:r>
        <w:rPr>
          <w:rFonts w:cs="Arial"/>
        </w:rPr>
        <w:t>s der Luftballon platzt.</w:t>
      </w:r>
    </w:p>
    <w:p w14:paraId="1C2E6995" w14:textId="43DD2601" w:rsidR="008903E1" w:rsidRPr="008903E1" w:rsidRDefault="008903E1" w:rsidP="00FD7888">
      <w:pPr>
        <w:pStyle w:val="EinstiegAbschluss"/>
      </w:pPr>
      <w:r>
        <w:rPr>
          <w:rFonts w:cs="Arial"/>
        </w:rPr>
        <w:t>An einer ca. 1 m langen Stange wird ein kleines Stück Platin-Schwamm befestigt. Dieser wird unmittelbar vor dem Versuch ausgeglüht.</w:t>
      </w:r>
    </w:p>
    <w:p w14:paraId="2A70C705" w14:textId="21172CB6" w:rsidR="008903E1" w:rsidRPr="008903E1" w:rsidRDefault="008903E1" w:rsidP="00FD7888">
      <w:pPr>
        <w:pStyle w:val="EinstiegAbschluss"/>
      </w:pPr>
      <w:r w:rsidRPr="008903E1">
        <w:rPr>
          <w:rStyle w:val="Fett"/>
        </w:rPr>
        <w:t>Durchführung</w:t>
      </w:r>
      <w:r>
        <w:rPr>
          <w:rFonts w:cs="Arial"/>
        </w:rPr>
        <w:t>: Der erste Ballon wird mit einer Nadel angestochen. In das ausströmende Wasserstoff-Gas wird eine brennende Kerzen-Flamme gehalten.</w:t>
      </w:r>
    </w:p>
    <w:p w14:paraId="1607D10D" w14:textId="111B1212" w:rsidR="008903E1" w:rsidRPr="008903E1" w:rsidRDefault="008903E1" w:rsidP="00FD7888">
      <w:pPr>
        <w:pStyle w:val="EinstiegAbschluss"/>
      </w:pPr>
      <w:r w:rsidRPr="008903E1">
        <w:rPr>
          <w:rStyle w:val="Fett"/>
        </w:rPr>
        <w:t>Beobachtung</w:t>
      </w:r>
      <w:r>
        <w:rPr>
          <w:rFonts w:cs="Arial"/>
        </w:rPr>
        <w:t>: Der Wasserstoff entzündet sich an der Flamme.</w:t>
      </w:r>
    </w:p>
    <w:p w14:paraId="5690E8BF" w14:textId="22D11D3C" w:rsidR="008903E1" w:rsidRPr="008903E1" w:rsidRDefault="008903E1" w:rsidP="00FD7888">
      <w:pPr>
        <w:pStyle w:val="EinstiegAbschluss"/>
      </w:pPr>
      <w:r>
        <w:rPr>
          <w:rStyle w:val="Fett"/>
        </w:rPr>
        <w:t>„Die elegantere Entzündung“</w:t>
      </w:r>
      <w:r w:rsidRPr="008903E1">
        <w:t>:</w:t>
      </w:r>
      <w:r>
        <w:t xml:space="preserve"> </w:t>
      </w:r>
      <w:r>
        <w:rPr>
          <w:rFonts w:cs="Arial"/>
        </w:rPr>
        <w:t>Der zweite Ballon wird ebenfalls mit einer Nadel angestochen. Diesmal wird allerdings nur der Platin-Schwamm vor die entstandene Öffnung gehalten.</w:t>
      </w:r>
    </w:p>
    <w:p w14:paraId="357D9733" w14:textId="7D31AFB9" w:rsidR="008903E1" w:rsidRDefault="008903E1" w:rsidP="008A779C">
      <w:pPr>
        <w:pStyle w:val="EinstiegAbschluss"/>
      </w:pPr>
      <w:r>
        <w:rPr>
          <w:rStyle w:val="Fett"/>
        </w:rPr>
        <w:t>Beobachtung:</w:t>
      </w:r>
      <w:r>
        <w:t xml:space="preserve"> </w:t>
      </w:r>
      <w:r>
        <w:rPr>
          <w:rFonts w:cs="Arial"/>
        </w:rPr>
        <w:t>Der Platin-Schwamm beginnt zu glühen und schließlich entzündet sich der Wasserstoff</w:t>
      </w:r>
      <w:r w:rsidR="00600D54" w:rsidRPr="00600D54">
        <w:rPr>
          <w:rFonts w:cs="Arial"/>
        </w:rPr>
        <w:t xml:space="preserve"> </w:t>
      </w:r>
      <w:r w:rsidR="00600D54">
        <w:rPr>
          <w:rFonts w:cs="Arial"/>
        </w:rPr>
        <w:t>ebenfalls</w:t>
      </w:r>
      <w:r>
        <w:rPr>
          <w:rFonts w:cs="Arial"/>
        </w:rPr>
        <w:t>.</w:t>
      </w:r>
      <w:r w:rsidR="008A779C">
        <w:t xml:space="preserve"> Die Erklärung für den Vorgang liefert dieser Beitrag.</w:t>
      </w:r>
    </w:p>
    <w:p w14:paraId="075DA6B9" w14:textId="1493C0E0" w:rsidR="008903E1" w:rsidRPr="008903E1" w:rsidRDefault="008903E1" w:rsidP="00FD7888">
      <w:pPr>
        <w:pStyle w:val="EinstiegAbschluss"/>
      </w:pPr>
      <w:r w:rsidRPr="008903E1">
        <w:rPr>
          <w:rStyle w:val="Fett"/>
        </w:rPr>
        <w:lastRenderedPageBreak/>
        <w:t>Einstieg 2</w:t>
      </w:r>
      <w:r>
        <w:t xml:space="preserve">: </w:t>
      </w:r>
      <w:r>
        <w:rPr>
          <w:rFonts w:cs="Arial"/>
        </w:rPr>
        <w:t>Beim Einkauf im Supermarkt stehen immer häufiger Produkte in den Regalen mit der besonderen Bezeichnung: "Lactose-/</w:t>
      </w:r>
      <w:proofErr w:type="spellStart"/>
      <w:r>
        <w:rPr>
          <w:rFonts w:cs="Arial"/>
        </w:rPr>
        <w:t>Fructosefrei</w:t>
      </w:r>
      <w:proofErr w:type="spellEnd"/>
      <w:r>
        <w:rPr>
          <w:rFonts w:cs="Arial"/>
        </w:rPr>
        <w:t xml:space="preserve">". Diese besonderen Eigenschaften der Produkte zielen vor allem auf bestimmte Teile der Bevölkerung ab, die aufgrund genetisch bedingter Krankheiten eine Unterfunktion bestimmter </w:t>
      </w:r>
      <w:r>
        <w:rPr>
          <w:rFonts w:cs="Arial"/>
          <w:b/>
          <w:bCs/>
        </w:rPr>
        <w:t>Enzyme</w:t>
      </w:r>
      <w:r>
        <w:rPr>
          <w:rFonts w:cs="Arial"/>
        </w:rPr>
        <w:t xml:space="preserve"> oder gar völliges Fehlen von Enzymen aufweisen. Diese Menschen besitzen eine Intoleranz gegenüber Stoffen, die in Lebensmitteln enthalten sind.</w:t>
      </w:r>
    </w:p>
    <w:p w14:paraId="035B0D06" w14:textId="66F098A0" w:rsidR="008903E1" w:rsidRPr="008903E1" w:rsidRDefault="008903E1" w:rsidP="00FD7888">
      <w:pPr>
        <w:pStyle w:val="EinstiegAbschluss"/>
      </w:pPr>
      <w:r>
        <w:rPr>
          <w:rFonts w:cs="Arial"/>
        </w:rPr>
        <w:t xml:space="preserve">Ein immer bekannter werdendes Beispiel dieser </w:t>
      </w:r>
      <w:proofErr w:type="spellStart"/>
      <w:r>
        <w:rPr>
          <w:rFonts w:cs="Arial"/>
        </w:rPr>
        <w:t>Intoleranzen</w:t>
      </w:r>
      <w:proofErr w:type="spellEnd"/>
      <w:r>
        <w:rPr>
          <w:rFonts w:cs="Arial"/>
        </w:rPr>
        <w:t xml:space="preserve"> ist die Lactose-Intoleranz. Die Menschen mit dieser Intoleranz besitzen kaum oder nur wenig des Enzyms </w:t>
      </w:r>
      <w:proofErr w:type="spellStart"/>
      <w:r>
        <w:rPr>
          <w:rFonts w:cs="Arial"/>
        </w:rPr>
        <w:t>Lactase</w:t>
      </w:r>
      <w:proofErr w:type="spellEnd"/>
      <w:r>
        <w:rPr>
          <w:rFonts w:cs="Arial"/>
        </w:rPr>
        <w:t>, was bei Verzehr von Milch-Produkten zu bestimmten Krankheitssymptomen führt.</w:t>
      </w:r>
    </w:p>
    <w:p w14:paraId="371C2E35" w14:textId="0D6D5739" w:rsidR="008903E1" w:rsidRPr="007A4AAE" w:rsidRDefault="008903E1" w:rsidP="00FD7888">
      <w:pPr>
        <w:pStyle w:val="EinstiegAbschluss"/>
      </w:pPr>
      <w:r>
        <w:rPr>
          <w:rFonts w:cs="Arial"/>
        </w:rPr>
        <w:t xml:space="preserve">Enzyme, wie die </w:t>
      </w:r>
      <w:proofErr w:type="spellStart"/>
      <w:r>
        <w:rPr>
          <w:rFonts w:cs="Arial"/>
        </w:rPr>
        <w:t>Lactase</w:t>
      </w:r>
      <w:proofErr w:type="spellEnd"/>
      <w:r>
        <w:rPr>
          <w:rFonts w:cs="Arial"/>
        </w:rPr>
        <w:t xml:space="preserve"> sind eine besondere Form der </w:t>
      </w:r>
      <w:r>
        <w:rPr>
          <w:rFonts w:cs="Arial"/>
          <w:b/>
          <w:bCs/>
        </w:rPr>
        <w:t>Katalysatoren</w:t>
      </w:r>
      <w:r>
        <w:rPr>
          <w:rFonts w:cs="Arial"/>
        </w:rPr>
        <w:t xml:space="preserve">, die bestimmte Reaktionen </w:t>
      </w:r>
      <w:r>
        <w:rPr>
          <w:rFonts w:cs="Arial"/>
          <w:b/>
          <w:bCs/>
        </w:rPr>
        <w:t>katalysieren</w:t>
      </w:r>
      <w:r>
        <w:rPr>
          <w:rFonts w:cs="Arial"/>
        </w:rPr>
        <w:t>.</w:t>
      </w:r>
    </w:p>
    <w:p w14:paraId="0E9358B5" w14:textId="66107AF0" w:rsidR="00CD07AE" w:rsidRDefault="007A4AAE" w:rsidP="008A779C">
      <w:pPr>
        <w:pStyle w:val="EinstiegAbschluss"/>
      </w:pPr>
      <w:r w:rsidRPr="007A4AAE">
        <w:rPr>
          <w:rFonts w:cs="Arial"/>
          <w:b/>
        </w:rPr>
        <w:t>Einstieg 3:</w:t>
      </w:r>
      <w:r>
        <w:rPr>
          <w:rFonts w:cs="Arial"/>
        </w:rPr>
        <w:t xml:space="preserve"> </w:t>
      </w:r>
      <w:r w:rsidR="00CD07AE">
        <w:t xml:space="preserve">Jeder kennt es: Freitagnachmittag und man steht im Labor. Als Student möchte man das Wochenende einleiten. Doch man soll Wasserstoffperoxid zersetzen. Allerdings ist Wasserstoffperoxid eine metastabile Verbindung und braucht mehrere Tage bis Wochen bis es sich zersetzt. So lange kann und möchte man nicht warten. Also schlägt man im Chemieskript nach. Dieses meint man solle </w:t>
      </w:r>
      <w:r w:rsidR="008C330A" w:rsidRPr="0033225B">
        <w:t>Braunstein</w:t>
      </w:r>
      <w:r w:rsidR="00CD07AE" w:rsidRPr="0033225B">
        <w:t xml:space="preserve"> </w:t>
      </w:r>
      <w:r w:rsidR="000B26EB">
        <w:t>(MnO</w:t>
      </w:r>
      <w:r w:rsidR="000B26EB">
        <w:rPr>
          <w:vertAlign w:val="subscript"/>
        </w:rPr>
        <w:t>2</w:t>
      </w:r>
      <w:r w:rsidR="000B26EB">
        <w:t xml:space="preserve">) </w:t>
      </w:r>
      <w:r w:rsidR="00CD07AE">
        <w:t>hinz</w:t>
      </w:r>
      <w:r w:rsidR="00CD07AE" w:rsidRPr="0033225B">
        <w:t>ug</w:t>
      </w:r>
      <w:r w:rsidR="00CD07AE">
        <w:t>eben. Nach der Zugabe fängt das Wasserstoffperoxid an zu sprudeln und warm zu werden</w:t>
      </w:r>
      <w:r w:rsidR="008A779C">
        <w:t>, es</w:t>
      </w:r>
      <w:r w:rsidR="00CD07AE">
        <w:t xml:space="preserve"> wird zersetzt. </w:t>
      </w:r>
      <w:r w:rsidR="00F17A3B">
        <w:t xml:space="preserve">Braunstein wirkt als Katalysator. </w:t>
      </w:r>
    </w:p>
    <w:p w14:paraId="3D51DEDA" w14:textId="0C1F79AF" w:rsidR="00E8473B" w:rsidRDefault="008903E1" w:rsidP="008A524D">
      <w:pPr>
        <w:pStyle w:val="berschrift1"/>
      </w:pPr>
      <w:bookmarkStart w:id="2" w:name="_Toc146015311"/>
      <w:r>
        <w:t>Daten aus der Geschichte der Katalyse</w:t>
      </w:r>
      <w:bookmarkEnd w:id="2"/>
    </w:p>
    <w:p w14:paraId="0C6D6DBD" w14:textId="75E3D08C" w:rsidR="008903E1" w:rsidRPr="000B26EB" w:rsidRDefault="008903E1" w:rsidP="008903E1">
      <w:r>
        <w:rPr>
          <w:rFonts w:cs="Arial"/>
        </w:rPr>
        <w:t>Das Phänomen der Katalyse ist schon seit langer Zeit bekannt. Bereits in der Antike wusste man, dass es möglich war</w:t>
      </w:r>
      <w:r w:rsidR="008A779C">
        <w:rPr>
          <w:rFonts w:cs="Arial"/>
        </w:rPr>
        <w:t>,</w:t>
      </w:r>
      <w:r>
        <w:rPr>
          <w:rFonts w:cs="Arial"/>
        </w:rPr>
        <w:t xml:space="preserve"> durch den Prozess der alkoholischen Gärung aus Zucker Ethanol zu synthetisieren. Auch die Essigsäure-Herstellung war in der damaligen Zeit nichts Neues gewesen. </w:t>
      </w:r>
      <w:r w:rsidR="0033225B">
        <w:rPr>
          <w:rFonts w:cs="Arial"/>
        </w:rPr>
        <w:t xml:space="preserve">Der Mechanismus der Katalyse </w:t>
      </w:r>
      <w:r w:rsidR="00044C51">
        <w:rPr>
          <w:rFonts w:cs="Arial"/>
        </w:rPr>
        <w:t xml:space="preserve">wurde </w:t>
      </w:r>
      <w:r w:rsidR="0033225B">
        <w:rPr>
          <w:rFonts w:cs="Arial"/>
        </w:rPr>
        <w:t xml:space="preserve">bereits damals zur </w:t>
      </w:r>
      <w:r w:rsidR="000B26EB">
        <w:rPr>
          <w:rFonts w:cs="Arial"/>
        </w:rPr>
        <w:t>An</w:t>
      </w:r>
      <w:r w:rsidR="0033225B">
        <w:rPr>
          <w:rFonts w:cs="Arial"/>
        </w:rPr>
        <w:t>wendung</w:t>
      </w:r>
      <w:r w:rsidR="00044C51">
        <w:rPr>
          <w:rFonts w:cs="Arial"/>
        </w:rPr>
        <w:t xml:space="preserve"> gebracht</w:t>
      </w:r>
      <w:r w:rsidR="0033225B">
        <w:rPr>
          <w:rFonts w:cs="Arial"/>
        </w:rPr>
        <w:t>, allerdings kannte man weder das Prinzip</w:t>
      </w:r>
      <w:r w:rsidR="000B26EB">
        <w:rPr>
          <w:rFonts w:cs="Arial"/>
        </w:rPr>
        <w:t>,</w:t>
      </w:r>
      <w:r w:rsidR="0033225B">
        <w:rPr>
          <w:rFonts w:cs="Arial"/>
        </w:rPr>
        <w:t xml:space="preserve"> </w:t>
      </w:r>
      <w:r w:rsidR="000B26EB">
        <w:rPr>
          <w:rFonts w:cs="Arial"/>
        </w:rPr>
        <w:t>noch</w:t>
      </w:r>
      <w:r w:rsidR="00044C51">
        <w:rPr>
          <w:rFonts w:cs="Arial"/>
        </w:rPr>
        <w:t xml:space="preserve"> den Reaktions</w:t>
      </w:r>
      <w:r w:rsidR="00044C51" w:rsidRPr="000B26EB">
        <w:t xml:space="preserve">verlauf. </w:t>
      </w:r>
    </w:p>
    <w:p w14:paraId="228B7B45" w14:textId="7F035468" w:rsidR="008903E1" w:rsidRDefault="008903E1" w:rsidP="008903E1">
      <w:pPr>
        <w:rPr>
          <w:rFonts w:cs="Arial"/>
        </w:rPr>
      </w:pPr>
      <w:r>
        <w:rPr>
          <w:rFonts w:cs="Arial"/>
        </w:rPr>
        <w:t>Erst vor etwa zwei Jahrhunderten begannen Forscher die Katalyse wissenschaftlich zu durchleuchten:</w:t>
      </w:r>
    </w:p>
    <w:p w14:paraId="3DCA2838" w14:textId="77777777" w:rsidR="00CE61D3" w:rsidRDefault="00CE61D3" w:rsidP="008903E1">
      <w:pPr>
        <w:rPr>
          <w:rFonts w:cs="Arial"/>
        </w:rPr>
      </w:pPr>
    </w:p>
    <w:tbl>
      <w:tblPr>
        <w:tblStyle w:val="Tabellenraster"/>
        <w:tblW w:w="0" w:type="auto"/>
        <w:jc w:val="center"/>
        <w:tblLook w:val="04A0" w:firstRow="1" w:lastRow="0" w:firstColumn="1" w:lastColumn="0" w:noHBand="0" w:noVBand="1"/>
      </w:tblPr>
      <w:tblGrid>
        <w:gridCol w:w="6236"/>
        <w:gridCol w:w="2138"/>
      </w:tblGrid>
      <w:tr w:rsidR="004E3BA1" w:rsidRPr="00CE61D3" w14:paraId="0E488E56" w14:textId="77777777" w:rsidTr="00CE61D3">
        <w:trPr>
          <w:jc w:val="center"/>
        </w:trPr>
        <w:tc>
          <w:tcPr>
            <w:tcW w:w="6236" w:type="dxa"/>
            <w:shd w:val="clear" w:color="auto" w:fill="C7C7C7" w:themeFill="background2" w:themeFillShade="E6"/>
          </w:tcPr>
          <w:p w14:paraId="74E34533" w14:textId="13908FAB" w:rsidR="004E3BA1" w:rsidRPr="00CE61D3" w:rsidRDefault="004E3BA1" w:rsidP="00CE61D3">
            <w:pPr>
              <w:jc w:val="center"/>
              <w:rPr>
                <w:rStyle w:val="Fett"/>
              </w:rPr>
            </w:pPr>
            <w:r w:rsidRPr="00CE61D3">
              <w:rPr>
                <w:rStyle w:val="Fett"/>
              </w:rPr>
              <w:t>Katalytische Reaktion</w:t>
            </w:r>
          </w:p>
        </w:tc>
        <w:tc>
          <w:tcPr>
            <w:tcW w:w="0" w:type="auto"/>
            <w:shd w:val="clear" w:color="auto" w:fill="C7C7C7" w:themeFill="background2" w:themeFillShade="E6"/>
          </w:tcPr>
          <w:p w14:paraId="4DE2BBB9" w14:textId="02B63BD6" w:rsidR="004E3BA1" w:rsidRPr="00CE61D3" w:rsidRDefault="004E3BA1" w:rsidP="00CE61D3">
            <w:pPr>
              <w:jc w:val="center"/>
              <w:rPr>
                <w:rStyle w:val="Fett"/>
              </w:rPr>
            </w:pPr>
            <w:r w:rsidRPr="00CE61D3">
              <w:rPr>
                <w:rStyle w:val="Fett"/>
              </w:rPr>
              <w:t>Entdecker / Jahr</w:t>
            </w:r>
          </w:p>
        </w:tc>
      </w:tr>
      <w:tr w:rsidR="004E3BA1" w14:paraId="197891C3" w14:textId="77777777" w:rsidTr="00CE61D3">
        <w:trPr>
          <w:jc w:val="center"/>
        </w:trPr>
        <w:tc>
          <w:tcPr>
            <w:tcW w:w="6236" w:type="dxa"/>
          </w:tcPr>
          <w:p w14:paraId="7079A877" w14:textId="77777777" w:rsidR="004E3BA1" w:rsidRDefault="004E3BA1" w:rsidP="00CE61D3">
            <w:pPr>
              <w:spacing w:after="120"/>
            </w:pPr>
            <w:r>
              <w:t>Alkoholische Gärung</w:t>
            </w:r>
          </w:p>
          <w:p w14:paraId="45C034D6" w14:textId="73C929D4" w:rsidR="004E3BA1" w:rsidRPr="004E3BA1" w:rsidRDefault="00F85A00" w:rsidP="00CE61D3">
            <w:pPr>
              <w:pStyle w:val="Formeln"/>
            </w:pPr>
            <m:oMathPara>
              <m:oMath>
                <m:sSub>
                  <m:sSubPr>
                    <m:ctrlPr>
                      <w:rPr>
                        <w:rFonts w:ascii="Cambria Math" w:hAnsi="Cambria Math"/>
                      </w:rPr>
                    </m:ctrlPr>
                  </m:sSubPr>
                  <m:e>
                    <m:r>
                      <m:rPr>
                        <m:nor/>
                      </m:rPr>
                      <m:t>C</m:t>
                    </m:r>
                  </m:e>
                  <m:sub>
                    <m:r>
                      <m:rPr>
                        <m:nor/>
                      </m:rPr>
                      <m:t>6</m:t>
                    </m:r>
                  </m:sub>
                </m:sSub>
                <m:sSub>
                  <m:sSubPr>
                    <m:ctrlPr>
                      <w:rPr>
                        <w:rFonts w:ascii="Cambria Math" w:hAnsi="Cambria Math"/>
                      </w:rPr>
                    </m:ctrlPr>
                  </m:sSubPr>
                  <m:e>
                    <m:r>
                      <m:rPr>
                        <m:nor/>
                      </m:rPr>
                      <m:t>H</m:t>
                    </m:r>
                  </m:e>
                  <m:sub>
                    <m:r>
                      <m:rPr>
                        <m:nor/>
                      </m:rPr>
                      <m:t>12</m:t>
                    </m:r>
                  </m:sub>
                </m:sSub>
                <m:sSub>
                  <m:sSubPr>
                    <m:ctrlPr>
                      <w:rPr>
                        <w:rFonts w:ascii="Cambria Math" w:hAnsi="Cambria Math"/>
                      </w:rPr>
                    </m:ctrlPr>
                  </m:sSubPr>
                  <m:e>
                    <m:r>
                      <m:rPr>
                        <m:nor/>
                      </m:rPr>
                      <m:t>O</m:t>
                    </m:r>
                  </m:e>
                  <m:sub>
                    <m:r>
                      <m:rPr>
                        <m:nor/>
                      </m:rPr>
                      <m:t>6</m:t>
                    </m:r>
                  </m:sub>
                </m:sSub>
                <m:r>
                  <m:rPr>
                    <m:nor/>
                  </m: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nor/>
                          </m:rPr>
                          <w:rPr>
                            <w:color w:val="FF0000" w:themeColor="accent2"/>
                          </w:rPr>
                          <m:t>Enzyme</m:t>
                        </m:r>
                      </m:e>
                    </m:groupChr>
                  </m:e>
                </m:box>
                <m:r>
                  <m:rPr>
                    <m:nor/>
                  </m:rPr>
                  <m:t xml:space="preserve"> 2</m:t>
                </m:r>
                <m:sSub>
                  <m:sSubPr>
                    <m:ctrlPr>
                      <w:rPr>
                        <w:rFonts w:ascii="Cambria Math" w:hAnsi="Cambria Math"/>
                      </w:rPr>
                    </m:ctrlPr>
                  </m:sSubPr>
                  <m:e>
                    <m:r>
                      <m:rPr>
                        <m:nor/>
                      </m:rPr>
                      <m:t>C</m:t>
                    </m:r>
                  </m:e>
                  <m:sub>
                    <m:r>
                      <m:rPr>
                        <m:nor/>
                      </m:rPr>
                      <m:t>2</m:t>
                    </m:r>
                  </m:sub>
                </m:sSub>
                <m:sSub>
                  <m:sSubPr>
                    <m:ctrlPr>
                      <w:rPr>
                        <w:rFonts w:ascii="Cambria Math" w:hAnsi="Cambria Math"/>
                      </w:rPr>
                    </m:ctrlPr>
                  </m:sSubPr>
                  <m:e>
                    <m:r>
                      <m:rPr>
                        <m:nor/>
                      </m:rPr>
                      <m:t>H</m:t>
                    </m:r>
                  </m:e>
                  <m:sub>
                    <m:r>
                      <m:rPr>
                        <m:nor/>
                      </m:rPr>
                      <m:t>5</m:t>
                    </m:r>
                  </m:sub>
                </m:sSub>
                <m:r>
                  <m:rPr>
                    <m:nor/>
                  </m:rPr>
                  <m:t>OH + 2</m:t>
                </m:r>
                <m:sSub>
                  <m:sSubPr>
                    <m:ctrlPr>
                      <w:rPr>
                        <w:rFonts w:ascii="Cambria Math" w:hAnsi="Cambria Math"/>
                      </w:rPr>
                    </m:ctrlPr>
                  </m:sSubPr>
                  <m:e>
                    <m:r>
                      <m:rPr>
                        <m:nor/>
                      </m:rPr>
                      <m:t>CO</m:t>
                    </m:r>
                  </m:e>
                  <m:sub>
                    <m:r>
                      <m:rPr>
                        <m:nor/>
                      </m:rPr>
                      <m:t>2</m:t>
                    </m:r>
                  </m:sub>
                </m:sSub>
              </m:oMath>
            </m:oMathPara>
          </w:p>
        </w:tc>
        <w:tc>
          <w:tcPr>
            <w:tcW w:w="0" w:type="auto"/>
          </w:tcPr>
          <w:p w14:paraId="79B7C11E" w14:textId="6DDE2214" w:rsidR="004E3BA1" w:rsidRDefault="004E3BA1" w:rsidP="00CE61D3">
            <w:pPr>
              <w:spacing w:after="120"/>
            </w:pPr>
            <w:r>
              <w:t>? / Antike</w:t>
            </w:r>
          </w:p>
        </w:tc>
      </w:tr>
      <w:tr w:rsidR="004E3BA1" w14:paraId="45B65B0D" w14:textId="77777777" w:rsidTr="00CE61D3">
        <w:trPr>
          <w:jc w:val="center"/>
        </w:trPr>
        <w:tc>
          <w:tcPr>
            <w:tcW w:w="6236" w:type="dxa"/>
          </w:tcPr>
          <w:p w14:paraId="5FDC59B2" w14:textId="77777777" w:rsidR="004E3BA1" w:rsidRDefault="004E3BA1" w:rsidP="00CE61D3">
            <w:pPr>
              <w:spacing w:after="120"/>
            </w:pPr>
            <w:r>
              <w:t>Essigsäure-Herstellung</w:t>
            </w:r>
          </w:p>
          <w:p w14:paraId="4CFA466F" w14:textId="36517567" w:rsidR="004E3BA1" w:rsidRPr="004E3BA1" w:rsidRDefault="00F85A00" w:rsidP="00CE61D3">
            <w:pPr>
              <w:pStyle w:val="Formeln"/>
            </w:pPr>
            <m:oMathPara>
              <m:oMath>
                <m:sSub>
                  <m:sSubPr>
                    <m:ctrlPr>
                      <w:rPr>
                        <w:rFonts w:ascii="Cambria Math" w:hAnsi="Cambria Math"/>
                      </w:rPr>
                    </m:ctrlPr>
                  </m:sSubPr>
                  <m:e>
                    <m:r>
                      <m:rPr>
                        <m:nor/>
                      </m:rPr>
                      <m:t>C</m:t>
                    </m:r>
                  </m:e>
                  <m:sub>
                    <m:r>
                      <m:rPr>
                        <m:nor/>
                      </m:rPr>
                      <m:t>2</m:t>
                    </m:r>
                  </m:sub>
                </m:sSub>
                <m:sSub>
                  <m:sSubPr>
                    <m:ctrlPr>
                      <w:rPr>
                        <w:rFonts w:ascii="Cambria Math" w:hAnsi="Cambria Math"/>
                      </w:rPr>
                    </m:ctrlPr>
                  </m:sSubPr>
                  <m:e>
                    <m:r>
                      <m:rPr>
                        <m:nor/>
                      </m:rPr>
                      <m:t>H</m:t>
                    </m:r>
                  </m:e>
                  <m:sub>
                    <m:r>
                      <m:rPr>
                        <m:nor/>
                      </m:rPr>
                      <m:t>5</m:t>
                    </m:r>
                  </m:sub>
                </m:sSub>
                <m:r>
                  <m:rPr>
                    <m:nor/>
                  </m:rPr>
                  <m:t>OH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nor/>
                          </m:rPr>
                          <w:rPr>
                            <w:color w:val="FF0000" w:themeColor="accent2"/>
                          </w:rPr>
                          <m:t>Enzyme</m:t>
                        </m:r>
                      </m:e>
                    </m:groupChr>
                  </m:e>
                </m:box>
                <m:r>
                  <m:rPr>
                    <m:nor/>
                  </m:rPr>
                  <m:t xml:space="preserve"> </m:t>
                </m:r>
                <m:sSub>
                  <m:sSubPr>
                    <m:ctrlPr>
                      <w:rPr>
                        <w:rFonts w:ascii="Cambria Math" w:hAnsi="Cambria Math"/>
                      </w:rPr>
                    </m:ctrlPr>
                  </m:sSubPr>
                  <m:e>
                    <m:r>
                      <m:rPr>
                        <m:nor/>
                      </m:rPr>
                      <m:t>CH</m:t>
                    </m:r>
                  </m:e>
                  <m:sub>
                    <m:r>
                      <m:rPr>
                        <m:nor/>
                      </m:rPr>
                      <m:t>3</m:t>
                    </m:r>
                  </m:sub>
                </m:sSub>
                <m:r>
                  <m:rPr>
                    <m:nor/>
                  </m:rPr>
                  <m:t>COOH +</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O</m:t>
                </m:r>
              </m:oMath>
            </m:oMathPara>
          </w:p>
        </w:tc>
        <w:tc>
          <w:tcPr>
            <w:tcW w:w="0" w:type="auto"/>
          </w:tcPr>
          <w:p w14:paraId="386CEC69" w14:textId="65CA0CEA" w:rsidR="004E3BA1" w:rsidRDefault="004E3BA1" w:rsidP="00CE61D3">
            <w:pPr>
              <w:spacing w:after="120"/>
            </w:pPr>
            <w:r>
              <w:t>? / Antike</w:t>
            </w:r>
          </w:p>
        </w:tc>
      </w:tr>
      <w:tr w:rsidR="004E3BA1" w14:paraId="4336ADF0" w14:textId="77777777" w:rsidTr="00CE61D3">
        <w:trPr>
          <w:jc w:val="center"/>
        </w:trPr>
        <w:tc>
          <w:tcPr>
            <w:tcW w:w="6236" w:type="dxa"/>
          </w:tcPr>
          <w:p w14:paraId="079EBD54" w14:textId="77777777" w:rsidR="004E3BA1" w:rsidRDefault="004E3BA1" w:rsidP="00CE61D3">
            <w:pPr>
              <w:spacing w:after="120"/>
            </w:pPr>
            <w:r>
              <w:t xml:space="preserve">Stärke </w:t>
            </w:r>
            <w:r>
              <w:rPr>
                <w:rFonts w:cs="Arial"/>
              </w:rPr>
              <w:t>→</w:t>
            </w:r>
            <w:r>
              <w:t xml:space="preserve"> Traubenzucker</w:t>
            </w:r>
          </w:p>
          <w:p w14:paraId="5989A6E5" w14:textId="4CD5E21E" w:rsidR="004E3BA1" w:rsidRPr="004E3BA1" w:rsidRDefault="00F85A00" w:rsidP="00CE61D3">
            <w:pPr>
              <w:pStyle w:val="Formeln"/>
            </w:pPr>
            <m:oMathPara>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m:t>C</m:t>
                            </m:r>
                          </m:e>
                          <m:sub>
                            <m:r>
                              <m:rPr>
                                <m:nor/>
                              </m:rPr>
                              <m:t>6</m:t>
                            </m:r>
                          </m:sub>
                        </m:sSub>
                        <m:sSub>
                          <m:sSubPr>
                            <m:ctrlPr>
                              <w:rPr>
                                <w:rFonts w:ascii="Cambria Math" w:hAnsi="Cambria Math"/>
                              </w:rPr>
                            </m:ctrlPr>
                          </m:sSubPr>
                          <m:e>
                            <m:r>
                              <m:rPr>
                                <m:nor/>
                              </m:rPr>
                              <m:t>H</m:t>
                            </m:r>
                          </m:e>
                          <m:sub>
                            <m:r>
                              <m:rPr>
                                <m:nor/>
                              </m:rPr>
                              <m:t>10</m:t>
                            </m:r>
                          </m:sub>
                        </m:sSub>
                        <m:sSub>
                          <m:sSubPr>
                            <m:ctrlPr>
                              <w:rPr>
                                <w:rFonts w:ascii="Cambria Math" w:hAnsi="Cambria Math"/>
                              </w:rPr>
                            </m:ctrlPr>
                          </m:sSubPr>
                          <m:e>
                            <m:r>
                              <m:rPr>
                                <m:nor/>
                              </m:rPr>
                              <m:t>O</m:t>
                            </m:r>
                          </m:e>
                          <m:sub>
                            <m:r>
                              <m:rPr>
                                <m:nor/>
                              </m:rPr>
                              <m:t>5</m:t>
                            </m:r>
                          </m:sub>
                        </m:sSub>
                      </m:e>
                    </m:d>
                  </m:e>
                  <m:sub>
                    <m:r>
                      <m:rPr>
                        <m:nor/>
                      </m:rPr>
                      <m:t>n</m:t>
                    </m:r>
                  </m:sub>
                </m:sSub>
                <m:r>
                  <m:rPr>
                    <m:nor/>
                  </m: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nor/>
                          </m:rPr>
                          <w:rPr>
                            <w:color w:val="FF0000" w:themeColor="accent2"/>
                          </w:rPr>
                          <m:t>Säure + n</m:t>
                        </m:r>
                        <m:sSub>
                          <m:sSubPr>
                            <m:ctrlPr>
                              <w:rPr>
                                <w:rFonts w:ascii="Cambria Math" w:hAnsi="Cambria Math"/>
                                <w:color w:val="FF0000" w:themeColor="accent2"/>
                              </w:rPr>
                            </m:ctrlPr>
                          </m:sSubPr>
                          <m:e>
                            <m:r>
                              <m:rPr>
                                <m:nor/>
                              </m:rPr>
                              <w:rPr>
                                <w:color w:val="FF0000" w:themeColor="accent2"/>
                              </w:rPr>
                              <m:t>H</m:t>
                            </m:r>
                          </m:e>
                          <m:sub>
                            <m:r>
                              <m:rPr>
                                <m:nor/>
                              </m:rPr>
                              <w:rPr>
                                <w:color w:val="FF0000" w:themeColor="accent2"/>
                              </w:rPr>
                              <m:t>2</m:t>
                            </m:r>
                          </m:sub>
                        </m:sSub>
                        <m:r>
                          <m:rPr>
                            <m:nor/>
                          </m:rPr>
                          <w:rPr>
                            <w:color w:val="FF0000" w:themeColor="accent2"/>
                          </w:rPr>
                          <m:t>O</m:t>
                        </m:r>
                      </m:e>
                    </m:groupChr>
                  </m:e>
                </m:box>
                <m:r>
                  <m:rPr>
                    <m:nor/>
                  </m:rPr>
                  <m:t xml:space="preserve"> n </m:t>
                </m:r>
                <m:sSub>
                  <m:sSubPr>
                    <m:ctrlPr>
                      <w:rPr>
                        <w:rFonts w:ascii="Cambria Math" w:hAnsi="Cambria Math"/>
                      </w:rPr>
                    </m:ctrlPr>
                  </m:sSubPr>
                  <m:e>
                    <m:r>
                      <m:rPr>
                        <m:nor/>
                      </m:rPr>
                      <m:t>C</m:t>
                    </m:r>
                  </m:e>
                  <m:sub>
                    <m:r>
                      <m:rPr>
                        <m:nor/>
                      </m:rPr>
                      <m:t>6</m:t>
                    </m:r>
                  </m:sub>
                </m:sSub>
                <m:sSub>
                  <m:sSubPr>
                    <m:ctrlPr>
                      <w:rPr>
                        <w:rFonts w:ascii="Cambria Math" w:hAnsi="Cambria Math"/>
                      </w:rPr>
                    </m:ctrlPr>
                  </m:sSubPr>
                  <m:e>
                    <m:r>
                      <m:rPr>
                        <m:nor/>
                      </m:rPr>
                      <m:t>H</m:t>
                    </m:r>
                  </m:e>
                  <m:sub>
                    <m:r>
                      <m:rPr>
                        <m:nor/>
                      </m:rPr>
                      <m:t>12</m:t>
                    </m:r>
                  </m:sub>
                </m:sSub>
                <m:sSub>
                  <m:sSubPr>
                    <m:ctrlPr>
                      <w:rPr>
                        <w:rFonts w:ascii="Cambria Math" w:hAnsi="Cambria Math"/>
                      </w:rPr>
                    </m:ctrlPr>
                  </m:sSubPr>
                  <m:e>
                    <m:r>
                      <m:rPr>
                        <m:nor/>
                      </m:rPr>
                      <m:t>O</m:t>
                    </m:r>
                  </m:e>
                  <m:sub>
                    <m:r>
                      <m:rPr>
                        <m:nor/>
                      </m:rPr>
                      <m:t>6</m:t>
                    </m:r>
                  </m:sub>
                </m:sSub>
              </m:oMath>
            </m:oMathPara>
          </w:p>
        </w:tc>
        <w:tc>
          <w:tcPr>
            <w:tcW w:w="0" w:type="auto"/>
          </w:tcPr>
          <w:p w14:paraId="10D47FC7" w14:textId="52E96B57" w:rsidR="004E3BA1" w:rsidRDefault="004E3BA1" w:rsidP="00CE61D3">
            <w:pPr>
              <w:spacing w:after="120"/>
            </w:pPr>
            <w:proofErr w:type="spellStart"/>
            <w:r>
              <w:t>Parmentier</w:t>
            </w:r>
            <w:proofErr w:type="spellEnd"/>
            <w:r>
              <w:t xml:space="preserve"> / 1781</w:t>
            </w:r>
          </w:p>
        </w:tc>
      </w:tr>
      <w:tr w:rsidR="004E3BA1" w14:paraId="11FD5A31" w14:textId="77777777" w:rsidTr="00CE61D3">
        <w:trPr>
          <w:jc w:val="center"/>
        </w:trPr>
        <w:tc>
          <w:tcPr>
            <w:tcW w:w="6236" w:type="dxa"/>
          </w:tcPr>
          <w:p w14:paraId="21210C51" w14:textId="77777777" w:rsidR="004E3BA1" w:rsidRDefault="004E3BA1" w:rsidP="00CE61D3">
            <w:pPr>
              <w:spacing w:after="120"/>
            </w:pPr>
            <w:r>
              <w:t>Ethylen aus Ethanol</w:t>
            </w:r>
          </w:p>
          <w:p w14:paraId="5ACAD6B3" w14:textId="2496E364" w:rsidR="004E3BA1" w:rsidRPr="004E3BA1" w:rsidRDefault="00F85A00" w:rsidP="00CE61D3">
            <w:pPr>
              <w:pStyle w:val="Formeln"/>
            </w:pPr>
            <m:oMathPara>
              <m:oMath>
                <m:sSub>
                  <m:sSubPr>
                    <m:ctrlPr>
                      <w:rPr>
                        <w:rFonts w:ascii="Cambria Math" w:hAnsi="Cambria Math"/>
                      </w:rPr>
                    </m:ctrlPr>
                  </m:sSubPr>
                  <m:e>
                    <m:r>
                      <m:rPr>
                        <m:nor/>
                      </m:rPr>
                      <m:t>C</m:t>
                    </m:r>
                  </m:e>
                  <m:sub>
                    <m:r>
                      <m:rPr>
                        <m:nor/>
                      </m:rPr>
                      <m:t>2</m:t>
                    </m:r>
                  </m:sub>
                </m:sSub>
                <m:sSub>
                  <m:sSubPr>
                    <m:ctrlPr>
                      <w:rPr>
                        <w:rFonts w:ascii="Cambria Math" w:hAnsi="Cambria Math"/>
                      </w:rPr>
                    </m:ctrlPr>
                  </m:sSubPr>
                  <m:e>
                    <m:r>
                      <m:rPr>
                        <m:nor/>
                      </m:rPr>
                      <m:t>H</m:t>
                    </m:r>
                  </m:e>
                  <m:sub>
                    <m:r>
                      <m:rPr>
                        <m:nor/>
                      </m:rPr>
                      <m:t>5</m:t>
                    </m:r>
                  </m:sub>
                </m:sSub>
                <m:r>
                  <m:rPr>
                    <m:nor/>
                  </m:rPr>
                  <m:t>OH</m:t>
                </m:r>
                <m:r>
                  <m:rPr>
                    <m:sty m:val="p"/>
                  </m:rPr>
                  <w:rPr>
                    <w:rFonts w:ascii="Cambria Math" w:hAnsi="Cambria Math"/>
                  </w: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nor/>
                          </m:rPr>
                          <w:rPr>
                            <w:color w:val="FF0000" w:themeColor="accent2"/>
                          </w:rPr>
                          <m:t>Tonerde</m:t>
                        </m:r>
                      </m:e>
                    </m:groupChr>
                  </m:e>
                </m:box>
                <m:r>
                  <m:rPr>
                    <m:nor/>
                  </m:rPr>
                  <m:t xml:space="preserve"> </m:t>
                </m:r>
                <m:sSub>
                  <m:sSubPr>
                    <m:ctrlPr>
                      <w:rPr>
                        <w:rFonts w:ascii="Cambria Math" w:hAnsi="Cambria Math"/>
                      </w:rPr>
                    </m:ctrlPr>
                  </m:sSubPr>
                  <m:e>
                    <m:r>
                      <m:rPr>
                        <m:nor/>
                      </m:rPr>
                      <m:t>C</m:t>
                    </m:r>
                  </m:e>
                  <m:sub>
                    <m:r>
                      <m:rPr>
                        <m:nor/>
                      </m:rPr>
                      <m:t>2</m:t>
                    </m:r>
                  </m:sub>
                </m:sSub>
                <m:sSub>
                  <m:sSubPr>
                    <m:ctrlPr>
                      <w:rPr>
                        <w:rFonts w:ascii="Cambria Math" w:hAnsi="Cambria Math"/>
                      </w:rPr>
                    </m:ctrlPr>
                  </m:sSubPr>
                  <m:e>
                    <m:r>
                      <m:rPr>
                        <m:nor/>
                      </m:rPr>
                      <m:t>H</m:t>
                    </m:r>
                  </m:e>
                  <m:sub>
                    <m:r>
                      <m:rPr>
                        <m:nor/>
                      </m:rPr>
                      <m:t>4</m:t>
                    </m:r>
                  </m:sub>
                </m:sSub>
                <m:r>
                  <m:rPr>
                    <m:nor/>
                  </m:rPr>
                  <m:t xml:space="preserve"> +</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m:t>O</m:t>
                </m:r>
              </m:oMath>
            </m:oMathPara>
          </w:p>
        </w:tc>
        <w:tc>
          <w:tcPr>
            <w:tcW w:w="0" w:type="auto"/>
          </w:tcPr>
          <w:p w14:paraId="329B7C53" w14:textId="37836F55" w:rsidR="004E3BA1" w:rsidRDefault="00CE61D3" w:rsidP="00CE61D3">
            <w:pPr>
              <w:spacing w:after="120"/>
            </w:pPr>
            <w:r>
              <w:t>Priestley / 1783</w:t>
            </w:r>
          </w:p>
        </w:tc>
      </w:tr>
      <w:tr w:rsidR="00CE61D3" w14:paraId="4E8A18F6" w14:textId="77777777" w:rsidTr="00CE61D3">
        <w:trPr>
          <w:jc w:val="center"/>
        </w:trPr>
        <w:tc>
          <w:tcPr>
            <w:tcW w:w="6236" w:type="dxa"/>
          </w:tcPr>
          <w:p w14:paraId="446B033E" w14:textId="77777777" w:rsidR="00CE61D3" w:rsidRDefault="00CE61D3" w:rsidP="00CE61D3">
            <w:pPr>
              <w:spacing w:after="120"/>
            </w:pPr>
            <w:r>
              <w:t>„</w:t>
            </w:r>
            <w:proofErr w:type="spellStart"/>
            <w:r>
              <w:t>Döbereiners</w:t>
            </w:r>
            <w:proofErr w:type="spellEnd"/>
            <w:r>
              <w:t xml:space="preserve"> Feuerzeug“</w:t>
            </w:r>
          </w:p>
          <w:p w14:paraId="4E203DAA" w14:textId="1C60611F" w:rsidR="00CE61D3" w:rsidRPr="00CE61D3" w:rsidRDefault="00CE61D3" w:rsidP="00CE61D3">
            <w:pPr>
              <w:pStyle w:val="Formeln"/>
            </w:pPr>
            <m:oMathPara>
              <m:oMath>
                <m:r>
                  <m:rPr>
                    <m:nor/>
                  </m:rPr>
                  <m:t>2</m:t>
                </m:r>
                <m:sSub>
                  <m:sSubPr>
                    <m:ctrlPr>
                      <w:rPr>
                        <w:rFonts w:ascii="Cambria Math" w:hAnsi="Cambria Math"/>
                      </w:rPr>
                    </m:ctrlPr>
                  </m:sSubPr>
                  <m:e>
                    <m:r>
                      <m:rPr>
                        <m:nor/>
                      </m:rPr>
                      <m:t>H</m:t>
                    </m:r>
                  </m:e>
                  <m:sub>
                    <m:r>
                      <m:rPr>
                        <m:nor/>
                      </m:rPr>
                      <m:t>2</m:t>
                    </m:r>
                  </m:sub>
                </m:sSub>
                <m:r>
                  <m:rPr>
                    <m:nor/>
                  </m:rPr>
                  <m:t xml:space="preserve">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nor/>
                          </m:rPr>
                          <w:rPr>
                            <w:color w:val="FF0000" w:themeColor="accent2"/>
                          </w:rPr>
                          <m:t>Platin</m:t>
                        </m:r>
                      </m:e>
                    </m:groupChr>
                  </m:e>
                </m:box>
                <m:r>
                  <m:rPr>
                    <m:nor/>
                  </m:rPr>
                  <m:t xml:space="preserve"> 2</m:t>
                </m:r>
                <m:sSub>
                  <m:sSubPr>
                    <m:ctrlPr>
                      <w:rPr>
                        <w:rFonts w:ascii="Cambria Math" w:hAnsi="Cambria Math"/>
                      </w:rPr>
                    </m:ctrlPr>
                  </m:sSubPr>
                  <m:e>
                    <m:r>
                      <m:rPr>
                        <m:nor/>
                      </m:rPr>
                      <m:t>H</m:t>
                    </m:r>
                  </m:e>
                  <m:sub>
                    <m:r>
                      <m:rPr>
                        <m:nor/>
                      </m:rPr>
                      <m:t>2</m:t>
                    </m:r>
                  </m:sub>
                </m:sSub>
                <m:r>
                  <m:rPr>
                    <m:nor/>
                  </m:rPr>
                  <m:t>O</m:t>
                </m:r>
              </m:oMath>
            </m:oMathPara>
          </w:p>
        </w:tc>
        <w:tc>
          <w:tcPr>
            <w:tcW w:w="0" w:type="auto"/>
          </w:tcPr>
          <w:p w14:paraId="45EA74A8" w14:textId="71D7CDE9" w:rsidR="00CE61D3" w:rsidRDefault="00CE61D3" w:rsidP="00CE61D3">
            <w:pPr>
              <w:spacing w:after="120"/>
            </w:pPr>
            <w:proofErr w:type="spellStart"/>
            <w:r>
              <w:t>Döbereiner</w:t>
            </w:r>
            <w:proofErr w:type="spellEnd"/>
            <w:r>
              <w:t xml:space="preserve"> / 1823</w:t>
            </w:r>
          </w:p>
        </w:tc>
      </w:tr>
    </w:tbl>
    <w:p w14:paraId="34C5F366" w14:textId="4C5A9A0D" w:rsidR="008903E1" w:rsidRDefault="00CE61D3" w:rsidP="00CE61D3">
      <w:pPr>
        <w:pStyle w:val="Beschriftung"/>
      </w:pPr>
      <w:r>
        <w:t xml:space="preserve">Tab. </w:t>
      </w:r>
      <w:r w:rsidR="00F85A00">
        <w:fldChar w:fldCharType="begin"/>
      </w:r>
      <w:r w:rsidR="00F85A00">
        <w:instrText xml:space="preserve"> SEQ Tab. \* ARABIC </w:instrText>
      </w:r>
      <w:r w:rsidR="00F85A00">
        <w:fldChar w:fldCharType="separate"/>
      </w:r>
      <w:r w:rsidR="00F85A00">
        <w:rPr>
          <w:noProof/>
        </w:rPr>
        <w:t>1</w:t>
      </w:r>
      <w:r w:rsidR="00F85A00">
        <w:rPr>
          <w:noProof/>
        </w:rPr>
        <w:fldChar w:fldCharType="end"/>
      </w:r>
      <w:r>
        <w:t>: Beispiele für katalysierte Reaktionen</w:t>
      </w:r>
    </w:p>
    <w:p w14:paraId="2998ECF3" w14:textId="5313CF63" w:rsidR="00CE61D3" w:rsidRDefault="00CE61D3" w:rsidP="00CE61D3">
      <w:pPr>
        <w:rPr>
          <w:rFonts w:cs="Arial"/>
        </w:rPr>
      </w:pPr>
      <w:r>
        <w:rPr>
          <w:rFonts w:cs="Arial"/>
        </w:rPr>
        <w:lastRenderedPageBreak/>
        <w:t xml:space="preserve">Pioniere der Katalyse-Forschung waren zum einen </w:t>
      </w:r>
      <w:proofErr w:type="spellStart"/>
      <w:r>
        <w:rPr>
          <w:rStyle w:val="Fett"/>
          <w:rFonts w:cs="Arial"/>
        </w:rPr>
        <w:t>Parmentier</w:t>
      </w:r>
      <w:proofErr w:type="spellEnd"/>
      <w:r>
        <w:rPr>
          <w:rFonts w:cs="Arial"/>
        </w:rPr>
        <w:t xml:space="preserve"> (1781) der die katalytische Spaltung von Stärke in Zucker entdeckte</w:t>
      </w:r>
      <w:r w:rsidR="008A779C">
        <w:rPr>
          <w:rFonts w:cs="Arial"/>
        </w:rPr>
        <w:t>,</w:t>
      </w:r>
      <w:r>
        <w:rPr>
          <w:rFonts w:cs="Arial"/>
        </w:rPr>
        <w:t xml:space="preserve"> und zum anderen </w:t>
      </w:r>
      <w:r>
        <w:rPr>
          <w:rStyle w:val="Fett"/>
          <w:rFonts w:cs="Arial"/>
        </w:rPr>
        <w:t>Priestley</w:t>
      </w:r>
      <w:r>
        <w:rPr>
          <w:rFonts w:cs="Arial"/>
        </w:rPr>
        <w:t xml:space="preserve"> (1783), der erkannte, dass es möglich war</w:t>
      </w:r>
      <w:r w:rsidR="008A779C">
        <w:rPr>
          <w:rFonts w:cs="Arial"/>
        </w:rPr>
        <w:t>,</w:t>
      </w:r>
      <w:r>
        <w:rPr>
          <w:rFonts w:cs="Arial"/>
        </w:rPr>
        <w:t xml:space="preserve"> aus Ethanol</w:t>
      </w:r>
      <w:r w:rsidR="008A779C">
        <w:rPr>
          <w:rFonts w:cs="Arial"/>
        </w:rPr>
        <w:t xml:space="preserve"> in Gegenwart von Tonerde</w:t>
      </w:r>
      <w:r>
        <w:rPr>
          <w:rFonts w:cs="Arial"/>
        </w:rPr>
        <w:t xml:space="preserve"> Ethylen zu synthetisieren.</w:t>
      </w:r>
    </w:p>
    <w:p w14:paraId="67947A9C" w14:textId="347896F7" w:rsidR="00CE61D3" w:rsidRDefault="00CE61D3" w:rsidP="00CE61D3">
      <w:pPr>
        <w:rPr>
          <w:rFonts w:cs="Arial"/>
        </w:rPr>
      </w:pPr>
      <w:r>
        <w:rPr>
          <w:rFonts w:cs="Arial"/>
        </w:rPr>
        <w:t xml:space="preserve">Eine revolutionäre Erfindung gelang schließlich </w:t>
      </w:r>
      <w:r>
        <w:rPr>
          <w:rStyle w:val="Fett"/>
          <w:rFonts w:cs="Arial"/>
        </w:rPr>
        <w:t xml:space="preserve">Johann Wolfgang </w:t>
      </w:r>
      <w:proofErr w:type="spellStart"/>
      <w:r>
        <w:rPr>
          <w:rStyle w:val="Fett"/>
          <w:rFonts w:cs="Arial"/>
        </w:rPr>
        <w:t>Döbereiner</w:t>
      </w:r>
      <w:proofErr w:type="spellEnd"/>
      <w:r>
        <w:rPr>
          <w:rFonts w:cs="Arial"/>
        </w:rPr>
        <w:t xml:space="preserve"> 1823 mit dem ersten „Feuerzeug“.</w:t>
      </w:r>
    </w:p>
    <w:p w14:paraId="1144574D" w14:textId="4C8FDCA7" w:rsidR="00CE61D3" w:rsidRDefault="00CE61D3" w:rsidP="00CE61D3">
      <w:pPr>
        <w:rPr>
          <w:rFonts w:cs="Arial"/>
        </w:rPr>
      </w:pPr>
      <w:r>
        <w:rPr>
          <w:rFonts w:cs="Arial"/>
        </w:rPr>
        <w:t xml:space="preserve">Es bestand aus einem Glasgefäß </w:t>
      </w:r>
      <w:r>
        <w:rPr>
          <w:rFonts w:cs="Arial"/>
          <w:b/>
          <w:bCs/>
        </w:rPr>
        <w:t>(c)</w:t>
      </w:r>
      <w:r>
        <w:rPr>
          <w:rFonts w:cs="Arial"/>
        </w:rPr>
        <w:t xml:space="preserve">, das mit einer Säure gefüllt wurde. Durch die Betätigung eines Auslösers </w:t>
      </w:r>
      <w:r>
        <w:rPr>
          <w:rFonts w:cs="Arial"/>
          <w:b/>
          <w:bCs/>
        </w:rPr>
        <w:t>(e)</w:t>
      </w:r>
      <w:r>
        <w:rPr>
          <w:rFonts w:cs="Arial"/>
        </w:rPr>
        <w:t xml:space="preserve">, wurde ein </w:t>
      </w:r>
      <w:proofErr w:type="spellStart"/>
      <w:r>
        <w:rPr>
          <w:rFonts w:cs="Arial"/>
        </w:rPr>
        <w:t>Zinkstab</w:t>
      </w:r>
      <w:proofErr w:type="spellEnd"/>
      <w:r>
        <w:rPr>
          <w:rFonts w:cs="Arial"/>
        </w:rPr>
        <w:t xml:space="preserve"> </w:t>
      </w:r>
      <w:r>
        <w:rPr>
          <w:rFonts w:cs="Arial"/>
          <w:b/>
          <w:bCs/>
        </w:rPr>
        <w:t>(b)</w:t>
      </w:r>
      <w:r>
        <w:rPr>
          <w:rFonts w:cs="Arial"/>
        </w:rPr>
        <w:t xml:space="preserve"> in die Säure getaucht. Dadurch kam es zur Wasserstoff-Entwicklung. Das entweichende Wasserstoff-Gas wurde schließlich beim Durchströmen eines Platin-Schwamms </w:t>
      </w:r>
      <w:r>
        <w:rPr>
          <w:rFonts w:cs="Arial"/>
          <w:b/>
          <w:bCs/>
        </w:rPr>
        <w:t>(f)</w:t>
      </w:r>
      <w:r>
        <w:rPr>
          <w:rFonts w:cs="Arial"/>
        </w:rPr>
        <w:t xml:space="preserve"> entzündet.</w:t>
      </w:r>
    </w:p>
    <w:p w14:paraId="33E843E4" w14:textId="77777777" w:rsidR="00CE61D3" w:rsidRDefault="00CE61D3" w:rsidP="00CE61D3">
      <w:pPr>
        <w:rPr>
          <w:rFonts w:cs="Arial"/>
        </w:rPr>
      </w:pPr>
    </w:p>
    <w:p w14:paraId="2840B59F" w14:textId="77777777" w:rsidR="00CE61D3" w:rsidRDefault="00CE61D3" w:rsidP="00CE61D3">
      <w:pPr>
        <w:pStyle w:val="Bilder"/>
        <w:sectPr w:rsidR="00CE61D3" w:rsidSect="009B4835">
          <w:footerReference w:type="default" r:id="rId9"/>
          <w:pgSz w:w="11906" w:h="16838"/>
          <w:pgMar w:top="851" w:right="1134" w:bottom="851" w:left="1418" w:header="0" w:footer="0" w:gutter="0"/>
          <w:cols w:space="708"/>
          <w:titlePg/>
          <w:docGrid w:linePitch="360"/>
        </w:sectPr>
      </w:pPr>
    </w:p>
    <w:p w14:paraId="713D21B3" w14:textId="5DDAA6E0" w:rsidR="00CE61D3" w:rsidRDefault="00CE61D3" w:rsidP="00CE61D3">
      <w:pPr>
        <w:pStyle w:val="Bilder"/>
        <w:spacing w:before="0"/>
      </w:pPr>
      <w:r>
        <w:rPr>
          <w:lang w:eastAsia="de-DE"/>
        </w:rPr>
        <w:lastRenderedPageBreak/>
        <w:drawing>
          <wp:inline distT="0" distB="0" distL="0" distR="0" wp14:anchorId="78220D55" wp14:editId="6DF2C87A">
            <wp:extent cx="1273175" cy="182880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3175" cy="1828800"/>
                    </a:xfrm>
                    <a:prstGeom prst="rect">
                      <a:avLst/>
                    </a:prstGeom>
                    <a:noFill/>
                    <a:ln>
                      <a:noFill/>
                    </a:ln>
                  </pic:spPr>
                </pic:pic>
              </a:graphicData>
            </a:graphic>
          </wp:inline>
        </w:drawing>
      </w:r>
    </w:p>
    <w:p w14:paraId="75CF6A4E" w14:textId="3EABCB62" w:rsidR="00CE61D3" w:rsidRDefault="00CE61D3" w:rsidP="00CE61D3">
      <w:pPr>
        <w:pStyle w:val="Beschriftung"/>
      </w:pPr>
      <w:r>
        <w:t xml:space="preserve">Abb. </w:t>
      </w:r>
      <w:r w:rsidR="00F85A00">
        <w:fldChar w:fldCharType="begin"/>
      </w:r>
      <w:r w:rsidR="00F85A00">
        <w:instrText xml:space="preserve"> SEQ Abb. \* ARABIC </w:instrText>
      </w:r>
      <w:r w:rsidR="00F85A00">
        <w:fldChar w:fldCharType="separate"/>
      </w:r>
      <w:r w:rsidR="00F85A00">
        <w:rPr>
          <w:noProof/>
        </w:rPr>
        <w:t>1</w:t>
      </w:r>
      <w:r w:rsidR="00F85A00">
        <w:rPr>
          <w:noProof/>
        </w:rPr>
        <w:fldChar w:fldCharType="end"/>
      </w:r>
      <w:r>
        <w:t xml:space="preserve">: Johann Wolfgang </w:t>
      </w:r>
      <w:proofErr w:type="spellStart"/>
      <w:r>
        <w:t>Döbereiner</w:t>
      </w:r>
      <w:proofErr w:type="spellEnd"/>
      <w:r>
        <w:t xml:space="preserve"> [</w:t>
      </w:r>
      <w:r>
        <w:fldChar w:fldCharType="begin"/>
      </w:r>
      <w:r>
        <w:instrText xml:space="preserve"> REF _Ref54778722 \r \h </w:instrText>
      </w:r>
      <w:r>
        <w:fldChar w:fldCharType="separate"/>
      </w:r>
      <w:r w:rsidR="00F85A00">
        <w:t>17</w:t>
      </w:r>
      <w:r>
        <w:fldChar w:fldCharType="end"/>
      </w:r>
      <w:r>
        <w:t>]</w:t>
      </w:r>
    </w:p>
    <w:p w14:paraId="6BAFA918" w14:textId="4959755B" w:rsidR="00CE61D3" w:rsidRDefault="00CE61D3" w:rsidP="00CE61D3">
      <w:pPr>
        <w:pStyle w:val="Bilder"/>
      </w:pPr>
      <w:r>
        <w:rPr>
          <w:lang w:eastAsia="de-DE"/>
        </w:rPr>
        <w:lastRenderedPageBreak/>
        <w:drawing>
          <wp:inline distT="0" distB="0" distL="0" distR="0" wp14:anchorId="7B8968B3" wp14:editId="52F19F78">
            <wp:extent cx="964672" cy="1800000"/>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4672" cy="1800000"/>
                    </a:xfrm>
                    <a:prstGeom prst="rect">
                      <a:avLst/>
                    </a:prstGeom>
                    <a:noFill/>
                    <a:ln>
                      <a:noFill/>
                    </a:ln>
                  </pic:spPr>
                </pic:pic>
              </a:graphicData>
            </a:graphic>
          </wp:inline>
        </w:drawing>
      </w:r>
    </w:p>
    <w:p w14:paraId="07F812BB" w14:textId="536D33AB" w:rsidR="00CE61D3" w:rsidRDefault="00CE61D3" w:rsidP="00CE61D3">
      <w:pPr>
        <w:pStyle w:val="Beschriftung"/>
      </w:pPr>
      <w:r>
        <w:t xml:space="preserve">Abb. </w:t>
      </w:r>
      <w:r w:rsidR="00F85A00">
        <w:fldChar w:fldCharType="begin"/>
      </w:r>
      <w:r w:rsidR="00F85A00">
        <w:instrText xml:space="preserve"> SEQ Abb. \* ARABIC </w:instrText>
      </w:r>
      <w:r w:rsidR="00F85A00">
        <w:fldChar w:fldCharType="separate"/>
      </w:r>
      <w:r w:rsidR="00F85A00">
        <w:rPr>
          <w:noProof/>
        </w:rPr>
        <w:t>2</w:t>
      </w:r>
      <w:r w:rsidR="00F85A00">
        <w:rPr>
          <w:noProof/>
        </w:rPr>
        <w:fldChar w:fldCharType="end"/>
      </w:r>
      <w:r>
        <w:t xml:space="preserve">: </w:t>
      </w:r>
      <w:proofErr w:type="spellStart"/>
      <w:r>
        <w:t>Döbereiners</w:t>
      </w:r>
      <w:proofErr w:type="spellEnd"/>
      <w:r>
        <w:t xml:space="preserve"> Feuerzeug [</w:t>
      </w:r>
      <w:r>
        <w:fldChar w:fldCharType="begin"/>
      </w:r>
      <w:r>
        <w:instrText xml:space="preserve"> REF _Ref54778882 \r \h </w:instrText>
      </w:r>
      <w:r>
        <w:fldChar w:fldCharType="separate"/>
      </w:r>
      <w:r w:rsidR="00F85A00">
        <w:t>18</w:t>
      </w:r>
      <w:r>
        <w:fldChar w:fldCharType="end"/>
      </w:r>
      <w:r>
        <w:t>]</w:t>
      </w:r>
    </w:p>
    <w:p w14:paraId="4F38B94E" w14:textId="77777777" w:rsidR="00CE61D3" w:rsidRDefault="00CE61D3" w:rsidP="00CE61D3">
      <w:pPr>
        <w:pStyle w:val="berschrift1"/>
        <w:sectPr w:rsidR="00CE61D3" w:rsidSect="00CE61D3">
          <w:type w:val="continuous"/>
          <w:pgSz w:w="11906" w:h="16838"/>
          <w:pgMar w:top="851" w:right="1134" w:bottom="851" w:left="1418" w:header="0" w:footer="0" w:gutter="0"/>
          <w:cols w:num="2" w:space="708"/>
          <w:titlePg/>
          <w:docGrid w:linePitch="360"/>
        </w:sectPr>
      </w:pPr>
    </w:p>
    <w:p w14:paraId="311259FC" w14:textId="04F9CA82" w:rsidR="00CE61D3" w:rsidRDefault="00CE61D3" w:rsidP="00CE61D3">
      <w:pPr>
        <w:pStyle w:val="berschrift1"/>
      </w:pPr>
      <w:bookmarkStart w:id="3" w:name="_Toc146015312"/>
      <w:r>
        <w:lastRenderedPageBreak/>
        <w:t>Erste Definition eines Katalysator</w:t>
      </w:r>
      <w:r w:rsidR="008A779C">
        <w:t>s</w:t>
      </w:r>
      <w:r>
        <w:t xml:space="preserve"> nach Jöns Jakob Berzelius</w:t>
      </w:r>
      <w:bookmarkEnd w:id="3"/>
    </w:p>
    <w:p w14:paraId="06A8348C" w14:textId="3A47FD68" w:rsidR="00CE61D3" w:rsidRDefault="00CE61D3" w:rsidP="00CE61D3">
      <w:pPr>
        <w:rPr>
          <w:rFonts w:cs="Arial"/>
        </w:rPr>
      </w:pPr>
      <w:r>
        <w:rPr>
          <w:rFonts w:cs="Arial"/>
        </w:rPr>
        <w:t>Alle oben genannten Wissenschaftler arbeiteten an bzw. mit diesem Phänomen, ohne jedoch einen Begriff dafür zu haben. Auch der Mechanismus</w:t>
      </w:r>
      <w:r w:rsidR="008A779C">
        <w:rPr>
          <w:rFonts w:cs="Arial"/>
        </w:rPr>
        <w:t>,</w:t>
      </w:r>
      <w:r>
        <w:rPr>
          <w:rFonts w:cs="Arial"/>
        </w:rPr>
        <w:t xml:space="preserve"> der sich hinter diesem Prinzip </w:t>
      </w:r>
      <w:r w:rsidR="00241784">
        <w:rPr>
          <w:rFonts w:cs="Arial"/>
        </w:rPr>
        <w:t>verbarg,</w:t>
      </w:r>
      <w:r>
        <w:rPr>
          <w:rFonts w:cs="Arial"/>
        </w:rPr>
        <w:t xml:space="preserve"> war nicht erforscht.</w:t>
      </w:r>
    </w:p>
    <w:p w14:paraId="4786CE97" w14:textId="2CE9EDF7" w:rsidR="00CE61D3" w:rsidRDefault="00CE61D3" w:rsidP="00CE61D3">
      <w:pPr>
        <w:pStyle w:val="Bilder"/>
      </w:pPr>
      <w:r>
        <w:rPr>
          <w:lang w:eastAsia="de-DE"/>
        </w:rPr>
        <w:drawing>
          <wp:inline distT="0" distB="0" distL="0" distR="0" wp14:anchorId="43E0FF4C" wp14:editId="2964D30F">
            <wp:extent cx="1608587" cy="180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587" cy="1800000"/>
                    </a:xfrm>
                    <a:prstGeom prst="rect">
                      <a:avLst/>
                    </a:prstGeom>
                    <a:noFill/>
                    <a:ln>
                      <a:noFill/>
                    </a:ln>
                  </pic:spPr>
                </pic:pic>
              </a:graphicData>
            </a:graphic>
          </wp:inline>
        </w:drawing>
      </w:r>
    </w:p>
    <w:p w14:paraId="255AF4D9" w14:textId="0B31E64D" w:rsidR="00CE61D3" w:rsidRDefault="00CE61D3" w:rsidP="00CE61D3">
      <w:pPr>
        <w:pStyle w:val="Beschriftung"/>
      </w:pPr>
      <w:r>
        <w:t xml:space="preserve">Abb. </w:t>
      </w:r>
      <w:r w:rsidR="00F85A00">
        <w:fldChar w:fldCharType="begin"/>
      </w:r>
      <w:r w:rsidR="00F85A00">
        <w:instrText xml:space="preserve"> SEQ Abb. \* ARABIC </w:instrText>
      </w:r>
      <w:r w:rsidR="00F85A00">
        <w:fldChar w:fldCharType="separate"/>
      </w:r>
      <w:r w:rsidR="00F85A00">
        <w:rPr>
          <w:noProof/>
        </w:rPr>
        <w:t>3</w:t>
      </w:r>
      <w:r w:rsidR="00F85A00">
        <w:rPr>
          <w:noProof/>
        </w:rPr>
        <w:fldChar w:fldCharType="end"/>
      </w:r>
      <w:r>
        <w:t>: Jöns Jakob Berzelius [</w:t>
      </w:r>
      <w:r>
        <w:fldChar w:fldCharType="begin"/>
      </w:r>
      <w:r>
        <w:instrText xml:space="preserve"> REF _Ref54779062 \r \h </w:instrText>
      </w:r>
      <w:r>
        <w:fldChar w:fldCharType="separate"/>
      </w:r>
      <w:r w:rsidR="00F85A00">
        <w:t>19</w:t>
      </w:r>
      <w:r>
        <w:fldChar w:fldCharType="end"/>
      </w:r>
      <w:r>
        <w:t>]</w:t>
      </w:r>
    </w:p>
    <w:p w14:paraId="5A1AD606" w14:textId="2D93086D" w:rsidR="00CE61D3" w:rsidRDefault="00CE61D3" w:rsidP="00CE61D3">
      <w:pPr>
        <w:rPr>
          <w:rFonts w:cs="Arial"/>
        </w:rPr>
      </w:pPr>
      <w:r>
        <w:rPr>
          <w:rFonts w:cs="Arial"/>
        </w:rPr>
        <w:t xml:space="preserve">Erst 1835 beschäftigte sich </w:t>
      </w:r>
      <w:r w:rsidR="008A779C">
        <w:rPr>
          <w:rFonts w:cs="Arial"/>
        </w:rPr>
        <w:t>d</w:t>
      </w:r>
      <w:r>
        <w:rPr>
          <w:rFonts w:cs="Arial"/>
        </w:rPr>
        <w:t xml:space="preserve">er schwedische Chemiker </w:t>
      </w:r>
      <w:r>
        <w:rPr>
          <w:rStyle w:val="Fett"/>
          <w:rFonts w:cs="Arial"/>
        </w:rPr>
        <w:t>Jöns Jakob Berzelius</w:t>
      </w:r>
      <w:r>
        <w:rPr>
          <w:rFonts w:cs="Arial"/>
        </w:rPr>
        <w:t xml:space="preserve"> </w:t>
      </w:r>
      <w:r w:rsidR="008A779C">
        <w:rPr>
          <w:rFonts w:cs="Arial"/>
        </w:rPr>
        <w:t xml:space="preserve">mit diesem Problem. Er </w:t>
      </w:r>
      <w:r>
        <w:rPr>
          <w:rFonts w:cs="Arial"/>
        </w:rPr>
        <w:t xml:space="preserve">betrachtete alle Reaktionen und stellte dabei fest, dass immer ein zusätzlicher Stoff im Reaktionsgemisch vorhanden war. Das </w:t>
      </w:r>
      <w:r w:rsidR="00241784">
        <w:rPr>
          <w:rFonts w:cs="Arial"/>
        </w:rPr>
        <w:t>Besondere</w:t>
      </w:r>
      <w:r>
        <w:rPr>
          <w:rFonts w:cs="Arial"/>
        </w:rPr>
        <w:t xml:space="preserve"> daran war, dass dieser Stoff sowohl auf der Edukt</w:t>
      </w:r>
      <w:r w:rsidR="00241784">
        <w:rPr>
          <w:rFonts w:cs="Arial"/>
        </w:rPr>
        <w:t>-S</w:t>
      </w:r>
      <w:r>
        <w:rPr>
          <w:rFonts w:cs="Arial"/>
        </w:rPr>
        <w:t>eite als auch auf der Produkt</w:t>
      </w:r>
      <w:r w:rsidR="00241784">
        <w:rPr>
          <w:rFonts w:cs="Arial"/>
        </w:rPr>
        <w:t>-S</w:t>
      </w:r>
      <w:r>
        <w:rPr>
          <w:rFonts w:cs="Arial"/>
        </w:rPr>
        <w:t>eite in seiner ursprünglichen Form vorlag. Berzelius bezeichnete daher diese Substanzen als Katalysatoren (</w:t>
      </w:r>
      <w:proofErr w:type="spellStart"/>
      <w:r>
        <w:rPr>
          <w:rFonts w:cs="Arial"/>
        </w:rPr>
        <w:t>griech</w:t>
      </w:r>
      <w:proofErr w:type="spellEnd"/>
      <w:r>
        <w:rPr>
          <w:rFonts w:cs="Arial"/>
        </w:rPr>
        <w:t xml:space="preserve">. </w:t>
      </w:r>
      <w:r w:rsidR="00044C51" w:rsidRPr="00044C51">
        <w:rPr>
          <w:rFonts w:cs="Arial"/>
          <w:i/>
          <w:iCs/>
        </w:rPr>
        <w:t>κα</w:t>
      </w:r>
      <w:proofErr w:type="spellStart"/>
      <w:r w:rsidR="00044C51" w:rsidRPr="00044C51">
        <w:rPr>
          <w:rFonts w:cs="Arial"/>
          <w:i/>
          <w:iCs/>
        </w:rPr>
        <w:t>τάλυσις</w:t>
      </w:r>
      <w:proofErr w:type="spellEnd"/>
      <w:r w:rsidR="00044C51" w:rsidRPr="00044C51">
        <w:rPr>
          <w:rFonts w:cs="Arial"/>
        </w:rPr>
        <w:t>, </w:t>
      </w:r>
      <w:proofErr w:type="spellStart"/>
      <w:r w:rsidR="00044C51" w:rsidRPr="00044C51">
        <w:rPr>
          <w:rFonts w:cs="Arial"/>
          <w:i/>
          <w:iCs/>
        </w:rPr>
        <w:t>katálysis</w:t>
      </w:r>
      <w:proofErr w:type="spellEnd"/>
      <w:r>
        <w:rPr>
          <w:rFonts w:cs="Arial"/>
        </w:rPr>
        <w:t>: Auslösung, Loslösung). Seiner Meinung nach nahmen diese Stoffe nicht an der Reaktion teil, sie lieferten lediglich die Energie (</w:t>
      </w:r>
      <w:r w:rsidR="00241784">
        <w:rPr>
          <w:rFonts w:cs="Arial"/>
        </w:rPr>
        <w:t>„</w:t>
      </w:r>
      <w:r>
        <w:rPr>
          <w:rFonts w:cs="Arial"/>
        </w:rPr>
        <w:t>katalytische Kraft") dafür, dass die Reaktion ablaufen konnte.</w:t>
      </w:r>
    </w:p>
    <w:p w14:paraId="4677757F" w14:textId="77777777" w:rsidR="00F531F9" w:rsidRDefault="00F531F9" w:rsidP="00CE61D3">
      <w:pPr>
        <w:rPr>
          <w:rFonts w:cs="Arial"/>
        </w:rPr>
      </w:pPr>
    </w:p>
    <w:p w14:paraId="7EB840C0" w14:textId="77777777" w:rsidR="00F531F9" w:rsidRDefault="00F531F9" w:rsidP="00CE61D3">
      <w:pPr>
        <w:rPr>
          <w:rFonts w:cs="Arial"/>
        </w:rPr>
      </w:pPr>
    </w:p>
    <w:p w14:paraId="3261A35A" w14:textId="486EDA08" w:rsidR="00241784" w:rsidRDefault="00241784" w:rsidP="00CE61D3">
      <w:pPr>
        <w:rPr>
          <w:rFonts w:cs="Arial"/>
        </w:rPr>
      </w:pPr>
      <w:r>
        <w:rPr>
          <w:rFonts w:cs="Arial"/>
        </w:rPr>
        <w:lastRenderedPageBreak/>
        <w:t>So entstand die erste Definition von Katalyse:</w:t>
      </w:r>
    </w:p>
    <w:p w14:paraId="5FAF4676" w14:textId="2E21C6BD" w:rsidR="00241784" w:rsidRPr="000B26EB" w:rsidRDefault="00241784" w:rsidP="00241784">
      <w:pPr>
        <w:pStyle w:val="Grn"/>
        <w:rPr>
          <w:color w:val="auto"/>
        </w:rPr>
      </w:pPr>
      <w:r w:rsidRPr="00241784">
        <w:rPr>
          <w:rStyle w:val="GrnZchn"/>
        </w:rPr>
        <w:t xml:space="preserve">„Die </w:t>
      </w:r>
      <w:r w:rsidRPr="00241784">
        <w:rPr>
          <w:rStyle w:val="Fett"/>
        </w:rPr>
        <w:t>katalytische Kraft</w:t>
      </w:r>
      <w:r w:rsidRPr="00241784">
        <w:rPr>
          <w:rStyle w:val="GrnZchn"/>
        </w:rPr>
        <w:t xml:space="preserve"> scheint eigentlich darin zu bestehen, dass Körper durch ihre bloße Gegenwart und nicht durch ihre Verwandtschaft die bei dieser Temperatur schlummernden Verwandtschaften zu erwecken vermögen, so dass zufolge derselben in einem zusammengesetzten Körper die Elemente sich zu solchen anderen Verhältnissen ord</w:t>
      </w:r>
      <w:r w:rsidRPr="00241784">
        <w:t>nen, durch welche eine größere elektrochemische Neutralisierung hervorgebracht wird."</w:t>
      </w:r>
      <w:r w:rsidR="008A779C">
        <w:t xml:space="preserve"> </w:t>
      </w:r>
      <w:r w:rsidR="000B26EB" w:rsidRPr="000B26EB">
        <w:rPr>
          <w:color w:val="auto"/>
        </w:rPr>
        <w:t>Berzelius selbst, zitiert nach [23]</w:t>
      </w:r>
    </w:p>
    <w:p w14:paraId="299CB4E2" w14:textId="2A112736" w:rsidR="00241784" w:rsidRDefault="00241784" w:rsidP="00241784">
      <w:pPr>
        <w:rPr>
          <w:rFonts w:cs="Arial"/>
        </w:rPr>
      </w:pPr>
      <w:r>
        <w:rPr>
          <w:rFonts w:cs="Arial"/>
        </w:rPr>
        <w:t>Bei diesem Erklärungsversuch lag die Betonung wohl eher auf Versuch als auf Erklärung. Heute weiß man natürlich mehr über die Wirkungsweise von Katalysatoren. Im Folgenden soll nun versucht werden</w:t>
      </w:r>
      <w:r w:rsidR="008A779C">
        <w:rPr>
          <w:rFonts w:cs="Arial"/>
        </w:rPr>
        <w:t>,</w:t>
      </w:r>
      <w:r>
        <w:rPr>
          <w:rFonts w:cs="Arial"/>
        </w:rPr>
        <w:t xml:space="preserve"> die Prinzipien der Katalyse zu erläutern.</w:t>
      </w:r>
    </w:p>
    <w:p w14:paraId="4FE6A459" w14:textId="4476B77C" w:rsidR="00241784" w:rsidRDefault="00241784" w:rsidP="00241784">
      <w:pPr>
        <w:pStyle w:val="berschrift1"/>
      </w:pPr>
      <w:bookmarkStart w:id="4" w:name="_Toc146015313"/>
      <w:r>
        <w:t>Prinzip der Katalyse</w:t>
      </w:r>
      <w:bookmarkEnd w:id="4"/>
    </w:p>
    <w:p w14:paraId="1969DD4D" w14:textId="36980A27" w:rsidR="00241784" w:rsidRDefault="00241784" w:rsidP="00241784">
      <w:pPr>
        <w:rPr>
          <w:rFonts w:cs="Arial"/>
        </w:rPr>
      </w:pPr>
      <w:r>
        <w:rPr>
          <w:rFonts w:cs="Arial"/>
        </w:rPr>
        <w:t>Chemische Reaktionen stellen meist Umsetzungen dar, d. h. aus Edukten „A“ werden Produkte „B“ synthetisiert. Dies kann auf unterschiedlichen Wegen geschehen:</w:t>
      </w:r>
    </w:p>
    <w:p w14:paraId="01CA5BE1" w14:textId="1886E940" w:rsidR="00241784" w:rsidRDefault="00241784" w:rsidP="00241784">
      <w:pPr>
        <w:rPr>
          <w:rFonts w:cs="Arial"/>
        </w:rPr>
      </w:pPr>
      <w:r>
        <w:rPr>
          <w:rFonts w:cs="Arial"/>
          <w:b/>
          <w:bCs/>
        </w:rPr>
        <w:t>Exothermer Reaktionsweg:</w:t>
      </w:r>
      <w:r>
        <w:rPr>
          <w:rFonts w:cs="Arial"/>
        </w:rPr>
        <w:t xml:space="preserve"> d. h. im Reaktionsverlauf wird Energie frei, lediglich zu Beginn der Reaktion wird eine kleine Energie-Menge benötigt, um den Ablauf zu starten.</w:t>
      </w:r>
    </w:p>
    <w:p w14:paraId="20FBACB0" w14:textId="75A5336D" w:rsidR="00241784" w:rsidRDefault="00241784" w:rsidP="00241784">
      <w:pPr>
        <w:rPr>
          <w:rFonts w:cs="Arial"/>
        </w:rPr>
      </w:pPr>
      <w:r>
        <w:rPr>
          <w:rFonts w:cs="Arial"/>
          <w:b/>
          <w:bCs/>
        </w:rPr>
        <w:t>Endothermer Reaktionsweg:</w:t>
      </w:r>
      <w:r>
        <w:rPr>
          <w:rFonts w:cs="Arial"/>
        </w:rPr>
        <w:t xml:space="preserve"> d. h. es muss im Reaktionsverlauf ständig Energie zugeführt werden, damit die Umsetzung erfolgen kann.</w:t>
      </w:r>
    </w:p>
    <w:p w14:paraId="5DB2DDB3" w14:textId="3B5A6E39" w:rsidR="00241784" w:rsidRDefault="00241784" w:rsidP="00241784">
      <w:pPr>
        <w:rPr>
          <w:rFonts w:cs="Arial"/>
        </w:rPr>
      </w:pPr>
      <w:r>
        <w:rPr>
          <w:rFonts w:cs="Arial"/>
        </w:rPr>
        <w:t>Wenn man das Einstiegsexperiment unter obigen Gesichtspunkten betrachtet, so handelt es sich dabei um eine exotherme Reaktion. Aus den Edukten „A“ (d. h. Wasserstoff und Sauerstoff) wird das Produkt „B“ (d. h. Wasser) synthetisiert. Da dabei Energie frei wird handelt es sich um eine exotherme Reaktion. (DH</w:t>
      </w:r>
      <w:r>
        <w:rPr>
          <w:rFonts w:cs="Arial"/>
          <w:sz w:val="20"/>
          <w:szCs w:val="20"/>
        </w:rPr>
        <w:t>R</w:t>
      </w:r>
      <w:r>
        <w:rPr>
          <w:rFonts w:cs="Arial"/>
        </w:rPr>
        <w:t xml:space="preserve"> &lt; 0)</w:t>
      </w:r>
    </w:p>
    <w:p w14:paraId="1DF4854F" w14:textId="17435681" w:rsidR="00241784" w:rsidRDefault="00044C51" w:rsidP="00044C51">
      <w:pPr>
        <w:pStyle w:val="Bilder"/>
      </w:pPr>
      <w:r>
        <w:rPr>
          <w:lang w:eastAsia="de-DE"/>
        </w:rPr>
        <w:drawing>
          <wp:inline distT="0" distB="0" distL="0" distR="0" wp14:anchorId="14A58E95" wp14:editId="704A502D">
            <wp:extent cx="3741420" cy="2838152"/>
            <wp:effectExtent l="0" t="0" r="0" b="635"/>
            <wp:docPr id="3166933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9352" cy="2844169"/>
                    </a:xfrm>
                    <a:prstGeom prst="rect">
                      <a:avLst/>
                    </a:prstGeom>
                    <a:noFill/>
                    <a:ln>
                      <a:noFill/>
                    </a:ln>
                  </pic:spPr>
                </pic:pic>
              </a:graphicData>
            </a:graphic>
          </wp:inline>
        </w:drawing>
      </w:r>
    </w:p>
    <w:p w14:paraId="61FB4E88" w14:textId="114E88D0" w:rsidR="00241784" w:rsidRDefault="00241784" w:rsidP="00241784">
      <w:pPr>
        <w:pStyle w:val="Beschriftung"/>
      </w:pPr>
      <w:bookmarkStart w:id="5" w:name="_Ref54783359"/>
      <w:r>
        <w:t xml:space="preserve">Abb. </w:t>
      </w:r>
      <w:r w:rsidR="00F85A00">
        <w:fldChar w:fldCharType="begin"/>
      </w:r>
      <w:r w:rsidR="00F85A00">
        <w:instrText xml:space="preserve"> SEQ Abb. \* ARABIC </w:instrText>
      </w:r>
      <w:r w:rsidR="00F85A00">
        <w:fldChar w:fldCharType="separate"/>
      </w:r>
      <w:r w:rsidR="00F85A00">
        <w:rPr>
          <w:noProof/>
        </w:rPr>
        <w:t>4</w:t>
      </w:r>
      <w:r w:rsidR="00F85A00">
        <w:rPr>
          <w:noProof/>
        </w:rPr>
        <w:fldChar w:fldCharType="end"/>
      </w:r>
      <w:bookmarkEnd w:id="5"/>
      <w:r>
        <w:t>: Energie-Diagramm 1</w:t>
      </w:r>
      <w:r w:rsidR="000A1208">
        <w:t xml:space="preserve"> </w:t>
      </w:r>
    </w:p>
    <w:p w14:paraId="67343674" w14:textId="4DE950BC" w:rsidR="00241784" w:rsidRDefault="00241784" w:rsidP="00241784">
      <w:pPr>
        <w:rPr>
          <w:rFonts w:cs="Arial"/>
        </w:rPr>
      </w:pPr>
      <w:r>
        <w:rPr>
          <w:rFonts w:cs="Arial"/>
        </w:rPr>
        <w:t>In der Realität stellt sich eine exotherme Reaktion im Energie-Diagramm wie in Abbildung</w:t>
      </w:r>
      <w:r w:rsidR="000A1208">
        <w:rPr>
          <w:rFonts w:cs="Arial"/>
        </w:rPr>
        <w:t xml:space="preserve"> 5</w:t>
      </w:r>
      <w:r>
        <w:rPr>
          <w:rFonts w:cs="Arial"/>
        </w:rPr>
        <w:t xml:space="preserve"> dar.</w:t>
      </w:r>
    </w:p>
    <w:p w14:paraId="490D6848" w14:textId="2B2F3804" w:rsidR="00241784" w:rsidRDefault="00241784" w:rsidP="00241784">
      <w:pPr>
        <w:rPr>
          <w:rFonts w:cs="Arial"/>
        </w:rPr>
      </w:pPr>
      <w:r>
        <w:rPr>
          <w:rFonts w:cs="Arial"/>
        </w:rPr>
        <w:t>Das Edukt „A“ steht im Energie-Diagramm über dem Niveau des Produkts „B“. Der Weg der dazu nötig ist, um von A nach B zu kommen, vollzieht sich allerdings nicht linear (</w:t>
      </w:r>
      <w:r w:rsidR="00C40764">
        <w:rPr>
          <w:rStyle w:val="Fett"/>
          <w:rFonts w:cs="Arial"/>
          <w:b w:val="0"/>
          <w:bCs w:val="0"/>
          <w:color w:val="FF00FF" w:themeColor="accent4"/>
        </w:rPr>
        <w:fldChar w:fldCharType="begin"/>
      </w:r>
      <w:r w:rsidR="00C40764">
        <w:rPr>
          <w:rFonts w:cs="Arial"/>
        </w:rPr>
        <w:instrText xml:space="preserve"> REF _Ref54783359 \h </w:instrText>
      </w:r>
      <w:r w:rsidR="00C40764">
        <w:rPr>
          <w:rStyle w:val="Fett"/>
          <w:rFonts w:cs="Arial"/>
          <w:b w:val="0"/>
          <w:bCs w:val="0"/>
          <w:color w:val="FF00FF" w:themeColor="accent4"/>
        </w:rPr>
      </w:r>
      <w:r w:rsidR="00C40764">
        <w:rPr>
          <w:rStyle w:val="Fett"/>
          <w:rFonts w:cs="Arial"/>
          <w:b w:val="0"/>
          <w:bCs w:val="0"/>
          <w:color w:val="FF00FF" w:themeColor="accent4"/>
        </w:rPr>
        <w:fldChar w:fldCharType="separate"/>
      </w:r>
      <w:r w:rsidR="00F85A00">
        <w:t xml:space="preserve">Abb. </w:t>
      </w:r>
      <w:r w:rsidR="00F85A00">
        <w:rPr>
          <w:noProof/>
        </w:rPr>
        <w:t>4</w:t>
      </w:r>
      <w:r w:rsidR="00C40764">
        <w:rPr>
          <w:rStyle w:val="Fett"/>
          <w:rFonts w:cs="Arial"/>
          <w:b w:val="0"/>
          <w:bCs w:val="0"/>
          <w:color w:val="FF00FF" w:themeColor="accent4"/>
        </w:rPr>
        <w:fldChar w:fldCharType="end"/>
      </w:r>
      <w:r>
        <w:rPr>
          <w:rFonts w:cs="Arial"/>
        </w:rPr>
        <w:t>). Es muss zunächst Energie zugeführt werden, um die Reaktion zu starten. Die dazu notwendige Energie wird als sog. Aktivierungsenergie „E</w:t>
      </w:r>
      <w:r>
        <w:rPr>
          <w:rFonts w:cs="Arial"/>
          <w:sz w:val="15"/>
          <w:szCs w:val="15"/>
        </w:rPr>
        <w:t>A</w:t>
      </w:r>
      <w:r>
        <w:rPr>
          <w:rFonts w:cs="Arial"/>
        </w:rPr>
        <w:t>“ bezeichnet.</w:t>
      </w:r>
    </w:p>
    <w:p w14:paraId="17BF48FD" w14:textId="1C83FCF0" w:rsidR="00241784" w:rsidRDefault="00241784" w:rsidP="00241784">
      <w:pPr>
        <w:rPr>
          <w:rFonts w:cs="Arial"/>
        </w:rPr>
      </w:pPr>
      <w:r>
        <w:rPr>
          <w:rFonts w:cs="Arial"/>
        </w:rPr>
        <w:t>Erst wenn der Reaktion so viel Aktivierungsenergie zugeführt wurde, dass das „Energieberg-Maximum" erreicht ist, beginnt die Reaktion von selbst, d. h. ohne weitere Energie-Zufuhr, weiter zu reagieren.</w:t>
      </w:r>
    </w:p>
    <w:p w14:paraId="0E8B5769" w14:textId="5A696FD8" w:rsidR="00241784" w:rsidRDefault="00241784" w:rsidP="00241784">
      <w:pPr>
        <w:rPr>
          <w:rFonts w:cs="Arial"/>
        </w:rPr>
      </w:pPr>
      <w:r>
        <w:rPr>
          <w:rFonts w:cs="Arial"/>
        </w:rPr>
        <w:t>Die Aktivierungsenergie kann unter Normal-Bedingungen, d. h. unter Normal-Druck und Normal-Temperatur, durchaus beachtliche Werte erreichen. Manchmal können diese Werte sogar so hoch sein, dass es nicht möglich ist</w:t>
      </w:r>
      <w:r w:rsidR="000A1208">
        <w:rPr>
          <w:rFonts w:cs="Arial"/>
        </w:rPr>
        <w:t>,</w:t>
      </w:r>
      <w:r>
        <w:rPr>
          <w:rFonts w:cs="Arial"/>
        </w:rPr>
        <w:t xml:space="preserve"> so viel Energie aufzubringen, um die Reaktion zu starten.</w:t>
      </w:r>
    </w:p>
    <w:p w14:paraId="5CF18553" w14:textId="3EC4241E" w:rsidR="00241784" w:rsidRDefault="00241784" w:rsidP="00241784">
      <w:pPr>
        <w:rPr>
          <w:rFonts w:cs="Arial"/>
        </w:rPr>
      </w:pPr>
      <w:r>
        <w:rPr>
          <w:rFonts w:cs="Arial"/>
        </w:rPr>
        <w:t>Um dieses Problem zu lösen, werden Katalysatoren eingesetzt.</w:t>
      </w:r>
    </w:p>
    <w:p w14:paraId="05AA7522" w14:textId="70AEDB81" w:rsidR="00241784" w:rsidRDefault="00044C51" w:rsidP="00241784">
      <w:pPr>
        <w:pStyle w:val="Bilder"/>
      </w:pPr>
      <w:r>
        <w:rPr>
          <w:lang w:eastAsia="de-DE"/>
        </w:rPr>
        <w:drawing>
          <wp:inline distT="0" distB="0" distL="0" distR="0" wp14:anchorId="7F27C68A" wp14:editId="56BD4F0A">
            <wp:extent cx="3550920" cy="2672634"/>
            <wp:effectExtent l="0" t="0" r="0" b="0"/>
            <wp:docPr id="11152422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42244" name=""/>
                    <pic:cNvPicPr/>
                  </pic:nvPicPr>
                  <pic:blipFill rotWithShape="1">
                    <a:blip r:embed="rId14"/>
                    <a:srcRect l="9108" t="25315" r="42655" b="10147"/>
                    <a:stretch/>
                  </pic:blipFill>
                  <pic:spPr bwMode="auto">
                    <a:xfrm>
                      <a:off x="0" y="0"/>
                      <a:ext cx="3560548" cy="2679881"/>
                    </a:xfrm>
                    <a:prstGeom prst="rect">
                      <a:avLst/>
                    </a:prstGeom>
                    <a:ln>
                      <a:noFill/>
                    </a:ln>
                    <a:extLst>
                      <a:ext uri="{53640926-AAD7-44D8-BBD7-CCE9431645EC}">
                        <a14:shadowObscured xmlns:a14="http://schemas.microsoft.com/office/drawing/2010/main"/>
                      </a:ext>
                    </a:extLst>
                  </pic:spPr>
                </pic:pic>
              </a:graphicData>
            </a:graphic>
          </wp:inline>
        </w:drawing>
      </w:r>
    </w:p>
    <w:p w14:paraId="39C04A94" w14:textId="5D37F06F" w:rsidR="00241784" w:rsidRDefault="00241784" w:rsidP="00241784">
      <w:pPr>
        <w:pStyle w:val="Beschriftung"/>
      </w:pPr>
      <w:r>
        <w:t xml:space="preserve">Abb. </w:t>
      </w:r>
      <w:r w:rsidR="00F85A00">
        <w:fldChar w:fldCharType="begin"/>
      </w:r>
      <w:r w:rsidR="00F85A00">
        <w:instrText xml:space="preserve"> SEQ A</w:instrText>
      </w:r>
      <w:r w:rsidR="00F85A00">
        <w:instrText xml:space="preserve">bb. \* ARABIC </w:instrText>
      </w:r>
      <w:r w:rsidR="00F85A00">
        <w:fldChar w:fldCharType="separate"/>
      </w:r>
      <w:r w:rsidR="00F85A00">
        <w:rPr>
          <w:noProof/>
        </w:rPr>
        <w:t>5</w:t>
      </w:r>
      <w:r w:rsidR="00F85A00">
        <w:rPr>
          <w:noProof/>
        </w:rPr>
        <w:fldChar w:fldCharType="end"/>
      </w:r>
      <w:r>
        <w:t>: Energie-Diagramm 2 (ohne Katalysator)</w:t>
      </w:r>
    </w:p>
    <w:p w14:paraId="59645EEA" w14:textId="58C88DCD" w:rsidR="00241784" w:rsidRDefault="00241784" w:rsidP="00241784">
      <w:pPr>
        <w:rPr>
          <w:rFonts w:cs="Arial"/>
        </w:rPr>
      </w:pPr>
      <w:r>
        <w:rPr>
          <w:rFonts w:cs="Arial"/>
        </w:rPr>
        <w:t>Katalysatoren schaffen es die Aktivierungsenergie „E</w:t>
      </w:r>
      <w:r>
        <w:rPr>
          <w:rFonts w:cs="Arial"/>
          <w:sz w:val="15"/>
          <w:szCs w:val="15"/>
        </w:rPr>
        <w:t>A</w:t>
      </w:r>
      <w:r>
        <w:rPr>
          <w:rFonts w:cs="Arial"/>
        </w:rPr>
        <w:t>“ auf ein Minimum zu reduzieren. Dies hat zur Folge, dass bereits bei geringer Energie-Zufuhr die Reaktion, unter Normal-Bedingungen, starten kann. Um dies zu erreichen, müssen Katalysatoren natürlich massiv in das Reaktionsgeschehen eingreifen (dies ist ein Widerspruch zur „</w:t>
      </w:r>
      <w:proofErr w:type="spellStart"/>
      <w:r>
        <w:rPr>
          <w:rFonts w:cs="Arial"/>
        </w:rPr>
        <w:t>Berzelius‘schen</w:t>
      </w:r>
      <w:proofErr w:type="spellEnd"/>
      <w:r>
        <w:rPr>
          <w:rFonts w:cs="Arial"/>
        </w:rPr>
        <w:t xml:space="preserve"> Definition"). Der Katalysator schafft es durch Änderung des Reaktionsweges, sog. aktivierte Zwischen-Stufen zu bilden. Diese Zwischen-Stufen liegen wiederum energetisch günstiger und so kann die Reaktion schneller ablaufen.</w:t>
      </w:r>
    </w:p>
    <w:p w14:paraId="20F4C5EB" w14:textId="506CDEAC" w:rsidR="00241784" w:rsidRDefault="00241784" w:rsidP="00241784">
      <w:pPr>
        <w:rPr>
          <w:rFonts w:cs="Arial"/>
        </w:rPr>
      </w:pPr>
      <w:r>
        <w:rPr>
          <w:rFonts w:cs="Arial"/>
        </w:rPr>
        <w:t>Erklären lässt sich dieser Effekt mittels der Arrhenius Gleichung, da E</w:t>
      </w:r>
      <w:r>
        <w:rPr>
          <w:rFonts w:cs="Arial"/>
          <w:sz w:val="15"/>
          <w:szCs w:val="15"/>
        </w:rPr>
        <w:t>A</w:t>
      </w:r>
      <w:r>
        <w:rPr>
          <w:rFonts w:cs="Arial"/>
        </w:rPr>
        <w:t xml:space="preserve"> exponentiell negativ in die Geschwindigkeitskonstante „k“ einer chemischen Reaktion eingeht.</w:t>
      </w:r>
    </w:p>
    <w:p w14:paraId="7BA74D37" w14:textId="4F882DE2" w:rsidR="00241784" w:rsidRPr="00131FD2" w:rsidRDefault="00241784" w:rsidP="00241784">
      <w:pPr>
        <w:pStyle w:val="Formeln"/>
        <w:rPr>
          <w:rFonts w:eastAsiaTheme="minorEastAsia"/>
        </w:rPr>
      </w:pPr>
      <m:oMathPara>
        <m:oMath>
          <m:r>
            <m:rPr>
              <m:nor/>
            </m:rPr>
            <m:t xml:space="preserve">k ~ </m:t>
          </m:r>
          <m:sSup>
            <m:sSupPr>
              <m:ctrlPr>
                <w:rPr>
                  <w:rFonts w:ascii="Cambria Math" w:hAnsi="Cambria Math"/>
                </w:rPr>
              </m:ctrlPr>
            </m:sSupPr>
            <m:e>
              <m:r>
                <w:rPr>
                  <w:rFonts w:ascii="Cambria Math" w:hAnsi="Cambria Math"/>
                </w:rPr>
                <m:t xml:space="preserve">e </m:t>
              </m:r>
            </m:e>
            <m:sup>
              <m:r>
                <m:rPr>
                  <m:nor/>
                </m:rPr>
                <m:t xml:space="preserve">- </m:t>
              </m:r>
              <m:f>
                <m:fPr>
                  <m:ctrlPr>
                    <w:rPr>
                      <w:rFonts w:ascii="Cambria Math" w:hAnsi="Cambria Math"/>
                    </w:rPr>
                  </m:ctrlPr>
                </m:fPr>
                <m:num>
                  <m:sSub>
                    <m:sSubPr>
                      <m:ctrlPr>
                        <w:rPr>
                          <w:rFonts w:ascii="Cambria Math" w:hAnsi="Cambria Math"/>
                        </w:rPr>
                      </m:ctrlPr>
                    </m:sSubPr>
                    <m:e>
                      <m:r>
                        <m:rPr>
                          <m:nor/>
                        </m:rPr>
                        <m:t>E</m:t>
                      </m:r>
                    </m:e>
                    <m:sub>
                      <m:r>
                        <m:rPr>
                          <m:nor/>
                        </m:rPr>
                        <m:t>A</m:t>
                      </m:r>
                    </m:sub>
                  </m:sSub>
                </m:num>
                <m:den>
                  <m:r>
                    <m:rPr>
                      <m:nor/>
                    </m:rPr>
                    <m:t>RT</m:t>
                  </m:r>
                </m:den>
              </m:f>
            </m:sup>
          </m:sSup>
        </m:oMath>
      </m:oMathPara>
    </w:p>
    <w:p w14:paraId="44C4E547" w14:textId="04CC3D31" w:rsidR="00241784" w:rsidRDefault="00241784" w:rsidP="00241784">
      <w:pPr>
        <w:rPr>
          <w:rFonts w:cs="Arial"/>
        </w:rPr>
      </w:pPr>
      <w:r>
        <w:rPr>
          <w:rFonts w:cs="Arial"/>
        </w:rPr>
        <w:t xml:space="preserve">Durch eine höhere Reaktionsgeschwindigkeit ist es nun möglich, dass sich das Gleichgewicht der Reaktion schneller einstellt, </w:t>
      </w:r>
      <w:r w:rsidRPr="00241784">
        <w:rPr>
          <w:rStyle w:val="Fett"/>
        </w:rPr>
        <w:t>ohne</w:t>
      </w:r>
      <w:r>
        <w:rPr>
          <w:rFonts w:cs="Arial"/>
        </w:rPr>
        <w:t xml:space="preserve"> dabei die endgültige thermodynamische Lage des Gleichgewichts zu verändern. Die Katalyse ist somit kein thermodynamisches, sondern ein kinetisches Phänomen.</w:t>
      </w:r>
    </w:p>
    <w:p w14:paraId="11289036" w14:textId="7ADF3DD4" w:rsidR="00F40DE9" w:rsidRDefault="00F40DE9" w:rsidP="00F40DE9">
      <w:pPr>
        <w:pStyle w:val="Bilder"/>
      </w:pPr>
      <w:r>
        <w:rPr>
          <w:lang w:eastAsia="de-DE"/>
        </w:rPr>
        <w:drawing>
          <wp:inline distT="0" distB="0" distL="0" distR="0" wp14:anchorId="63E62E02" wp14:editId="738971CA">
            <wp:extent cx="3768024" cy="288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8024" cy="2880000"/>
                    </a:xfrm>
                    <a:prstGeom prst="rect">
                      <a:avLst/>
                    </a:prstGeom>
                    <a:noFill/>
                  </pic:spPr>
                </pic:pic>
              </a:graphicData>
            </a:graphic>
          </wp:inline>
        </w:drawing>
      </w:r>
    </w:p>
    <w:p w14:paraId="6153DA23" w14:textId="7B3A0B3D" w:rsidR="00F40DE9" w:rsidRDefault="00F40DE9" w:rsidP="00F40DE9">
      <w:pPr>
        <w:pStyle w:val="Beschriftung"/>
      </w:pPr>
      <w:bookmarkStart w:id="6" w:name="_Ref54783384"/>
      <w:r>
        <w:t xml:space="preserve">Abb. </w:t>
      </w:r>
      <w:r w:rsidR="00F85A00">
        <w:fldChar w:fldCharType="begin"/>
      </w:r>
      <w:r w:rsidR="00F85A00">
        <w:instrText xml:space="preserve"> SEQ Abb. \* ARABIC </w:instrText>
      </w:r>
      <w:r w:rsidR="00F85A00">
        <w:fldChar w:fldCharType="separate"/>
      </w:r>
      <w:r w:rsidR="00F85A00">
        <w:rPr>
          <w:noProof/>
        </w:rPr>
        <w:t>6</w:t>
      </w:r>
      <w:r w:rsidR="00F85A00">
        <w:rPr>
          <w:noProof/>
        </w:rPr>
        <w:fldChar w:fldCharType="end"/>
      </w:r>
      <w:bookmarkEnd w:id="6"/>
      <w:r>
        <w:t>: Energie-Diagramm 3 (mit Katalysator)</w:t>
      </w:r>
    </w:p>
    <w:p w14:paraId="69347864" w14:textId="11DB8251" w:rsidR="00F40DE9" w:rsidRDefault="00F40DE9" w:rsidP="00F40DE9">
      <w:pPr>
        <w:pStyle w:val="berschrift1"/>
      </w:pPr>
      <w:bookmarkStart w:id="7" w:name="_Toc146015314"/>
      <w:r>
        <w:t>Definition des Katalysators nach Wilhelm Ostwald (1909)</w:t>
      </w:r>
      <w:bookmarkEnd w:id="7"/>
    </w:p>
    <w:p w14:paraId="2D230F7B" w14:textId="6A68E38A" w:rsidR="00F40DE9" w:rsidRDefault="00F40DE9" w:rsidP="00F40DE9">
      <w:pPr>
        <w:rPr>
          <w:rFonts w:cs="Arial"/>
        </w:rPr>
      </w:pPr>
      <w:r>
        <w:rPr>
          <w:rFonts w:cs="Arial"/>
        </w:rPr>
        <w:t>Mit diesen Erkenntnissen war es nun möglich geworden, den Begriff des Katalysators neu zu definieren.</w:t>
      </w:r>
    </w:p>
    <w:p w14:paraId="54EE1094" w14:textId="4B9A5C4F" w:rsidR="00F40DE9" w:rsidRDefault="00F40DE9" w:rsidP="00F40DE9">
      <w:pPr>
        <w:pStyle w:val="Bilder"/>
      </w:pPr>
      <w:r>
        <w:rPr>
          <w:lang w:eastAsia="de-DE"/>
        </w:rPr>
        <w:drawing>
          <wp:inline distT="0" distB="0" distL="0" distR="0" wp14:anchorId="1B2E66BD" wp14:editId="3308B667">
            <wp:extent cx="1635090" cy="1800000"/>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5090" cy="1800000"/>
                    </a:xfrm>
                    <a:prstGeom prst="rect">
                      <a:avLst/>
                    </a:prstGeom>
                    <a:noFill/>
                    <a:ln>
                      <a:noFill/>
                    </a:ln>
                  </pic:spPr>
                </pic:pic>
              </a:graphicData>
            </a:graphic>
          </wp:inline>
        </w:drawing>
      </w:r>
    </w:p>
    <w:p w14:paraId="7BD41664" w14:textId="2D2F273E" w:rsidR="00F40DE9" w:rsidRDefault="00F40DE9" w:rsidP="00F40DE9">
      <w:pPr>
        <w:pStyle w:val="Beschriftung"/>
      </w:pPr>
      <w:r>
        <w:t xml:space="preserve">Abb. </w:t>
      </w:r>
      <w:r w:rsidR="00F85A00">
        <w:fldChar w:fldCharType="begin"/>
      </w:r>
      <w:r w:rsidR="00F85A00">
        <w:instrText xml:space="preserve"> SEQ Abb. \* ARABIC </w:instrText>
      </w:r>
      <w:r w:rsidR="00F85A00">
        <w:fldChar w:fldCharType="separate"/>
      </w:r>
      <w:r w:rsidR="00F85A00">
        <w:rPr>
          <w:noProof/>
        </w:rPr>
        <w:t>7</w:t>
      </w:r>
      <w:r w:rsidR="00F85A00">
        <w:rPr>
          <w:noProof/>
        </w:rPr>
        <w:fldChar w:fldCharType="end"/>
      </w:r>
      <w:r>
        <w:t>: Wilhelm Ostwald [</w:t>
      </w:r>
      <w:r>
        <w:fldChar w:fldCharType="begin"/>
      </w:r>
      <w:r>
        <w:instrText xml:space="preserve"> REF _Ref54780028 \r \h </w:instrText>
      </w:r>
      <w:r>
        <w:fldChar w:fldCharType="separate"/>
      </w:r>
      <w:r w:rsidR="00F85A00">
        <w:t>20</w:t>
      </w:r>
      <w:r>
        <w:fldChar w:fldCharType="end"/>
      </w:r>
      <w:r>
        <w:t>]</w:t>
      </w:r>
    </w:p>
    <w:p w14:paraId="00E15D9E" w14:textId="58807D01" w:rsidR="00F40DE9" w:rsidRDefault="00F40DE9" w:rsidP="00F40DE9">
      <w:pPr>
        <w:pStyle w:val="Grn"/>
        <w:rPr>
          <w:rStyle w:val="Hervorhebung"/>
          <w:i w:val="0"/>
          <w:iCs w:val="0"/>
        </w:rPr>
      </w:pPr>
      <w:r>
        <w:rPr>
          <w:rStyle w:val="Hervorhebung"/>
          <w:i w:val="0"/>
          <w:iCs w:val="0"/>
        </w:rPr>
        <w:t>„</w:t>
      </w:r>
      <w:r w:rsidRPr="00F40DE9">
        <w:rPr>
          <w:rStyle w:val="Hervorhebung"/>
          <w:i w:val="0"/>
          <w:iCs w:val="0"/>
        </w:rPr>
        <w:t xml:space="preserve">Ein </w:t>
      </w:r>
      <w:r w:rsidRPr="00F40DE9">
        <w:rPr>
          <w:rStyle w:val="Fett"/>
        </w:rPr>
        <w:t>Katalysator</w:t>
      </w:r>
      <w:r w:rsidRPr="00F40DE9">
        <w:rPr>
          <w:rStyle w:val="Hervorhebung"/>
          <w:i w:val="0"/>
          <w:iCs w:val="0"/>
        </w:rPr>
        <w:t xml:space="preserve"> ist ein Stoff, der die Geschwindigkeit einer chemischen Reaktion erhöht, ohne selbst dabei verbraucht zu werden und ohne die endgültige Lage des thermodynamischen Gleichgewichts dieser Reaktion zu verändern."</w:t>
      </w:r>
    </w:p>
    <w:p w14:paraId="54486BF9" w14:textId="006028F2" w:rsidR="00F40DE9" w:rsidRDefault="00F40DE9" w:rsidP="00F40DE9">
      <w:r w:rsidRPr="00F40DE9">
        <w:t>Für diese Definition und seine Arbeiten zur Katalyse erhielt Wilhelm Ostwald 1909 den Nobelpreis.</w:t>
      </w:r>
    </w:p>
    <w:p w14:paraId="040F8A55" w14:textId="17CA902F" w:rsidR="00F40DE9" w:rsidRDefault="00F40DE9" w:rsidP="00F40DE9">
      <w:pPr>
        <w:pStyle w:val="berschrift1"/>
      </w:pPr>
      <w:bookmarkStart w:id="8" w:name="_Toc146015315"/>
      <w:r>
        <w:t>Katalysator-Typen</w:t>
      </w:r>
      <w:bookmarkEnd w:id="8"/>
    </w:p>
    <w:p w14:paraId="510A1358" w14:textId="61215A0F" w:rsidR="00F40DE9" w:rsidRDefault="00F40DE9" w:rsidP="00F40DE9">
      <w:pPr>
        <w:rPr>
          <w:rFonts w:cs="Arial"/>
        </w:rPr>
      </w:pPr>
      <w:r>
        <w:rPr>
          <w:rFonts w:cs="Arial"/>
        </w:rPr>
        <w:t>Ostwalds Definition von 1909 galt von nun ab für alle Katalysatoren. Unterschiede gibt es daher lediglich in der Arbeitsweise der einzelnen Katalysatoren, aber nicht in deren Wirkungsweise. Hierbei kommt es vor allem auf die Art des Katalysators und dessen Beschaffenheit ab.</w:t>
      </w:r>
    </w:p>
    <w:p w14:paraId="5788E909" w14:textId="0146F1A1" w:rsidR="00F40DE9" w:rsidRDefault="00F40DE9" w:rsidP="00F40DE9">
      <w:pPr>
        <w:rPr>
          <w:rFonts w:cs="Arial"/>
        </w:rPr>
      </w:pPr>
      <w:r>
        <w:rPr>
          <w:rFonts w:cs="Arial"/>
        </w:rPr>
        <w:t>Grundsätzlich lassen sich 4 Katalysator-Typen unterscheiden:</w:t>
      </w:r>
    </w:p>
    <w:p w14:paraId="1EE4DE93" w14:textId="7E4A14AA" w:rsidR="00F40DE9" w:rsidRDefault="00F40DE9" w:rsidP="00F40DE9">
      <w:pPr>
        <w:pStyle w:val="Liste1Aufzhlung"/>
      </w:pPr>
      <w:r>
        <w:t>Heterogene Katalysatoren</w:t>
      </w:r>
    </w:p>
    <w:p w14:paraId="72D9D1C9" w14:textId="7B07C048" w:rsidR="00F40DE9" w:rsidRDefault="00F40DE9" w:rsidP="00F40DE9">
      <w:pPr>
        <w:pStyle w:val="Liste1Aufzhlung"/>
      </w:pPr>
      <w:r>
        <w:t>Homogene Katalysatoren</w:t>
      </w:r>
    </w:p>
    <w:p w14:paraId="00A61396" w14:textId="73687F91" w:rsidR="00F40DE9" w:rsidRDefault="00F40DE9" w:rsidP="00F40DE9">
      <w:pPr>
        <w:pStyle w:val="Liste1Aufzhlung"/>
      </w:pPr>
      <w:r>
        <w:t>Autokatalyse</w:t>
      </w:r>
    </w:p>
    <w:p w14:paraId="19B06E27" w14:textId="201A6ACD" w:rsidR="00F40DE9" w:rsidRDefault="00F40DE9" w:rsidP="00F40DE9">
      <w:pPr>
        <w:pStyle w:val="Liste1Aufzhlung"/>
      </w:pPr>
      <w:r>
        <w:t>Biokatalysatoren</w:t>
      </w:r>
    </w:p>
    <w:p w14:paraId="307FFBF6" w14:textId="59528F1F" w:rsidR="00F40DE9" w:rsidRDefault="00F40DE9" w:rsidP="00F40DE9">
      <w:pPr>
        <w:pStyle w:val="berschrift2"/>
      </w:pPr>
      <w:bookmarkStart w:id="9" w:name="_Toc146015316"/>
      <w:r>
        <w:t>Heterogene Katalysatoren</w:t>
      </w:r>
      <w:bookmarkEnd w:id="9"/>
    </w:p>
    <w:p w14:paraId="4F499072" w14:textId="72BD94FC" w:rsidR="00F40DE9" w:rsidRDefault="00F40DE9" w:rsidP="00F40DE9">
      <w:pPr>
        <w:rPr>
          <w:rFonts w:cs="Arial"/>
        </w:rPr>
      </w:pPr>
      <w:r>
        <w:rPr>
          <w:rFonts w:cs="Arial"/>
        </w:rPr>
        <w:t xml:space="preserve">Unter heterogenen Katalysatoren versteht man Katalysatoren, die sich in einer anderen Phase befinden als die </w:t>
      </w:r>
      <w:proofErr w:type="spellStart"/>
      <w:r>
        <w:rPr>
          <w:rFonts w:cs="Arial"/>
        </w:rPr>
        <w:t>Reaktanten</w:t>
      </w:r>
      <w:proofErr w:type="spellEnd"/>
      <w:r>
        <w:rPr>
          <w:rFonts w:cs="Arial"/>
        </w:rPr>
        <w:t>.</w:t>
      </w:r>
    </w:p>
    <w:p w14:paraId="6E09849A" w14:textId="266EF717" w:rsidR="00F40DE9" w:rsidRDefault="00F40DE9" w:rsidP="00F40DE9">
      <w:pPr>
        <w:rPr>
          <w:rFonts w:cs="Arial"/>
        </w:rPr>
      </w:pPr>
      <w:r>
        <w:rPr>
          <w:rStyle w:val="Fett"/>
          <w:rFonts w:cs="Arial"/>
        </w:rPr>
        <w:t xml:space="preserve">Versuch. </w:t>
      </w:r>
      <w:r>
        <w:rPr>
          <w:rFonts w:cs="Arial"/>
        </w:rPr>
        <w:t>In eine Wasserstoffperoxid-Lösung w= 10% wird ein Stück Platin-Draht gegeben. Dabei kann nach einiger Zeit eine Gas-Entwicklung am Platin-Draht festgestellt werden. Erklärt kann dieses Phänomen durch die katalytische Spaltung von Wasserstoffperoxid werden. Platin wirkt als heterogener Katalysator in der Wasserstoffperoxid-Lösung, d. h. die Aktivierungsenergie zum Zerfall des Wasserstoffperoxids wird soweit herabgesetzt, dass es bereits unter Normal-Bedingungen in Wasser und Sauerstoff (Gas-Entwicklung!) zerfällt.</w:t>
      </w:r>
    </w:p>
    <w:p w14:paraId="0A09FE22" w14:textId="6AB76020" w:rsidR="00F40DE9" w:rsidRDefault="00F40DE9" w:rsidP="00F40DE9">
      <w:pPr>
        <w:rPr>
          <w:rFonts w:cs="Arial"/>
        </w:rPr>
      </w:pPr>
      <w:r>
        <w:rPr>
          <w:rFonts w:cs="Arial"/>
        </w:rPr>
        <w:t xml:space="preserve">Als weiteres Beispiel für ein solches Katalysator-System kann der </w:t>
      </w:r>
      <w:r>
        <w:rPr>
          <w:rStyle w:val="Fett"/>
          <w:rFonts w:cs="Arial"/>
        </w:rPr>
        <w:t>Autokatalysator</w:t>
      </w:r>
      <w:r>
        <w:rPr>
          <w:rFonts w:cs="Arial"/>
        </w:rPr>
        <w:t xml:space="preserve"> herangezogen werden. Dabei handelt es sich meist um einen mit Platin bedampften Keramik-Körper. In ihm werden die, durch Verbrennung von Kraftstoff gebildeten Stickoxide, in Stickstoff und Sauerstoff gespalten. Der Vorgang wird im folgenden Schema nochmals verdeutlicht:</w:t>
      </w:r>
    </w:p>
    <w:p w14:paraId="17EFA5D6" w14:textId="567A57CF" w:rsidR="00F40DE9" w:rsidRDefault="00F40DE9" w:rsidP="00F40DE9">
      <w:pPr>
        <w:pStyle w:val="Bilder"/>
      </w:pPr>
      <w:r>
        <w:rPr>
          <w:lang w:eastAsia="de-DE"/>
        </w:rPr>
        <w:drawing>
          <wp:inline distT="0" distB="0" distL="0" distR="0" wp14:anchorId="7FDF304C" wp14:editId="733E2B1C">
            <wp:extent cx="4739848" cy="288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9848" cy="2880000"/>
                    </a:xfrm>
                    <a:prstGeom prst="rect">
                      <a:avLst/>
                    </a:prstGeom>
                    <a:noFill/>
                  </pic:spPr>
                </pic:pic>
              </a:graphicData>
            </a:graphic>
          </wp:inline>
        </w:drawing>
      </w:r>
    </w:p>
    <w:p w14:paraId="2E878607" w14:textId="220FCFF0" w:rsidR="00F40DE9" w:rsidRDefault="00F40DE9" w:rsidP="00F40DE9">
      <w:pPr>
        <w:pStyle w:val="Beschriftung"/>
      </w:pPr>
      <w:r>
        <w:t xml:space="preserve">Abb. </w:t>
      </w:r>
      <w:r w:rsidR="00F85A00">
        <w:fldChar w:fldCharType="begin"/>
      </w:r>
      <w:r w:rsidR="00F85A00">
        <w:instrText xml:space="preserve"> SEQ Abb. \* ARABIC </w:instrText>
      </w:r>
      <w:r w:rsidR="00F85A00">
        <w:fldChar w:fldCharType="separate"/>
      </w:r>
      <w:r w:rsidR="00F85A00">
        <w:rPr>
          <w:noProof/>
        </w:rPr>
        <w:t>8</w:t>
      </w:r>
      <w:r w:rsidR="00F85A00">
        <w:rPr>
          <w:noProof/>
        </w:rPr>
        <w:fldChar w:fldCharType="end"/>
      </w:r>
      <w:r>
        <w:t xml:space="preserve">: </w:t>
      </w:r>
      <w:r w:rsidRPr="00131FD2">
        <w:rPr>
          <w:color w:val="auto"/>
        </w:rPr>
        <w:t>Stickstoff</w:t>
      </w:r>
      <w:r w:rsidR="00131FD2" w:rsidRPr="00131FD2">
        <w:rPr>
          <w:color w:val="auto"/>
        </w:rPr>
        <w:t>oxid</w:t>
      </w:r>
      <w:r w:rsidRPr="00131FD2">
        <w:rPr>
          <w:color w:val="auto"/>
        </w:rPr>
        <w:t xml:space="preserve">-Zerfall </w:t>
      </w:r>
      <w:r>
        <w:t>im Autoabgas-Katalysator</w:t>
      </w:r>
    </w:p>
    <w:p w14:paraId="5488D1FA" w14:textId="193BC256" w:rsidR="00F40DE9" w:rsidRDefault="00F40DE9" w:rsidP="00F40DE9">
      <w:pPr>
        <w:rPr>
          <w:rFonts w:cs="Arial"/>
        </w:rPr>
      </w:pPr>
      <w:r>
        <w:rPr>
          <w:rFonts w:cs="Arial"/>
        </w:rPr>
        <w:t>Hierbei kann die Reaktion nur an der Phasen-Grenze (fest/gasförmig) ablaufen, da nur die Oberflächen</w:t>
      </w:r>
      <w:r w:rsidR="007C3938">
        <w:rPr>
          <w:rFonts w:cs="Arial"/>
        </w:rPr>
        <w:t>-M</w:t>
      </w:r>
      <w:r>
        <w:rPr>
          <w:rFonts w:cs="Arial"/>
        </w:rPr>
        <w:t xml:space="preserve">oleküle des Katalysators aktiv sind. Zunächst </w:t>
      </w:r>
      <w:r w:rsidRPr="000A1208">
        <w:rPr>
          <w:rStyle w:val="Fett"/>
          <w:rFonts w:cs="Arial"/>
          <w:b w:val="0"/>
        </w:rPr>
        <w:t>diffundieren</w:t>
      </w:r>
      <w:r>
        <w:rPr>
          <w:rFonts w:cs="Arial"/>
        </w:rPr>
        <w:t xml:space="preserve"> die NO-Moleküle aus der Gas</w:t>
      </w:r>
      <w:r w:rsidR="007C3938">
        <w:rPr>
          <w:rFonts w:cs="Arial"/>
        </w:rPr>
        <w:t>-P</w:t>
      </w:r>
      <w:r>
        <w:rPr>
          <w:rFonts w:cs="Arial"/>
        </w:rPr>
        <w:t xml:space="preserve">hase an die Katalysator-Oberfläche heran. Hier kommt es zur </w:t>
      </w:r>
      <w:r>
        <w:rPr>
          <w:rStyle w:val="Fett"/>
          <w:rFonts w:cs="Arial"/>
        </w:rPr>
        <w:t>Adsorption</w:t>
      </w:r>
      <w:r>
        <w:rPr>
          <w:rFonts w:cs="Arial"/>
        </w:rPr>
        <w:t>, d.</w:t>
      </w:r>
      <w:r w:rsidR="007C3938">
        <w:rPr>
          <w:rFonts w:cs="Arial"/>
        </w:rPr>
        <w:t> </w:t>
      </w:r>
      <w:r>
        <w:rPr>
          <w:rFonts w:cs="Arial"/>
        </w:rPr>
        <w:t xml:space="preserve">h. die </w:t>
      </w:r>
      <w:proofErr w:type="spellStart"/>
      <w:r>
        <w:rPr>
          <w:rFonts w:cs="Arial"/>
        </w:rPr>
        <w:t>Reaktanten</w:t>
      </w:r>
      <w:proofErr w:type="spellEnd"/>
      <w:r>
        <w:rPr>
          <w:rFonts w:cs="Arial"/>
        </w:rPr>
        <w:t xml:space="preserve">-Moleküle werden an der Katalysator-Oberfläche </w:t>
      </w:r>
      <w:r w:rsidR="007C3938">
        <w:rPr>
          <w:rFonts w:cs="Arial"/>
        </w:rPr>
        <w:t>„</w:t>
      </w:r>
      <w:r>
        <w:rPr>
          <w:rFonts w:cs="Arial"/>
        </w:rPr>
        <w:t xml:space="preserve">gebunden". Danach setzt die eigentliche </w:t>
      </w:r>
      <w:r>
        <w:rPr>
          <w:rStyle w:val="Fett"/>
          <w:rFonts w:cs="Arial"/>
        </w:rPr>
        <w:t>katalytische Reaktion</w:t>
      </w:r>
      <w:r>
        <w:rPr>
          <w:rFonts w:cs="Arial"/>
        </w:rPr>
        <w:t xml:space="preserve"> ein und die NO-Moleküle werden in N</w:t>
      </w:r>
      <w:r>
        <w:rPr>
          <w:rFonts w:cs="Arial"/>
          <w:vertAlign w:val="subscript"/>
        </w:rPr>
        <w:t>2</w:t>
      </w:r>
      <w:r>
        <w:rPr>
          <w:rFonts w:cs="Arial"/>
        </w:rPr>
        <w:t>- und O</w:t>
      </w:r>
      <w:r>
        <w:rPr>
          <w:rFonts w:cs="Arial"/>
          <w:vertAlign w:val="subscript"/>
        </w:rPr>
        <w:t>2</w:t>
      </w:r>
      <w:r>
        <w:rPr>
          <w:rFonts w:cs="Arial"/>
        </w:rPr>
        <w:t xml:space="preserve">-Moleküle zerlegt. Wenn dies geschehen ist, lösen sich die entstandenen Produkte von der Katalysator-Oberfläche. Diesen Vorgang nennt man </w:t>
      </w:r>
      <w:r>
        <w:rPr>
          <w:rStyle w:val="Fett"/>
          <w:rFonts w:cs="Arial"/>
        </w:rPr>
        <w:t>Desorption</w:t>
      </w:r>
      <w:r>
        <w:rPr>
          <w:rFonts w:cs="Arial"/>
        </w:rPr>
        <w:t xml:space="preserve">. </w:t>
      </w:r>
      <w:r w:rsidR="007C3938">
        <w:rPr>
          <w:rFonts w:cs="Arial"/>
        </w:rPr>
        <w:t>Im letzten Schritt</w:t>
      </w:r>
      <w:r>
        <w:rPr>
          <w:rFonts w:cs="Arial"/>
        </w:rPr>
        <w:t xml:space="preserve"> verteilen sich die N</w:t>
      </w:r>
      <w:r>
        <w:rPr>
          <w:rFonts w:cs="Arial"/>
          <w:vertAlign w:val="subscript"/>
        </w:rPr>
        <w:t>2</w:t>
      </w:r>
      <w:r>
        <w:rPr>
          <w:rFonts w:cs="Arial"/>
        </w:rPr>
        <w:t>- und O</w:t>
      </w:r>
      <w:r>
        <w:rPr>
          <w:rFonts w:cs="Arial"/>
          <w:vertAlign w:val="subscript"/>
        </w:rPr>
        <w:t>2</w:t>
      </w:r>
      <w:r>
        <w:rPr>
          <w:rFonts w:cs="Arial"/>
        </w:rPr>
        <w:t>-Moleküle wieder in der Gas</w:t>
      </w:r>
      <w:r w:rsidR="007C3938">
        <w:rPr>
          <w:rFonts w:cs="Arial"/>
        </w:rPr>
        <w:t>-P</w:t>
      </w:r>
      <w:r>
        <w:rPr>
          <w:rFonts w:cs="Arial"/>
        </w:rPr>
        <w:t>hase (</w:t>
      </w:r>
      <w:r>
        <w:rPr>
          <w:rStyle w:val="Fett"/>
          <w:rFonts w:cs="Arial"/>
        </w:rPr>
        <w:t>Diffusion</w:t>
      </w:r>
      <w:r>
        <w:rPr>
          <w:rFonts w:cs="Arial"/>
        </w:rPr>
        <w:t>).</w:t>
      </w:r>
    </w:p>
    <w:p w14:paraId="249B240D" w14:textId="105280EC" w:rsidR="007C3938" w:rsidRDefault="007C3938" w:rsidP="00F40DE9">
      <w:pPr>
        <w:rPr>
          <w:rFonts w:cs="Arial"/>
        </w:rPr>
      </w:pPr>
      <w:r>
        <w:rPr>
          <w:rFonts w:cs="Arial"/>
        </w:rPr>
        <w:t>Bei solchen heterogenen Katalysator-Systemen wird die Reaktionsgeschwindigkeit nicht nur alleine von der katalytischen Reaktion selbst bestimmt, sondern auch die Adsorption und Desorption spielen eine große Rolle. Es kommt daher, gerade bei diesen Katalysatoren, auf eine möglichst große Oberfläche an.</w:t>
      </w:r>
    </w:p>
    <w:p w14:paraId="48288D77" w14:textId="42709CDD" w:rsidR="007C3938" w:rsidRDefault="007C3938" w:rsidP="007C3938">
      <w:pPr>
        <w:pStyle w:val="berschrift2"/>
      </w:pPr>
      <w:bookmarkStart w:id="10" w:name="_Toc146015317"/>
      <w:r>
        <w:t>Homogene Katalysatoren</w:t>
      </w:r>
      <w:bookmarkEnd w:id="10"/>
    </w:p>
    <w:p w14:paraId="753E9A61" w14:textId="6F65F63B" w:rsidR="007C3938" w:rsidRDefault="007C3938" w:rsidP="007C3938">
      <w:pPr>
        <w:rPr>
          <w:rFonts w:cs="Arial"/>
        </w:rPr>
      </w:pPr>
      <w:r>
        <w:rPr>
          <w:rFonts w:cs="Arial"/>
        </w:rPr>
        <w:t xml:space="preserve">Anders sieht dies bei homogenen Katalysatoren aus, denn bei diesem Typ befindet sich der Katalysator in derselben Phase wie die </w:t>
      </w:r>
      <w:proofErr w:type="spellStart"/>
      <w:r>
        <w:rPr>
          <w:rFonts w:cs="Arial"/>
        </w:rPr>
        <w:t>Reaktanten</w:t>
      </w:r>
      <w:proofErr w:type="spellEnd"/>
      <w:r>
        <w:rPr>
          <w:rFonts w:cs="Arial"/>
        </w:rPr>
        <w:t>. Dies hat den entscheidenden Vorteil, dass mehr aktive Katalysator-Moleküle existieren, da nicht nur die Oberflächen-Moleküle aktiv sind, wie bei einem heterogenen Katalysator.</w:t>
      </w:r>
    </w:p>
    <w:p w14:paraId="35A42C59" w14:textId="4153B41E" w:rsidR="007C3938" w:rsidRDefault="007C3938" w:rsidP="007C3938">
      <w:pPr>
        <w:rPr>
          <w:rFonts w:cs="Arial"/>
        </w:rPr>
      </w:pPr>
      <w:r>
        <w:rPr>
          <w:rFonts w:cs="Arial"/>
        </w:rPr>
        <w:t xml:space="preserve">Als Beispiel für ein solches Katalysator-System wurde die Reaktion von einer Lösung Eisen(III)-chlorid mit </w:t>
      </w:r>
      <w:proofErr w:type="spellStart"/>
      <w:r>
        <w:rPr>
          <w:rFonts w:cs="Arial"/>
        </w:rPr>
        <w:t>Thiosulfat</w:t>
      </w:r>
      <w:proofErr w:type="spellEnd"/>
      <w:r>
        <w:rPr>
          <w:rFonts w:cs="Arial"/>
        </w:rPr>
        <w:t>-Lösung untersucht.</w:t>
      </w:r>
    </w:p>
    <w:p w14:paraId="4331B4DF" w14:textId="4C0282E9" w:rsidR="007C3938" w:rsidRPr="007C3938" w:rsidRDefault="00F85A00" w:rsidP="007C3938">
      <w:pPr>
        <w:pStyle w:val="Formeln"/>
        <w:rPr>
          <w:rFonts w:eastAsiaTheme="minorEastAsia"/>
        </w:rPr>
      </w:pPr>
      <m:oMathPara>
        <m:oMath>
          <m:sSup>
            <m:sSupPr>
              <m:ctrlPr>
                <w:rPr>
                  <w:rFonts w:ascii="Cambria Math" w:hAnsi="Cambria Math"/>
                </w:rPr>
              </m:ctrlPr>
            </m:sSupPr>
            <m:e>
              <w:proofErr w:type="spellStart"/>
              <m:r>
                <m:rPr>
                  <m:nor/>
                </m:rPr>
                <m:t>Fe</m:t>
              </m:r>
              <w:proofErr w:type="spellEnd"/>
            </m:e>
            <m:sup>
              <m:r>
                <m:rPr>
                  <m:nor/>
                </m:rPr>
                <m:t>3+</m:t>
              </m:r>
            </m:sup>
          </m:sSup>
          <m:r>
            <m:rPr>
              <m:nor/>
            </m:rPr>
            <m:t xml:space="preserve"> + 2</m:t>
          </m:r>
          <m:sSup>
            <m:sSupPr>
              <m:ctrlPr>
                <w:rPr>
                  <w:rFonts w:ascii="Cambria Math" w:hAnsi="Cambria Math"/>
                </w:rPr>
              </m:ctrlPr>
            </m:sSupPr>
            <m:e>
              <m:sSub>
                <m:sSubPr>
                  <m:ctrlPr>
                    <w:rPr>
                      <w:rFonts w:ascii="Cambria Math" w:hAnsi="Cambria Math"/>
                    </w:rPr>
                  </m:ctrlPr>
                </m:sSubPr>
                <m:e>
                  <m:r>
                    <m:rPr>
                      <m:nor/>
                    </m:rPr>
                    <m:t>S</m:t>
                  </m:r>
                </m:e>
                <m:sub>
                  <m:r>
                    <m:rPr>
                      <m:nor/>
                    </m:rPr>
                    <m:t>2</m:t>
                  </m:r>
                </m:sub>
              </m:sSub>
              <m:sSub>
                <m:sSubPr>
                  <m:ctrlPr>
                    <w:rPr>
                      <w:rFonts w:ascii="Cambria Math" w:hAnsi="Cambria Math"/>
                    </w:rPr>
                  </m:ctrlPr>
                </m:sSubPr>
                <m:e>
                  <m:r>
                    <m:rPr>
                      <m:nor/>
                    </m:rPr>
                    <m:t>O</m:t>
                  </m:r>
                </m:e>
                <m:sub>
                  <m:r>
                    <m:rPr>
                      <m:nor/>
                    </m:rPr>
                    <m:t>3</m:t>
                  </m:r>
                </m:sub>
              </m:sSub>
            </m:e>
            <m:sup>
              <m:r>
                <m:rPr>
                  <m:nor/>
                </m:rPr>
                <m:t>2-</m:t>
              </m:r>
            </m:sup>
          </m:sSup>
          <m:r>
            <m:rPr>
              <m:nor/>
            </m:rPr>
            <m:t xml:space="preserve"> </m:t>
          </m:r>
          <m:r>
            <m:rPr>
              <m:nor/>
            </m:rPr>
            <w:rPr>
              <w:rFonts w:ascii="Cambria Math" w:hAnsi="Cambria Math" w:cs="Cambria Math"/>
            </w:rPr>
            <m:t>⟶</m:t>
          </m:r>
          <m:r>
            <m:rPr>
              <m:nor/>
            </m:rPr>
            <m:t xml:space="preserve"> </m:t>
          </m:r>
          <m:sSup>
            <m:sSupPr>
              <m:ctrlPr>
                <w:rPr>
                  <w:rFonts w:ascii="Cambria Math" w:hAnsi="Cambria Math"/>
                </w:rPr>
              </m:ctrlPr>
            </m:sSupPr>
            <m:e>
              <w:proofErr w:type="spellStart"/>
              <m:r>
                <m:rPr>
                  <m:nor/>
                </m:rPr>
                <m:t>Fe</m:t>
              </m:r>
              <w:proofErr w:type="spellEnd"/>
            </m:e>
            <m:sup>
              <m:r>
                <m:rPr>
                  <m:nor/>
                </m:rPr>
                <m:t>2+</m:t>
              </m:r>
            </m:sup>
          </m:sSup>
          <m:r>
            <m:rPr>
              <m:nor/>
            </m:rPr>
            <m:t xml:space="preserve"> + </m:t>
          </m:r>
          <m:sSup>
            <m:sSupPr>
              <m:ctrlPr>
                <w:rPr>
                  <w:rFonts w:ascii="Cambria Math" w:hAnsi="Cambria Math"/>
                </w:rPr>
              </m:ctrlPr>
            </m:sSupPr>
            <m:e>
              <m:sSub>
                <m:sSubPr>
                  <m:ctrlPr>
                    <w:rPr>
                      <w:rFonts w:ascii="Cambria Math" w:hAnsi="Cambria Math"/>
                    </w:rPr>
                  </m:ctrlPr>
                </m:sSubPr>
                <m:e>
                  <m:r>
                    <m:rPr>
                      <m:nor/>
                    </m:rPr>
                    <m:t>S</m:t>
                  </m:r>
                </m:e>
                <m:sub>
                  <m:r>
                    <m:rPr>
                      <m:nor/>
                    </m:rPr>
                    <m:t>4</m:t>
                  </m:r>
                </m:sub>
              </m:sSub>
              <m:sSub>
                <m:sSubPr>
                  <m:ctrlPr>
                    <w:rPr>
                      <w:rFonts w:ascii="Cambria Math" w:hAnsi="Cambria Math"/>
                    </w:rPr>
                  </m:ctrlPr>
                </m:sSubPr>
                <m:e>
                  <m:r>
                    <m:rPr>
                      <m:nor/>
                    </m:rPr>
                    <m:t>O</m:t>
                  </m:r>
                </m:e>
                <m:sub>
                  <m:r>
                    <m:rPr>
                      <m:nor/>
                    </m:rPr>
                    <m:t>6</m:t>
                  </m:r>
                </m:sub>
              </m:sSub>
            </m:e>
            <m:sup>
              <m:r>
                <m:rPr>
                  <m:nor/>
                </m:rPr>
                <m:t>2-</m:t>
              </m:r>
            </m:sup>
          </m:sSup>
        </m:oMath>
      </m:oMathPara>
    </w:p>
    <w:p w14:paraId="17650E99" w14:textId="7FEE2E97" w:rsidR="007C3938" w:rsidRDefault="007C3938" w:rsidP="007C3938">
      <w:pPr>
        <w:rPr>
          <w:rFonts w:cs="Arial"/>
        </w:rPr>
      </w:pPr>
      <w:r>
        <w:rPr>
          <w:rFonts w:cs="Arial"/>
        </w:rPr>
        <w:t xml:space="preserve">Bei dieser Reaktion handelt es sich um eine </w:t>
      </w:r>
      <w:proofErr w:type="spellStart"/>
      <w:r>
        <w:rPr>
          <w:rFonts w:cs="Arial"/>
        </w:rPr>
        <w:t>Redox</w:t>
      </w:r>
      <w:proofErr w:type="spellEnd"/>
      <w:r>
        <w:rPr>
          <w:rFonts w:cs="Arial"/>
        </w:rPr>
        <w:t xml:space="preserve">-Reaktion. Die Eisen(III)-Ionen werden zu Eisen(II)-Ionen reduziert und gleichzeitig werden die </w:t>
      </w:r>
      <w:proofErr w:type="spellStart"/>
      <w:r>
        <w:rPr>
          <w:rFonts w:cs="Arial"/>
        </w:rPr>
        <w:t>Thiosulfat</w:t>
      </w:r>
      <w:proofErr w:type="spellEnd"/>
      <w:r>
        <w:rPr>
          <w:rFonts w:cs="Arial"/>
        </w:rPr>
        <w:t xml:space="preserve">-Ionen zu </w:t>
      </w:r>
      <w:proofErr w:type="spellStart"/>
      <w:r>
        <w:rPr>
          <w:rFonts w:cs="Arial"/>
        </w:rPr>
        <w:t>Tetrathionat</w:t>
      </w:r>
      <w:proofErr w:type="spellEnd"/>
      <w:r>
        <w:rPr>
          <w:rFonts w:cs="Arial"/>
        </w:rPr>
        <w:t xml:space="preserve">-Ionen oxidiert. Der Reaktionsverlauf kann durch die einsetzende Farb-Änderung von gelb nach farblos verfolgt werden. Unter Normal-Bedingungen findet die Umsetzung nur sehr langsam statt, da zunächst ein </w:t>
      </w:r>
      <w:proofErr w:type="spellStart"/>
      <w:r>
        <w:rPr>
          <w:rFonts w:cs="Arial"/>
        </w:rPr>
        <w:t>Thiosulfato</w:t>
      </w:r>
      <w:proofErr w:type="spellEnd"/>
      <w:r>
        <w:rPr>
          <w:rFonts w:cs="Arial"/>
        </w:rPr>
        <w:t>-Eisenkomplex gebildet wird und dieser nur zögernd zerfällt. Um die Reaktionsgeschwindigkeit dieser Reaktion zu erhöhen werden Kupfer(II)-Ionen zugegeben, diese übernehmen die Aufgabe eines homogenen Katalysators im Reaktionsgemisch. Bei dieser Reaktion ist deutlich zu erkennen welchen Einfluss ein Katalysator auf den Reaktionsverlauf und die Reaktionsgeschwindigkeit hat.</w:t>
      </w:r>
    </w:p>
    <w:p w14:paraId="6F7E660A" w14:textId="59ED237C" w:rsidR="007C3938" w:rsidRDefault="007C3938" w:rsidP="007C3938">
      <w:pPr>
        <w:pStyle w:val="berschrift2"/>
      </w:pPr>
      <w:bookmarkStart w:id="11" w:name="_Toc146015318"/>
      <w:r>
        <w:t>Autokatalyse</w:t>
      </w:r>
      <w:bookmarkEnd w:id="11"/>
    </w:p>
    <w:p w14:paraId="797733E5" w14:textId="0C43A4F8" w:rsidR="007C3938" w:rsidRDefault="007C3938" w:rsidP="007C3938">
      <w:pPr>
        <w:rPr>
          <w:rFonts w:cs="Arial"/>
        </w:rPr>
      </w:pPr>
      <w:r>
        <w:rPr>
          <w:rFonts w:cs="Arial"/>
        </w:rPr>
        <w:t>Dabei wird der Katalysator erst währen der ablaufenden Reaktion gebildet. Es kommt somit zu einer immer heftiger werdenden Reaktion und zu einem schnelleren Reaktionsverlauf.</w:t>
      </w:r>
    </w:p>
    <w:p w14:paraId="1A1C7BB0" w14:textId="0ADF658D" w:rsidR="007C3938" w:rsidRDefault="007C3938" w:rsidP="007C3938">
      <w:pPr>
        <w:rPr>
          <w:rFonts w:cs="Arial"/>
        </w:rPr>
      </w:pPr>
      <w:r>
        <w:rPr>
          <w:rFonts w:cs="Arial"/>
        </w:rPr>
        <w:t>Hier kann man beispielsweise die Reaktion von Permanganat mit Oxalsäure betrachten.</w:t>
      </w:r>
    </w:p>
    <w:p w14:paraId="37479549" w14:textId="20299C73" w:rsidR="007C3938" w:rsidRPr="00600D54" w:rsidRDefault="007C3938" w:rsidP="007C3938">
      <w:pPr>
        <w:pStyle w:val="Formeln"/>
        <w:rPr>
          <w:rFonts w:eastAsiaTheme="minorEastAsia"/>
          <w:lang w:val="en-US"/>
        </w:rPr>
      </w:pPr>
      <m:oMathPara>
        <m:oMath>
          <m:r>
            <m:rPr>
              <m:nor/>
            </m:rPr>
            <w:rPr>
              <w:lang w:val="en-US"/>
            </w:rPr>
            <m:t>2</m:t>
          </m:r>
          <m:sSup>
            <m:sSupPr>
              <m:ctrlPr>
                <w:rPr>
                  <w:rFonts w:ascii="Cambria Math" w:hAnsi="Cambria Math"/>
                </w:rPr>
              </m:ctrlPr>
            </m:sSupPr>
            <m:e>
              <m:sSub>
                <m:sSubPr>
                  <m:ctrlPr>
                    <w:rPr>
                      <w:rFonts w:ascii="Cambria Math" w:hAnsi="Cambria Math"/>
                    </w:rPr>
                  </m:ctrlPr>
                </m:sSubPr>
                <m:e>
                  <w:proofErr w:type="spellStart"/>
                  <m:r>
                    <m:rPr>
                      <m:nor/>
                    </m:rPr>
                    <w:rPr>
                      <w:lang w:val="en-US"/>
                    </w:rPr>
                    <m:t>MnO</m:t>
                  </m:r>
                  <w:proofErr w:type="spellEnd"/>
                </m:e>
                <m:sub>
                  <m:r>
                    <m:rPr>
                      <m:nor/>
                    </m:rPr>
                    <w:rPr>
                      <w:lang w:val="en-US"/>
                    </w:rPr>
                    <m:t>4</m:t>
                  </m:r>
                </m:sub>
              </m:sSub>
            </m:e>
            <m:sup>
              <m:r>
                <m:rPr>
                  <m:nor/>
                </m:rPr>
                <w:rPr>
                  <w:lang w:val="en-US"/>
                </w:rPr>
                <m:t>-</m:t>
              </m:r>
            </m:sup>
          </m:sSup>
          <m:r>
            <m:rPr>
              <m:nor/>
            </m:rPr>
            <w:rPr>
              <w:lang w:val="en-US"/>
            </w:rPr>
            <m:t xml:space="preserve"> + 5</m:t>
          </m:r>
          <m:sSup>
            <m:sSupPr>
              <m:ctrlPr>
                <w:rPr>
                  <w:rFonts w:ascii="Cambria Math" w:hAnsi="Cambria Math"/>
                </w:rPr>
              </m:ctrlPr>
            </m:sSupPr>
            <m:e>
              <m:sSub>
                <m:sSubPr>
                  <m:ctrlPr>
                    <w:rPr>
                      <w:rFonts w:ascii="Cambria Math" w:hAnsi="Cambria Math"/>
                    </w:rPr>
                  </m:ctrlPr>
                </m:sSubPr>
                <m:e>
                  <m:r>
                    <m:rPr>
                      <m:nor/>
                    </m:rPr>
                    <w:rPr>
                      <w:lang w:val="en-US"/>
                    </w:rPr>
                    <m:t>C</m:t>
                  </m:r>
                </m:e>
                <m:sub>
                  <m:r>
                    <m:rPr>
                      <m:nor/>
                    </m:rPr>
                    <w:rPr>
                      <w:lang w:val="en-US"/>
                    </w:rPr>
                    <m:t>2</m:t>
                  </m:r>
                </m:sub>
              </m:sSub>
              <m:sSub>
                <m:sSubPr>
                  <m:ctrlPr>
                    <w:rPr>
                      <w:rFonts w:ascii="Cambria Math" w:hAnsi="Cambria Math"/>
                    </w:rPr>
                  </m:ctrlPr>
                </m:sSubPr>
                <m:e>
                  <m:r>
                    <m:rPr>
                      <m:nor/>
                    </m:rPr>
                    <w:rPr>
                      <w:lang w:val="en-US"/>
                    </w:rPr>
                    <m:t>O</m:t>
                  </m:r>
                </m:e>
                <m:sub>
                  <m:r>
                    <m:rPr>
                      <m:nor/>
                    </m:rPr>
                    <w:rPr>
                      <w:lang w:val="en-US"/>
                    </w:rPr>
                    <m:t>4</m:t>
                  </m:r>
                </m:sub>
              </m:sSub>
            </m:e>
            <m:sup>
              <m:r>
                <m:rPr>
                  <m:nor/>
                </m:rPr>
                <w:rPr>
                  <w:lang w:val="en-US"/>
                </w:rPr>
                <m:t>2-</m:t>
              </m:r>
            </m:sup>
          </m:sSup>
          <m:r>
            <m:rPr>
              <m:nor/>
            </m:rPr>
            <w:rPr>
              <w:lang w:val="en-US"/>
            </w:rPr>
            <m:t xml:space="preserve"> + 16</m:t>
          </m:r>
          <m:sSup>
            <m:sSupPr>
              <m:ctrlPr>
                <w:rPr>
                  <w:rFonts w:ascii="Cambria Math" w:hAnsi="Cambria Math"/>
                </w:rPr>
              </m:ctrlPr>
            </m:sSupPr>
            <m:e>
              <m:r>
                <m:rPr>
                  <m:nor/>
                </m:rPr>
                <w:rPr>
                  <w:lang w:val="en-US"/>
                </w:rPr>
                <m:t>H</m:t>
              </m:r>
            </m:e>
            <m:sup>
              <m:r>
                <m:rPr>
                  <m:nor/>
                </m:rPr>
                <w:rPr>
                  <w:lang w:val="en-US"/>
                </w:rPr>
                <m:t>+</m:t>
              </m:r>
            </m:sup>
          </m:sSup>
          <m:r>
            <m:rPr>
              <m:nor/>
            </m:rPr>
            <w:rPr>
              <w:lang w:val="en-US"/>
            </w:rPr>
            <m:t xml:space="preserve"> </m:t>
          </m:r>
          <m:r>
            <m:rPr>
              <m:nor/>
            </m:rPr>
            <w:rPr>
              <w:rFonts w:ascii="Cambria Math" w:hAnsi="Cambria Math" w:cs="Cambria Math"/>
            </w:rPr>
            <m:t>⟶</m:t>
          </m:r>
          <m:r>
            <m:rPr>
              <m:nor/>
            </m:rPr>
            <w:rPr>
              <w:lang w:val="en-US"/>
            </w:rPr>
            <m:t xml:space="preserve"> 2</m:t>
          </m:r>
          <m:sSup>
            <m:sSupPr>
              <m:ctrlPr>
                <w:rPr>
                  <w:rFonts w:ascii="Cambria Math" w:hAnsi="Cambria Math"/>
                </w:rPr>
              </m:ctrlPr>
            </m:sSupPr>
            <m:e>
              <w:proofErr w:type="spellStart"/>
              <m:r>
                <m:rPr>
                  <m:nor/>
                </m:rPr>
                <w:rPr>
                  <w:lang w:val="en-US"/>
                </w:rPr>
                <m:t>Mn</m:t>
              </m:r>
              <w:proofErr w:type="spellEnd"/>
            </m:e>
            <m:sup>
              <m:r>
                <m:rPr>
                  <m:nor/>
                </m:rPr>
                <w:rPr>
                  <w:lang w:val="en-US"/>
                </w:rPr>
                <m:t>2+</m:t>
              </m:r>
            </m:sup>
          </m:sSup>
          <m:r>
            <m:rPr>
              <m:nor/>
            </m:rPr>
            <w:rPr>
              <w:lang w:val="en-US"/>
            </w:rPr>
            <m:t xml:space="preserve"> + 10</m:t>
          </m:r>
          <m:sSub>
            <m:sSubPr>
              <m:ctrlPr>
                <w:rPr>
                  <w:rFonts w:ascii="Cambria Math" w:hAnsi="Cambria Math"/>
                </w:rPr>
              </m:ctrlPr>
            </m:sSubPr>
            <m:e>
              <m:r>
                <m:rPr>
                  <m:nor/>
                </m:rPr>
                <w:rPr>
                  <w:lang w:val="en-US"/>
                </w:rPr>
                <m:t>CO</m:t>
              </m:r>
            </m:e>
            <m:sub>
              <m:r>
                <m:rPr>
                  <m:nor/>
                </m:rPr>
                <w:rPr>
                  <w:lang w:val="en-US"/>
                </w:rPr>
                <m:t>2</m:t>
              </m:r>
            </m:sub>
          </m:sSub>
          <m:r>
            <m:rPr>
              <m:nor/>
            </m:rPr>
            <w:rPr>
              <w:lang w:val="en-US"/>
            </w:rPr>
            <m:t xml:space="preserve"> + 8</m:t>
          </m:r>
          <m:sSub>
            <m:sSubPr>
              <m:ctrlPr>
                <w:rPr>
                  <w:rFonts w:ascii="Cambria Math" w:hAnsi="Cambria Math"/>
                </w:rPr>
              </m:ctrlPr>
            </m:sSubPr>
            <m:e>
              <m:r>
                <m:rPr>
                  <m:nor/>
                </m:rPr>
                <w:rPr>
                  <w:lang w:val="en-US"/>
                </w:rPr>
                <m:t>H</m:t>
              </m:r>
            </m:e>
            <m:sub>
              <m:r>
                <m:rPr>
                  <m:nor/>
                </m:rPr>
                <w:rPr>
                  <w:lang w:val="en-US"/>
                </w:rPr>
                <m:t>2</m:t>
              </m:r>
            </m:sub>
          </m:sSub>
          <m:r>
            <m:rPr>
              <m:nor/>
            </m:rPr>
            <w:rPr>
              <w:lang w:val="en-US"/>
            </w:rPr>
            <m:t>O</m:t>
          </m:r>
        </m:oMath>
      </m:oMathPara>
    </w:p>
    <w:p w14:paraId="7763B9AC" w14:textId="31E6B3DD" w:rsidR="007C3938" w:rsidRDefault="007C3938" w:rsidP="007C3938">
      <w:pPr>
        <w:rPr>
          <w:rFonts w:cs="Arial"/>
        </w:rPr>
      </w:pPr>
      <w:r>
        <w:rPr>
          <w:rFonts w:cs="Arial"/>
        </w:rPr>
        <w:t>Dabei stellen die Mn</w:t>
      </w:r>
      <w:r>
        <w:rPr>
          <w:rFonts w:cs="Arial"/>
          <w:vertAlign w:val="superscript"/>
        </w:rPr>
        <w:t>2+</w:t>
      </w:r>
      <w:r>
        <w:rPr>
          <w:rFonts w:cs="Arial"/>
        </w:rPr>
        <w:t>-Ionen den Katalysator dar.</w:t>
      </w:r>
    </w:p>
    <w:p w14:paraId="7A8EE772" w14:textId="7BF6BCEC" w:rsidR="007C3938" w:rsidRDefault="007C3938" w:rsidP="007C3938">
      <w:pPr>
        <w:rPr>
          <w:rFonts w:cs="Arial"/>
        </w:rPr>
      </w:pPr>
      <w:r>
        <w:rPr>
          <w:rFonts w:cs="Arial"/>
        </w:rPr>
        <w:t>Während des Reaktionsverlaufes entfärbt sich die anfangs violette Färbung immer schneller, weil immer mehr Mn</w:t>
      </w:r>
      <w:r>
        <w:rPr>
          <w:rFonts w:cs="Arial"/>
          <w:vertAlign w:val="superscript"/>
        </w:rPr>
        <w:t>2+</w:t>
      </w:r>
      <w:r>
        <w:rPr>
          <w:rFonts w:cs="Arial"/>
        </w:rPr>
        <w:t>-Ionen gebildet werden, die die Reaktion weiter beschleunigen.</w:t>
      </w:r>
    </w:p>
    <w:p w14:paraId="43BAA584" w14:textId="3D97B44B" w:rsidR="007C3938" w:rsidRDefault="007C3938" w:rsidP="007C3938">
      <w:pPr>
        <w:rPr>
          <w:rFonts w:cs="Arial"/>
        </w:rPr>
      </w:pPr>
      <w:r>
        <w:rPr>
          <w:rFonts w:cs="Arial"/>
        </w:rPr>
        <w:t>Ab einem gewissen Punkt ist die Reaktionsgeschwindigkeit am größten (</w:t>
      </w:r>
      <w:r w:rsidR="00C40764">
        <w:rPr>
          <w:rFonts w:cs="Arial"/>
          <w:color w:val="FF00FF" w:themeColor="accent4"/>
        </w:rPr>
        <w:fldChar w:fldCharType="begin"/>
      </w:r>
      <w:r w:rsidR="00C40764">
        <w:rPr>
          <w:rFonts w:cs="Arial"/>
        </w:rPr>
        <w:instrText xml:space="preserve"> REF _Ref54783370 \h </w:instrText>
      </w:r>
      <w:r w:rsidR="00C40764">
        <w:rPr>
          <w:rFonts w:cs="Arial"/>
          <w:color w:val="FF00FF" w:themeColor="accent4"/>
        </w:rPr>
      </w:r>
      <w:r w:rsidR="00C40764">
        <w:rPr>
          <w:rFonts w:cs="Arial"/>
          <w:color w:val="FF00FF" w:themeColor="accent4"/>
        </w:rPr>
        <w:fldChar w:fldCharType="separate"/>
      </w:r>
      <w:r w:rsidR="00F85A00">
        <w:t xml:space="preserve">Abb. </w:t>
      </w:r>
      <w:r w:rsidR="00F85A00">
        <w:rPr>
          <w:noProof/>
        </w:rPr>
        <w:t>9</w:t>
      </w:r>
      <w:r w:rsidR="00C40764">
        <w:rPr>
          <w:rFonts w:cs="Arial"/>
          <w:color w:val="FF00FF" w:themeColor="accent4"/>
        </w:rPr>
        <w:fldChar w:fldCharType="end"/>
      </w:r>
      <w:r>
        <w:rPr>
          <w:rFonts w:cs="Arial"/>
        </w:rPr>
        <w:t>). Dabei liegt das Verhältnis Enzym zu Substrat bei 1:1. Nach diesem Punkt verlangsamt sich die Reaktion, weil mehr Enzyme als Substrat vorliegen und nicht alle Enzyme besetzt sind. Das verbliebene Substrat wird nun vollständig abgebaut.</w:t>
      </w:r>
    </w:p>
    <w:p w14:paraId="5B42B552" w14:textId="42C5247D" w:rsidR="007C3938" w:rsidRDefault="007C3938" w:rsidP="007C3938">
      <w:pPr>
        <w:pStyle w:val="Bilder"/>
      </w:pPr>
      <w:r>
        <w:rPr>
          <w:lang w:eastAsia="de-DE"/>
        </w:rPr>
        <w:drawing>
          <wp:inline distT="0" distB="0" distL="0" distR="0" wp14:anchorId="503033C5" wp14:editId="33D663F3">
            <wp:extent cx="3837952" cy="288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7952" cy="2880000"/>
                    </a:xfrm>
                    <a:prstGeom prst="rect">
                      <a:avLst/>
                    </a:prstGeom>
                    <a:noFill/>
                    <a:ln>
                      <a:noFill/>
                    </a:ln>
                  </pic:spPr>
                </pic:pic>
              </a:graphicData>
            </a:graphic>
          </wp:inline>
        </w:drawing>
      </w:r>
    </w:p>
    <w:p w14:paraId="2015A6A1" w14:textId="0090957E" w:rsidR="007C3938" w:rsidRDefault="007C3938" w:rsidP="007C3938">
      <w:pPr>
        <w:pStyle w:val="Beschriftung"/>
      </w:pPr>
      <w:bookmarkStart w:id="12" w:name="_Ref54783370"/>
      <w:r>
        <w:t xml:space="preserve">Abb. </w:t>
      </w:r>
      <w:r w:rsidR="00F85A00">
        <w:fldChar w:fldCharType="begin"/>
      </w:r>
      <w:r w:rsidR="00F85A00">
        <w:instrText xml:space="preserve"> SEQ Abb. \* ARABIC </w:instrText>
      </w:r>
      <w:r w:rsidR="00F85A00">
        <w:fldChar w:fldCharType="separate"/>
      </w:r>
      <w:r w:rsidR="00F85A00">
        <w:rPr>
          <w:noProof/>
        </w:rPr>
        <w:t>9</w:t>
      </w:r>
      <w:r w:rsidR="00F85A00">
        <w:rPr>
          <w:noProof/>
        </w:rPr>
        <w:fldChar w:fldCharType="end"/>
      </w:r>
      <w:bookmarkEnd w:id="12"/>
      <w:r>
        <w:t>: Reaktionsverlauf der Autokatalyse</w:t>
      </w:r>
    </w:p>
    <w:p w14:paraId="6467DBDA" w14:textId="64C4B845" w:rsidR="007C3938" w:rsidRDefault="007C3938" w:rsidP="007C3938">
      <w:pPr>
        <w:pStyle w:val="berschrift2"/>
      </w:pPr>
      <w:bookmarkStart w:id="13" w:name="_Toc146015319"/>
      <w:r>
        <w:t>Biokatalysatoren</w:t>
      </w:r>
      <w:bookmarkEnd w:id="13"/>
    </w:p>
    <w:p w14:paraId="69DE2AEC" w14:textId="19D2E867" w:rsidR="007C3938" w:rsidRDefault="007C3938" w:rsidP="007C3938">
      <w:pPr>
        <w:rPr>
          <w:rFonts w:cs="Arial"/>
        </w:rPr>
      </w:pPr>
      <w:r>
        <w:rPr>
          <w:rFonts w:cs="Arial"/>
        </w:rPr>
        <w:t>Die wohl „wichtigsten" Katalysatoren sind die Biokatalysatoren, die Enzyme. Ohne sie wäre ein Leben nicht möglich, denn nahezu alle Vorgänge in unserem Körper werden durch Biokatalysatoren kontrolliert.</w:t>
      </w:r>
    </w:p>
    <w:p w14:paraId="01D9B32C" w14:textId="29E6F38D" w:rsidR="007C3938" w:rsidRDefault="007C3938" w:rsidP="007C3938">
      <w:pPr>
        <w:rPr>
          <w:rFonts w:cs="Arial"/>
        </w:rPr>
      </w:pPr>
      <w:r>
        <w:rPr>
          <w:rFonts w:cs="Arial"/>
        </w:rPr>
        <w:t>Enzyme sind der großen Gruppe der Proteine zuzuordnen. Dabei kann man diese sowohl in reine Proteine als auch in Proteide unterteilen. Enzyme zeichnen sich vor allem durch ihre hohe Substrat-Spezifität aus, wodurch sie in nur sehr geringen Mengen in der Zelle benötigt werden. Die Substrat-Spezifität kann sowohl von der Stereochemie (D- oder L-Aminosäuren), oder der zugehörigen Gruppe des Substrats abhängen.</w:t>
      </w:r>
    </w:p>
    <w:p w14:paraId="12868DE4" w14:textId="594F3032" w:rsidR="007C3938" w:rsidRDefault="007C3938" w:rsidP="007C3938">
      <w:pPr>
        <w:rPr>
          <w:rFonts w:cs="Arial"/>
        </w:rPr>
      </w:pPr>
      <w:r>
        <w:rPr>
          <w:rFonts w:cs="Arial"/>
        </w:rPr>
        <w:t xml:space="preserve">Die Bindung des Substrats an das Enzym kann unterschiedliche Formen annehmen. </w:t>
      </w:r>
      <w:r w:rsidR="000B26EB">
        <w:rPr>
          <w:rFonts w:cs="Arial"/>
        </w:rPr>
        <w:t>D</w:t>
      </w:r>
      <w:r>
        <w:rPr>
          <w:rFonts w:cs="Arial"/>
        </w:rPr>
        <w:t xml:space="preserve">er Vorgang läuft </w:t>
      </w:r>
      <w:r w:rsidR="000B26EB">
        <w:rPr>
          <w:rFonts w:cs="Arial"/>
        </w:rPr>
        <w:t xml:space="preserve">aber </w:t>
      </w:r>
      <w:r>
        <w:rPr>
          <w:rFonts w:cs="Arial"/>
        </w:rPr>
        <w:t>oft gleich ab: Die Bindung am Enzym polarisiert Bindungen im Substrat und schwächt diese dadurch (</w:t>
      </w:r>
      <w:r w:rsidR="00C40764">
        <w:rPr>
          <w:rFonts w:cs="Arial"/>
          <w:color w:val="FF00FF" w:themeColor="accent4"/>
        </w:rPr>
        <w:fldChar w:fldCharType="begin"/>
      </w:r>
      <w:r w:rsidR="00C40764">
        <w:rPr>
          <w:rFonts w:cs="Arial"/>
        </w:rPr>
        <w:instrText xml:space="preserve"> REF _Ref54783377 \h </w:instrText>
      </w:r>
      <w:r w:rsidR="00C40764">
        <w:rPr>
          <w:rFonts w:cs="Arial"/>
          <w:color w:val="FF00FF" w:themeColor="accent4"/>
        </w:rPr>
      </w:r>
      <w:r w:rsidR="00C40764">
        <w:rPr>
          <w:rFonts w:cs="Arial"/>
          <w:color w:val="FF00FF" w:themeColor="accent4"/>
        </w:rPr>
        <w:fldChar w:fldCharType="separate"/>
      </w:r>
      <w:r w:rsidR="00F85A00">
        <w:t xml:space="preserve">Abb. </w:t>
      </w:r>
      <w:r w:rsidR="00F85A00">
        <w:rPr>
          <w:noProof/>
        </w:rPr>
        <w:t>10</w:t>
      </w:r>
      <w:r w:rsidR="00C40764">
        <w:rPr>
          <w:rFonts w:cs="Arial"/>
          <w:color w:val="FF00FF" w:themeColor="accent4"/>
        </w:rPr>
        <w:fldChar w:fldCharType="end"/>
      </w:r>
      <w:r>
        <w:rPr>
          <w:rFonts w:cs="Arial"/>
        </w:rPr>
        <w:t>).</w:t>
      </w:r>
    </w:p>
    <w:p w14:paraId="4DAF8638" w14:textId="4A2101DC" w:rsidR="007C3938" w:rsidRDefault="007C3938" w:rsidP="007C3938">
      <w:pPr>
        <w:pStyle w:val="Bilder"/>
      </w:pPr>
      <w:r>
        <w:rPr>
          <w:lang w:eastAsia="de-DE"/>
        </w:rPr>
        <w:drawing>
          <wp:inline distT="0" distB="0" distL="0" distR="0" wp14:anchorId="045FBEB2" wp14:editId="53F070B7">
            <wp:extent cx="2528210" cy="2880000"/>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8210" cy="2880000"/>
                    </a:xfrm>
                    <a:prstGeom prst="rect">
                      <a:avLst/>
                    </a:prstGeom>
                    <a:noFill/>
                  </pic:spPr>
                </pic:pic>
              </a:graphicData>
            </a:graphic>
          </wp:inline>
        </w:drawing>
      </w:r>
    </w:p>
    <w:p w14:paraId="6F51258B" w14:textId="6495CB05" w:rsidR="007C3938" w:rsidRDefault="007C3938" w:rsidP="007C3938">
      <w:pPr>
        <w:pStyle w:val="Beschriftung"/>
      </w:pPr>
      <w:bookmarkStart w:id="14" w:name="_Ref54783377"/>
      <w:r>
        <w:t xml:space="preserve">Abb. </w:t>
      </w:r>
      <w:r w:rsidR="00F85A00">
        <w:fldChar w:fldCharType="begin"/>
      </w:r>
      <w:r w:rsidR="00F85A00">
        <w:instrText xml:space="preserve"> SEQ Abb. \* ARABIC </w:instrText>
      </w:r>
      <w:r w:rsidR="00F85A00">
        <w:fldChar w:fldCharType="separate"/>
      </w:r>
      <w:r w:rsidR="00F85A00">
        <w:rPr>
          <w:noProof/>
        </w:rPr>
        <w:t>10</w:t>
      </w:r>
      <w:r w:rsidR="00F85A00">
        <w:rPr>
          <w:noProof/>
        </w:rPr>
        <w:fldChar w:fldCharType="end"/>
      </w:r>
      <w:bookmarkEnd w:id="14"/>
      <w:r>
        <w:t>: Substrat bindet an das aktive Zentrum des Enzyms</w:t>
      </w:r>
    </w:p>
    <w:p w14:paraId="4A39EB83" w14:textId="75FD6F50" w:rsidR="007C3938" w:rsidRDefault="007C3938" w:rsidP="007C3938">
      <w:r>
        <w:t>Es entsteht ein Enzym-Substrat-Komplex</w:t>
      </w:r>
    </w:p>
    <w:p w14:paraId="16A43F7C" w14:textId="49B609AE" w:rsidR="007C3938" w:rsidRDefault="007C3938" w:rsidP="007C3938">
      <w:pPr>
        <w:pStyle w:val="Bilder"/>
      </w:pPr>
      <w:r>
        <w:rPr>
          <w:lang w:eastAsia="de-DE"/>
        </w:rPr>
        <w:drawing>
          <wp:inline distT="0" distB="0" distL="0" distR="0" wp14:anchorId="4373D566" wp14:editId="7038AF9D">
            <wp:extent cx="2310448" cy="180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0448" cy="1800000"/>
                    </a:xfrm>
                    <a:prstGeom prst="rect">
                      <a:avLst/>
                    </a:prstGeom>
                    <a:noFill/>
                  </pic:spPr>
                </pic:pic>
              </a:graphicData>
            </a:graphic>
          </wp:inline>
        </w:drawing>
      </w:r>
    </w:p>
    <w:p w14:paraId="679E2490" w14:textId="5C80ED3A" w:rsidR="007C3938" w:rsidRDefault="007C3938" w:rsidP="007C3938">
      <w:pPr>
        <w:pStyle w:val="Beschriftung"/>
      </w:pPr>
      <w:r>
        <w:t xml:space="preserve">Abb. </w:t>
      </w:r>
      <w:r w:rsidR="00F85A00">
        <w:fldChar w:fldCharType="begin"/>
      </w:r>
      <w:r w:rsidR="00F85A00">
        <w:instrText xml:space="preserve"> SEQ Abb. \* ARABIC </w:instrText>
      </w:r>
      <w:r w:rsidR="00F85A00">
        <w:fldChar w:fldCharType="separate"/>
      </w:r>
      <w:r w:rsidR="00F85A00">
        <w:rPr>
          <w:noProof/>
        </w:rPr>
        <w:t>11</w:t>
      </w:r>
      <w:r w:rsidR="00F85A00">
        <w:rPr>
          <w:noProof/>
        </w:rPr>
        <w:fldChar w:fldCharType="end"/>
      </w:r>
      <w:r>
        <w:t>: Enzym-Substrat-Komplex bildet sich</w:t>
      </w:r>
    </w:p>
    <w:p w14:paraId="0BBD02DF" w14:textId="43824D96" w:rsidR="007C3938" w:rsidRDefault="007C3938" w:rsidP="007C3938">
      <w:pPr>
        <w:rPr>
          <w:rFonts w:cs="Arial"/>
        </w:rPr>
      </w:pPr>
      <w:r>
        <w:rPr>
          <w:rFonts w:cs="Arial"/>
        </w:rPr>
        <w:t>Diese Bindung ist auch nur ohne Hydrat-Hülle möglich. Der Ausschluss von Wasser und die polarisierte Bindung setzen schließlich die Aktivierungsenergie (</w:t>
      </w:r>
      <w:r w:rsidR="00C40764">
        <w:rPr>
          <w:rFonts w:cs="Arial"/>
          <w:color w:val="FF00FF" w:themeColor="accent4"/>
        </w:rPr>
        <w:fldChar w:fldCharType="begin"/>
      </w:r>
      <w:r w:rsidR="00C40764">
        <w:rPr>
          <w:rFonts w:cs="Arial"/>
        </w:rPr>
        <w:instrText xml:space="preserve"> REF _Ref54783384 \h </w:instrText>
      </w:r>
      <w:r w:rsidR="00C40764">
        <w:rPr>
          <w:rFonts w:cs="Arial"/>
          <w:color w:val="FF00FF" w:themeColor="accent4"/>
        </w:rPr>
      </w:r>
      <w:r w:rsidR="00C40764">
        <w:rPr>
          <w:rFonts w:cs="Arial"/>
          <w:color w:val="FF00FF" w:themeColor="accent4"/>
        </w:rPr>
        <w:fldChar w:fldCharType="separate"/>
      </w:r>
      <w:r w:rsidR="00F85A00">
        <w:t xml:space="preserve">Abb. </w:t>
      </w:r>
      <w:r w:rsidR="00F85A00">
        <w:rPr>
          <w:noProof/>
        </w:rPr>
        <w:t>6</w:t>
      </w:r>
      <w:r w:rsidR="00C40764">
        <w:rPr>
          <w:rFonts w:cs="Arial"/>
          <w:color w:val="FF00FF" w:themeColor="accent4"/>
        </w:rPr>
        <w:fldChar w:fldCharType="end"/>
      </w:r>
      <w:r>
        <w:rPr>
          <w:rFonts w:cs="Arial"/>
        </w:rPr>
        <w:t>) herab und die Reaktion erfolgt mit geringerem Aufwand</w:t>
      </w:r>
      <w:r w:rsidR="00F12BCB">
        <w:rPr>
          <w:rFonts w:cs="Arial"/>
        </w:rPr>
        <w:t>.</w:t>
      </w:r>
    </w:p>
    <w:p w14:paraId="6B70ED5D" w14:textId="023CEC07" w:rsidR="00F12BCB" w:rsidRDefault="00F12BCB" w:rsidP="007C3938">
      <w:pPr>
        <w:rPr>
          <w:rFonts w:cs="Arial"/>
        </w:rPr>
      </w:pPr>
      <w:r>
        <w:rPr>
          <w:rFonts w:cs="Arial"/>
        </w:rPr>
        <w:t>Das Substrat wird gespalten und die Produkte entfernen sich wieder vom aktiven Zentrum und machen dieses für das nächste Substrat zugänglich (</w:t>
      </w:r>
      <w:r w:rsidR="00C40764">
        <w:rPr>
          <w:rFonts w:cs="Arial"/>
          <w:color w:val="FF00FF" w:themeColor="accent4"/>
        </w:rPr>
        <w:fldChar w:fldCharType="begin"/>
      </w:r>
      <w:r w:rsidR="00C40764">
        <w:rPr>
          <w:rFonts w:cs="Arial"/>
        </w:rPr>
        <w:instrText xml:space="preserve"> REF _Ref54783391 \h </w:instrText>
      </w:r>
      <w:r w:rsidR="00C40764">
        <w:rPr>
          <w:rFonts w:cs="Arial"/>
          <w:color w:val="FF00FF" w:themeColor="accent4"/>
        </w:rPr>
      </w:r>
      <w:r w:rsidR="00C40764">
        <w:rPr>
          <w:rFonts w:cs="Arial"/>
          <w:color w:val="FF00FF" w:themeColor="accent4"/>
        </w:rPr>
        <w:fldChar w:fldCharType="separate"/>
      </w:r>
      <w:r w:rsidR="00F85A00">
        <w:t xml:space="preserve">Abb. </w:t>
      </w:r>
      <w:r w:rsidR="00F85A00">
        <w:rPr>
          <w:noProof/>
        </w:rPr>
        <w:t>12</w:t>
      </w:r>
      <w:r w:rsidR="00C40764">
        <w:rPr>
          <w:rFonts w:cs="Arial"/>
          <w:color w:val="FF00FF" w:themeColor="accent4"/>
        </w:rPr>
        <w:fldChar w:fldCharType="end"/>
      </w:r>
      <w:r>
        <w:rPr>
          <w:rFonts w:cs="Arial"/>
        </w:rPr>
        <w:t>).</w:t>
      </w:r>
    </w:p>
    <w:p w14:paraId="4DAA41BD" w14:textId="1E5BF6E4" w:rsidR="00F12BCB" w:rsidRDefault="00F12BCB" w:rsidP="00F12BCB">
      <w:pPr>
        <w:pStyle w:val="Bilder"/>
      </w:pPr>
      <w:r>
        <w:rPr>
          <w:lang w:eastAsia="de-DE"/>
        </w:rPr>
        <w:drawing>
          <wp:inline distT="0" distB="0" distL="0" distR="0" wp14:anchorId="5717EF39" wp14:editId="46E82885">
            <wp:extent cx="3219450" cy="272829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8385" cy="2735864"/>
                    </a:xfrm>
                    <a:prstGeom prst="rect">
                      <a:avLst/>
                    </a:prstGeom>
                    <a:noFill/>
                  </pic:spPr>
                </pic:pic>
              </a:graphicData>
            </a:graphic>
          </wp:inline>
        </w:drawing>
      </w:r>
    </w:p>
    <w:p w14:paraId="2F5545D1" w14:textId="6CA692D4" w:rsidR="00600D54" w:rsidRDefault="00F12BCB" w:rsidP="00600D54">
      <w:pPr>
        <w:pStyle w:val="Beschriftung"/>
        <w:rPr>
          <w:i w:val="0"/>
          <w:iCs w:val="0"/>
        </w:rPr>
      </w:pPr>
      <w:bookmarkStart w:id="15" w:name="_Ref54783391"/>
      <w:r>
        <w:t xml:space="preserve">Abb. </w:t>
      </w:r>
      <w:r w:rsidR="00F85A00">
        <w:fldChar w:fldCharType="begin"/>
      </w:r>
      <w:r w:rsidR="00F85A00">
        <w:instrText xml:space="preserve"> SEQ Abb. \* ARABIC </w:instrText>
      </w:r>
      <w:r w:rsidR="00F85A00">
        <w:fldChar w:fldCharType="separate"/>
      </w:r>
      <w:r w:rsidR="00F85A00">
        <w:rPr>
          <w:noProof/>
        </w:rPr>
        <w:t>12</w:t>
      </w:r>
      <w:r w:rsidR="00F85A00">
        <w:rPr>
          <w:noProof/>
        </w:rPr>
        <w:fldChar w:fldCharType="end"/>
      </w:r>
      <w:bookmarkEnd w:id="15"/>
      <w:r>
        <w:t>: Produkte verlassen aktives Zentrum</w:t>
      </w:r>
    </w:p>
    <w:p w14:paraId="799D78D9" w14:textId="52BA9622" w:rsidR="00F12BCB" w:rsidRDefault="00F12BCB" w:rsidP="00F12BCB">
      <w:pPr>
        <w:rPr>
          <w:rFonts w:cs="Arial"/>
        </w:rPr>
      </w:pPr>
      <w:r>
        <w:rPr>
          <w:rFonts w:cs="Arial"/>
        </w:rPr>
        <w:t>In Zeiten zunehmender Krankheiten, bei denen Enzyme nicht mehr gebildet werden, oder nicht mehr funktionieren, zeigt sich besonders ihre Bedeutung für den Organismus.</w:t>
      </w:r>
    </w:p>
    <w:p w14:paraId="5B1E7D27" w14:textId="4909CF5E" w:rsidR="00F12BCB" w:rsidRDefault="00F12BCB" w:rsidP="00F12BCB">
      <w:pPr>
        <w:rPr>
          <w:rFonts w:cs="Arial"/>
        </w:rPr>
      </w:pPr>
      <w:r>
        <w:rPr>
          <w:rFonts w:cs="Arial"/>
        </w:rPr>
        <w:t xml:space="preserve">Ein bekanntes Beispiel solcher Krankheiten ist die Lactose-Intoleranz. Dabei fehlt das Enzym </w:t>
      </w:r>
      <w:proofErr w:type="spellStart"/>
      <w:r>
        <w:rPr>
          <w:rFonts w:cs="Arial"/>
        </w:rPr>
        <w:t>Lactase</w:t>
      </w:r>
      <w:proofErr w:type="spellEnd"/>
      <w:r>
        <w:rPr>
          <w:rFonts w:cs="Arial"/>
        </w:rPr>
        <w:t>, um den Milchzucker Lactose zu verwerten.</w:t>
      </w:r>
    </w:p>
    <w:p w14:paraId="7BDDA520" w14:textId="6F4BF211" w:rsidR="000121EF" w:rsidRDefault="000121EF" w:rsidP="000121EF">
      <w:pPr>
        <w:pStyle w:val="Bilder"/>
      </w:pPr>
      <w:r>
        <w:rPr>
          <w:lang w:eastAsia="de-DE"/>
        </w:rPr>
        <w:drawing>
          <wp:inline distT="0" distB="0" distL="0" distR="0" wp14:anchorId="4873E68C" wp14:editId="1215F45B">
            <wp:extent cx="5891909" cy="1544782"/>
            <wp:effectExtent l="0" t="0" r="0" b="0"/>
            <wp:docPr id="119796899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68994" name="Grafik 1197968994"/>
                    <pic:cNvPicPr/>
                  </pic:nvPicPr>
                  <pic:blipFill rotWithShape="1">
                    <a:blip r:embed="rId22">
                      <a:extLst>
                        <a:ext uri="{28A0092B-C50C-407E-A947-70E740481C1C}">
                          <a14:useLocalDpi xmlns:a14="http://schemas.microsoft.com/office/drawing/2010/main" val="0"/>
                        </a:ext>
                      </a:extLst>
                    </a:blip>
                    <a:srcRect l="27901" t="33594" r="25411" b="44646"/>
                    <a:stretch/>
                  </pic:blipFill>
                  <pic:spPr bwMode="auto">
                    <a:xfrm>
                      <a:off x="0" y="0"/>
                      <a:ext cx="5967202" cy="1564523"/>
                    </a:xfrm>
                    <a:prstGeom prst="rect">
                      <a:avLst/>
                    </a:prstGeom>
                    <a:ln>
                      <a:noFill/>
                    </a:ln>
                    <a:extLst>
                      <a:ext uri="{53640926-AAD7-44D8-BBD7-CCE9431645EC}">
                        <a14:shadowObscured xmlns:a14="http://schemas.microsoft.com/office/drawing/2010/main"/>
                      </a:ext>
                    </a:extLst>
                  </pic:spPr>
                </pic:pic>
              </a:graphicData>
            </a:graphic>
          </wp:inline>
        </w:drawing>
      </w:r>
    </w:p>
    <w:p w14:paraId="05AC7B53" w14:textId="587582B9" w:rsidR="00F12BCB" w:rsidRDefault="00F12BCB" w:rsidP="00F12BCB">
      <w:pPr>
        <w:pStyle w:val="Beschriftung"/>
      </w:pPr>
      <w:r>
        <w:t xml:space="preserve">Abb. </w:t>
      </w:r>
      <w:r w:rsidR="00F85A00">
        <w:fldChar w:fldCharType="begin"/>
      </w:r>
      <w:r w:rsidR="00F85A00">
        <w:instrText xml:space="preserve"> SEQ Abb. \* ARABIC </w:instrText>
      </w:r>
      <w:r w:rsidR="00F85A00">
        <w:fldChar w:fldCharType="separate"/>
      </w:r>
      <w:r w:rsidR="00F85A00">
        <w:rPr>
          <w:noProof/>
        </w:rPr>
        <w:t>13</w:t>
      </w:r>
      <w:r w:rsidR="00F85A00">
        <w:rPr>
          <w:noProof/>
        </w:rPr>
        <w:fldChar w:fldCharType="end"/>
      </w:r>
      <w:r>
        <w:t xml:space="preserve">: Abbau von Lactose zu Glucose und </w:t>
      </w:r>
      <w:proofErr w:type="spellStart"/>
      <w:r>
        <w:t>Galactose</w:t>
      </w:r>
      <w:proofErr w:type="spellEnd"/>
      <w:r w:rsidR="008B3283">
        <w:t xml:space="preserve"> </w:t>
      </w:r>
    </w:p>
    <w:p w14:paraId="5940FAB1" w14:textId="1FABBFD6" w:rsidR="00F12BCB" w:rsidRDefault="00F12BCB" w:rsidP="00F12BCB">
      <w:pPr>
        <w:rPr>
          <w:rFonts w:cs="Arial"/>
        </w:rPr>
      </w:pPr>
      <w:r>
        <w:rPr>
          <w:rFonts w:cs="Arial"/>
        </w:rPr>
        <w:t>Der Milch-Zucker gelangt dadurch unverdaut in den Darm und wird durch die Darm-Bakterien vergärt. Die entstehenden Gase sorgen für Symptome, wie Blähungen, Durchfall-Attacken und Bauchkrämpfe.</w:t>
      </w:r>
    </w:p>
    <w:p w14:paraId="1AEB3A34" w14:textId="4BBCA85F" w:rsidR="00F12BCB" w:rsidRDefault="00F12BCB" w:rsidP="00F12BCB">
      <w:pPr>
        <w:rPr>
          <w:rFonts w:cs="Arial"/>
        </w:rPr>
      </w:pPr>
      <w:r>
        <w:rPr>
          <w:rFonts w:cs="Arial"/>
        </w:rPr>
        <w:t xml:space="preserve">Besonderen, z.B. </w:t>
      </w:r>
      <w:proofErr w:type="spellStart"/>
      <w:r>
        <w:rPr>
          <w:rFonts w:cs="Arial"/>
        </w:rPr>
        <w:t>lactosefreien</w:t>
      </w:r>
      <w:proofErr w:type="spellEnd"/>
      <w:r>
        <w:rPr>
          <w:rFonts w:cs="Arial"/>
        </w:rPr>
        <w:t xml:space="preserve"> Produkte ermöglichen es nun „kranken" Menschen trotzdem Milch-Produkte zu genießen, ohne dass sie dabei Symptome wie Blähungen oder Durchfall-Attacken fürchten müssen.</w:t>
      </w:r>
    </w:p>
    <w:p w14:paraId="5525B019" w14:textId="60F0CC3A" w:rsidR="00F12BCB" w:rsidRDefault="00F12BCB" w:rsidP="00F12BCB">
      <w:pPr>
        <w:pStyle w:val="berschrift1"/>
      </w:pPr>
      <w:bookmarkStart w:id="16" w:name="_Toc146015320"/>
      <w:r>
        <w:t>Ausgewählte Anwendungsbeispiele</w:t>
      </w:r>
      <w:bookmarkEnd w:id="16"/>
    </w:p>
    <w:p w14:paraId="7C44CD03" w14:textId="462E8249" w:rsidR="00F12BCB" w:rsidRDefault="00F12BCB" w:rsidP="00F12BCB">
      <w:pPr>
        <w:pStyle w:val="berschrift2"/>
      </w:pPr>
      <w:bookmarkStart w:id="17" w:name="_Toc146015321"/>
      <w:r>
        <w:t>Ammoniak-Synthese nach dem Haber-Bosch-Verfahren</w:t>
      </w:r>
      <w:bookmarkEnd w:id="17"/>
    </w:p>
    <w:p w14:paraId="0148F2E8" w14:textId="4596EE54" w:rsidR="00F12BCB" w:rsidRDefault="00F12BCB" w:rsidP="00F12BCB">
      <w:pPr>
        <w:rPr>
          <w:rFonts w:cs="Arial"/>
        </w:rPr>
      </w:pPr>
      <w:r>
        <w:rPr>
          <w:rFonts w:cs="Arial"/>
        </w:rPr>
        <w:t>Die ersten Ammoniak-Reaktoren lieferten 1913 etwa 13 Tonnen Ammoniak pro Tag, dies waren für damalige Verhältnisse beachtliche Mengen. Dennoch war die Synthese sehr aufwendig, da es sich bei der Reaktion von Stickstoff und Wasserstoff zu Ammoniak um eine stark endotherme Reaktion handelt (E</w:t>
      </w:r>
      <w:r>
        <w:rPr>
          <w:rFonts w:cs="Arial"/>
          <w:sz w:val="20"/>
          <w:szCs w:val="20"/>
        </w:rPr>
        <w:t>A</w:t>
      </w:r>
      <w:r w:rsidR="008B3283">
        <w:rPr>
          <w:rFonts w:cs="Arial"/>
        </w:rPr>
        <w:t xml:space="preserve"> = 400 kJ/</w:t>
      </w:r>
      <w:proofErr w:type="spellStart"/>
      <w:r w:rsidR="008B3283">
        <w:rPr>
          <w:rFonts w:cs="Arial"/>
        </w:rPr>
        <w:t>mol</w:t>
      </w:r>
      <w:proofErr w:type="spellEnd"/>
      <w:r>
        <w:rPr>
          <w:rFonts w:cs="Arial"/>
        </w:rPr>
        <w:t>).</w:t>
      </w:r>
    </w:p>
    <w:p w14:paraId="65A108F8" w14:textId="760CCFB6" w:rsidR="00F12BCB" w:rsidRPr="00F12BCB" w:rsidRDefault="00F85A00" w:rsidP="00F12BCB">
      <w:pPr>
        <w:pStyle w:val="Formeln"/>
        <w:rPr>
          <w:rFonts w:eastAsiaTheme="minorEastAsia"/>
        </w:rPr>
      </w:pPr>
      <m:oMathPara>
        <m:oMath>
          <m:sSub>
            <m:sSubPr>
              <m:ctrlPr>
                <w:rPr>
                  <w:rFonts w:ascii="Cambria Math" w:hAnsi="Cambria Math"/>
                </w:rPr>
              </m:ctrlPr>
            </m:sSubPr>
            <m:e>
              <m:r>
                <m:rPr>
                  <m:nor/>
                </m:rPr>
                <m:t>N</m:t>
              </m:r>
            </m:e>
            <m:sub>
              <m:r>
                <m:rPr>
                  <m:nor/>
                </m:rPr>
                <m:t>2</m:t>
              </m:r>
            </m:sub>
          </m:sSub>
          <m:r>
            <m:rPr>
              <m:nor/>
            </m:rPr>
            <m:t xml:space="preserve"> + 3</m:t>
          </m:r>
          <m:sSub>
            <m:sSubPr>
              <m:ctrlPr>
                <w:rPr>
                  <w:rFonts w:ascii="Cambria Math" w:hAnsi="Cambria Math"/>
                </w:rPr>
              </m:ctrlPr>
            </m:sSubPr>
            <m:e>
              <m:r>
                <m:rPr>
                  <m:nor/>
                </m:rPr>
                <m:t>H</m:t>
              </m:r>
            </m:e>
            <m:sub>
              <m:r>
                <m:rPr>
                  <m:nor/>
                </m:rPr>
                <m:t>2</m:t>
              </m:r>
            </m:sub>
          </m:sSub>
          <m:r>
            <m:rPr>
              <m:nor/>
            </m:rPr>
            <m:t xml:space="preserve"> </m:t>
          </m:r>
          <m:r>
            <m:rPr>
              <m:nor/>
            </m:rPr>
            <w:rPr>
              <w:rFonts w:ascii="Cambria Math" w:hAnsi="Cambria Math" w:cs="Cambria Math"/>
            </w:rPr>
            <m:t>⟶</m:t>
          </m:r>
          <m:r>
            <m:rPr>
              <m:nor/>
            </m:rPr>
            <m:t xml:space="preserve"> 2</m:t>
          </m:r>
          <m:sSub>
            <m:sSubPr>
              <m:ctrlPr>
                <w:rPr>
                  <w:rFonts w:ascii="Cambria Math" w:hAnsi="Cambria Math"/>
                </w:rPr>
              </m:ctrlPr>
            </m:sSubPr>
            <m:e>
              <m:r>
                <m:rPr>
                  <m:nor/>
                </m:rPr>
                <m:t>NH</m:t>
              </m:r>
            </m:e>
            <m:sub>
              <m:r>
                <m:rPr>
                  <m:nor/>
                </m:rPr>
                <m:t>3</m:t>
              </m:r>
            </m:sub>
          </m:sSub>
        </m:oMath>
      </m:oMathPara>
    </w:p>
    <w:p w14:paraId="59F77E15" w14:textId="77777777" w:rsidR="00F12BCB" w:rsidRDefault="00F12BCB" w:rsidP="00F12BCB">
      <w:pPr>
        <w:rPr>
          <w:rFonts w:cs="Arial"/>
        </w:rPr>
      </w:pPr>
      <w:r>
        <w:rPr>
          <w:rFonts w:cs="Arial"/>
        </w:rPr>
        <w:t>Fritz Haber bemühte sich daher, ein neues Verfahren zu entwickeln, um die Ammoniak-Synthese produktiver zu gestalten. Zusammen mit Carl Bosch erfand er einen neuen Reaktortyp zur Ammoniak-Synthese nach dem Haber-Bosch-Verfahren.</w:t>
      </w:r>
    </w:p>
    <w:p w14:paraId="6FC70A4E" w14:textId="08B71089" w:rsidR="00F12BCB" w:rsidRPr="000121EF" w:rsidRDefault="00F12BCB" w:rsidP="000121EF">
      <w:pPr>
        <w:rPr>
          <w:rFonts w:cs="Arial"/>
        </w:rPr>
      </w:pPr>
      <w:r>
        <w:rPr>
          <w:rFonts w:cs="Arial"/>
        </w:rPr>
        <w:t>Das „Neue" bei diesem Verfahren stellt der Einsatz von Katalysatoren dar. α-Eisen übernimmt dabei die Rolle des Katalysators. Es wird bei Reaktionsstart aus Fe</w:t>
      </w:r>
      <w:r>
        <w:rPr>
          <w:rFonts w:cs="Arial"/>
          <w:vertAlign w:val="subscript"/>
        </w:rPr>
        <w:t>3</w:t>
      </w:r>
      <w:r>
        <w:rPr>
          <w:rFonts w:cs="Arial"/>
        </w:rPr>
        <w:t>O</w:t>
      </w:r>
      <w:r>
        <w:rPr>
          <w:rFonts w:cs="Arial"/>
          <w:vertAlign w:val="subscript"/>
        </w:rPr>
        <w:t>4</w:t>
      </w:r>
      <w:r>
        <w:rPr>
          <w:rFonts w:cs="Arial"/>
        </w:rPr>
        <w:t xml:space="preserve"> gebildet. Zur Aktivitätserhöhung und Erhalt der Lebensdauer im Reaktor werden noch Aluminium-, Calcium-, Magnesium- oder Kaliumoxide zugesetzt.</w:t>
      </w:r>
    </w:p>
    <w:p w14:paraId="50BA05B5" w14:textId="0FFBD0A1" w:rsidR="006C57B7" w:rsidRDefault="000121EF" w:rsidP="000121EF">
      <w:pPr>
        <w:pStyle w:val="Bilder"/>
      </w:pPr>
      <w:r>
        <w:rPr>
          <w:lang w:eastAsia="de-DE"/>
        </w:rPr>
        <w:drawing>
          <wp:inline distT="0" distB="0" distL="0" distR="0" wp14:anchorId="06D2446F" wp14:editId="4A7F738C">
            <wp:extent cx="3955472" cy="2912266"/>
            <wp:effectExtent l="0" t="0" r="6985" b="2540"/>
            <wp:docPr id="24287745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77452" name="Grafik 242877452"/>
                    <pic:cNvPicPr/>
                  </pic:nvPicPr>
                  <pic:blipFill rotWithShape="1">
                    <a:blip r:embed="rId23">
                      <a:extLst>
                        <a:ext uri="{28A0092B-C50C-407E-A947-70E740481C1C}">
                          <a14:useLocalDpi xmlns:a14="http://schemas.microsoft.com/office/drawing/2010/main" val="0"/>
                        </a:ext>
                      </a:extLst>
                    </a:blip>
                    <a:srcRect l="35692" t="46440" r="32941" b="12506"/>
                    <a:stretch/>
                  </pic:blipFill>
                  <pic:spPr bwMode="auto">
                    <a:xfrm>
                      <a:off x="0" y="0"/>
                      <a:ext cx="3983162" cy="2932653"/>
                    </a:xfrm>
                    <a:prstGeom prst="rect">
                      <a:avLst/>
                    </a:prstGeom>
                    <a:ln>
                      <a:noFill/>
                    </a:ln>
                    <a:extLst>
                      <a:ext uri="{53640926-AAD7-44D8-BBD7-CCE9431645EC}">
                        <a14:shadowObscured xmlns:a14="http://schemas.microsoft.com/office/drawing/2010/main"/>
                      </a:ext>
                    </a:extLst>
                  </pic:spPr>
                </pic:pic>
              </a:graphicData>
            </a:graphic>
          </wp:inline>
        </w:drawing>
      </w:r>
    </w:p>
    <w:p w14:paraId="5F99A559" w14:textId="5244C898" w:rsidR="00F12BCB" w:rsidRDefault="00F12BCB" w:rsidP="00F12BCB">
      <w:pPr>
        <w:pStyle w:val="Beschriftung"/>
      </w:pPr>
      <w:r>
        <w:t xml:space="preserve">Abb. </w:t>
      </w:r>
      <w:r w:rsidR="00F85A00">
        <w:fldChar w:fldCharType="begin"/>
      </w:r>
      <w:r w:rsidR="00F85A00">
        <w:instrText xml:space="preserve"> S</w:instrText>
      </w:r>
      <w:r w:rsidR="00F85A00">
        <w:instrText xml:space="preserve">EQ Abb. \* ARABIC </w:instrText>
      </w:r>
      <w:r w:rsidR="00F85A00">
        <w:fldChar w:fldCharType="separate"/>
      </w:r>
      <w:r w:rsidR="00F85A00">
        <w:rPr>
          <w:noProof/>
        </w:rPr>
        <w:t>14</w:t>
      </w:r>
      <w:r w:rsidR="00F85A00">
        <w:rPr>
          <w:noProof/>
        </w:rPr>
        <w:fldChar w:fldCharType="end"/>
      </w:r>
      <w:r>
        <w:t>: Ammoniak-Synthese</w:t>
      </w:r>
      <w:r w:rsidR="008B3283">
        <w:t xml:space="preserve"> </w:t>
      </w:r>
    </w:p>
    <w:p w14:paraId="23D7534F" w14:textId="43F94190" w:rsidR="00F12BCB" w:rsidRDefault="00F12BCB" w:rsidP="00F12BCB">
      <w:pPr>
        <w:rPr>
          <w:rFonts w:cs="Arial"/>
        </w:rPr>
      </w:pPr>
      <w:r>
        <w:rPr>
          <w:rFonts w:cs="Arial"/>
        </w:rPr>
        <w:t>Durch den Einsatz dieses heterogenen Katalysator-Systems wird erreicht, dass die ursprüngliche Aktivierungsenergie von +400</w:t>
      </w:r>
      <w:r w:rsidR="00D22F46">
        <w:rPr>
          <w:rFonts w:cs="Arial"/>
        </w:rPr>
        <w:t> </w:t>
      </w:r>
      <w:r>
        <w:rPr>
          <w:rFonts w:cs="Arial"/>
        </w:rPr>
        <w:t>kJ/</w:t>
      </w:r>
      <w:proofErr w:type="spellStart"/>
      <w:r>
        <w:rPr>
          <w:rFonts w:cs="Arial"/>
        </w:rPr>
        <w:t>mol</w:t>
      </w:r>
      <w:proofErr w:type="spellEnd"/>
      <w:r>
        <w:rPr>
          <w:rFonts w:cs="Arial"/>
        </w:rPr>
        <w:t xml:space="preserve"> auf etwa 65</w:t>
      </w:r>
      <w:r w:rsidR="00D22F46">
        <w:rPr>
          <w:rFonts w:cs="Arial"/>
        </w:rPr>
        <w:t> </w:t>
      </w:r>
      <w:r>
        <w:rPr>
          <w:rFonts w:cs="Arial"/>
        </w:rPr>
        <w:t>-</w:t>
      </w:r>
      <w:r w:rsidR="00D22F46">
        <w:rPr>
          <w:rFonts w:cs="Arial"/>
        </w:rPr>
        <w:t> </w:t>
      </w:r>
      <w:r>
        <w:rPr>
          <w:rFonts w:cs="Arial"/>
        </w:rPr>
        <w:t>68</w:t>
      </w:r>
      <w:r w:rsidR="00D22F46">
        <w:rPr>
          <w:rFonts w:cs="Arial"/>
        </w:rPr>
        <w:t> </w:t>
      </w:r>
      <w:r>
        <w:rPr>
          <w:rFonts w:cs="Arial"/>
        </w:rPr>
        <w:t>kJ/</w:t>
      </w:r>
      <w:proofErr w:type="spellStart"/>
      <w:r>
        <w:rPr>
          <w:rFonts w:cs="Arial"/>
        </w:rPr>
        <w:t>mol</w:t>
      </w:r>
      <w:proofErr w:type="spellEnd"/>
      <w:r>
        <w:rPr>
          <w:rFonts w:cs="Arial"/>
        </w:rPr>
        <w:t xml:space="preserve"> reduziert wird. Aus diesem Grund kann die Ammoniak-Synthese bereits bei einer Temperatur von 250</w:t>
      </w:r>
      <w:r w:rsidR="00D22F46">
        <w:rPr>
          <w:rFonts w:cs="Arial"/>
        </w:rPr>
        <w:t> </w:t>
      </w:r>
      <w:r>
        <w:rPr>
          <w:rFonts w:cs="Arial"/>
        </w:rPr>
        <w:t>-</w:t>
      </w:r>
      <w:r w:rsidR="00D22F46">
        <w:rPr>
          <w:rFonts w:cs="Arial"/>
        </w:rPr>
        <w:t> </w:t>
      </w:r>
      <w:r>
        <w:rPr>
          <w:rFonts w:cs="Arial"/>
        </w:rPr>
        <w:t>400°C und etwa 200</w:t>
      </w:r>
      <w:r w:rsidR="00D22F46">
        <w:rPr>
          <w:rFonts w:cs="Arial"/>
        </w:rPr>
        <w:t> </w:t>
      </w:r>
      <w:r>
        <w:rPr>
          <w:rFonts w:cs="Arial"/>
        </w:rPr>
        <w:t>bar Druck großtechnisch durchgeführt werden.</w:t>
      </w:r>
    </w:p>
    <w:p w14:paraId="493EF634" w14:textId="64C72BD3" w:rsidR="00D22F46" w:rsidRDefault="00D22F46" w:rsidP="00D22F46">
      <w:pPr>
        <w:pStyle w:val="berschrift2"/>
      </w:pPr>
      <w:bookmarkStart w:id="18" w:name="_Toc146015322"/>
      <w:r>
        <w:t>Cracken von langkettigen Kohlenwasserstoffen</w:t>
      </w:r>
      <w:bookmarkEnd w:id="18"/>
    </w:p>
    <w:p w14:paraId="47E926A0" w14:textId="228F5A28" w:rsidR="00D22F46" w:rsidRDefault="00D22F46" w:rsidP="00D22F46">
      <w:pPr>
        <w:rPr>
          <w:rFonts w:cs="Arial"/>
        </w:rPr>
      </w:pPr>
      <w:r>
        <w:rPr>
          <w:rFonts w:cs="Arial"/>
        </w:rPr>
        <w:t xml:space="preserve">Auch beim Cracken von langkettigen Kohlenwasserstoffen (z. B. Roh-Öl) zu kurzkettigen Kohlenwasserstoffen (z. B. Benzin) spielen Katalysatoren eine wichtige Rolle. Unter Normal-Bedingungen müssten Reaktionstemperaturen von 500 - 700°C bei 20 - 100 bar Druck geschaffen werden, damit die Reaktion ablaufen kann. Um dennoch wirtschaftlich produzieren zu können werden Katalysatoren eingesetzt. In der Praxis werden hierzu Stangen-Presslinge aus Aluminiumoxid und </w:t>
      </w:r>
      <w:proofErr w:type="spellStart"/>
      <w:r>
        <w:rPr>
          <w:rFonts w:cs="Arial"/>
        </w:rPr>
        <w:t>Siliciumdioxid</w:t>
      </w:r>
      <w:proofErr w:type="spellEnd"/>
      <w:r>
        <w:rPr>
          <w:rFonts w:cs="Arial"/>
        </w:rPr>
        <w:t xml:space="preserve"> verwendet die bei diesem Reaktionstyp ihre katalytische Wirkung entfalten. Bei dem sog. Fließbett-Verfahren werden langkettige Kohlenwasserstoffe durch eine Katalysator-Schicht geleitet, dabei entstehen kurzkettige Kohlenwasserstoffe bereits bei Temperaturen von 350 - 400°C unter Normal-Druck.</w:t>
      </w:r>
    </w:p>
    <w:p w14:paraId="708268E0" w14:textId="0399376E" w:rsidR="00D22F46" w:rsidRDefault="00D22F46" w:rsidP="00D22F46">
      <w:pPr>
        <w:pStyle w:val="Bilder"/>
      </w:pPr>
      <w:r>
        <w:rPr>
          <w:lang w:eastAsia="de-DE"/>
        </w:rPr>
        <w:drawing>
          <wp:inline distT="0" distB="0" distL="0" distR="0" wp14:anchorId="7F326881" wp14:editId="04A330F1">
            <wp:extent cx="3936432" cy="288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6432" cy="2880000"/>
                    </a:xfrm>
                    <a:prstGeom prst="rect">
                      <a:avLst/>
                    </a:prstGeom>
                    <a:noFill/>
                  </pic:spPr>
                </pic:pic>
              </a:graphicData>
            </a:graphic>
          </wp:inline>
        </w:drawing>
      </w:r>
    </w:p>
    <w:p w14:paraId="27F018CB" w14:textId="06C8E0EF" w:rsidR="00D22F46" w:rsidRDefault="00D22F46" w:rsidP="00D22F46">
      <w:pPr>
        <w:pStyle w:val="Beschriftung"/>
      </w:pPr>
      <w:r>
        <w:t xml:space="preserve">Abb. </w:t>
      </w:r>
      <w:r w:rsidR="00F85A00">
        <w:fldChar w:fldCharType="begin"/>
      </w:r>
      <w:r w:rsidR="00F85A00">
        <w:instrText xml:space="preserve"> SEQ Abb. \* ARABIC </w:instrText>
      </w:r>
      <w:r w:rsidR="00F85A00">
        <w:fldChar w:fldCharType="separate"/>
      </w:r>
      <w:r w:rsidR="00F85A00">
        <w:rPr>
          <w:noProof/>
        </w:rPr>
        <w:t>15</w:t>
      </w:r>
      <w:r w:rsidR="00F85A00">
        <w:rPr>
          <w:noProof/>
        </w:rPr>
        <w:fldChar w:fldCharType="end"/>
      </w:r>
      <w:r>
        <w:t>: Cracken von Kohlenwasserstoffen</w:t>
      </w:r>
    </w:p>
    <w:p w14:paraId="0486EAD0" w14:textId="7FF3E65D" w:rsidR="00D22F46" w:rsidRDefault="00D22F46" w:rsidP="00D22F46">
      <w:pPr>
        <w:pStyle w:val="berschrift2"/>
      </w:pPr>
      <w:bookmarkStart w:id="19" w:name="_Toc146015323"/>
      <w:r>
        <w:t>Niederdruck</w:t>
      </w:r>
      <w:r w:rsidR="008B3283">
        <w:t>-</w:t>
      </w:r>
      <w:proofErr w:type="spellStart"/>
      <w:r>
        <w:t>Ethylenpolymerisation</w:t>
      </w:r>
      <w:bookmarkEnd w:id="19"/>
      <w:proofErr w:type="spellEnd"/>
    </w:p>
    <w:p w14:paraId="2D1E3A40" w14:textId="306095F2" w:rsidR="00D22F46" w:rsidRDefault="00D22F46" w:rsidP="00D22F46">
      <w:pPr>
        <w:rPr>
          <w:rFonts w:cs="Arial"/>
        </w:rPr>
      </w:pPr>
      <w:r>
        <w:rPr>
          <w:rFonts w:cs="Arial"/>
        </w:rPr>
        <w:t xml:space="preserve">Karl Ziegler entdeckte 1953 ein Verfahren zu Herstellung von </w:t>
      </w:r>
      <w:r w:rsidR="00C60004">
        <w:rPr>
          <w:rFonts w:cs="Arial"/>
        </w:rPr>
        <w:t>Polyethylen</w:t>
      </w:r>
      <w:r>
        <w:rPr>
          <w:rFonts w:cs="Arial"/>
        </w:rPr>
        <w:t xml:space="preserve">, bei dem bereits geringe Drücke ausreichen. Möglich machten dies Katalysatoren, die aus </w:t>
      </w:r>
      <w:proofErr w:type="spellStart"/>
      <w:r>
        <w:rPr>
          <w:rFonts w:cs="Arial"/>
        </w:rPr>
        <w:t>Diethylaluminiumchlorid</w:t>
      </w:r>
      <w:proofErr w:type="spellEnd"/>
      <w:r>
        <w:rPr>
          <w:rFonts w:cs="Arial"/>
        </w:rPr>
        <w:t xml:space="preserve"> und </w:t>
      </w:r>
      <w:proofErr w:type="spellStart"/>
      <w:r>
        <w:rPr>
          <w:rFonts w:cs="Arial"/>
        </w:rPr>
        <w:t>Titantetrachlorid</w:t>
      </w:r>
      <w:proofErr w:type="spellEnd"/>
      <w:r>
        <w:rPr>
          <w:rFonts w:cs="Arial"/>
        </w:rPr>
        <w:t xml:space="preserve"> gebildet werden. Mit Hilfe dieser sog. Ziegler-Natta-Katalysatoren kann z.</w:t>
      </w:r>
      <w:r w:rsidR="00C60004">
        <w:rPr>
          <w:rFonts w:cs="Arial"/>
        </w:rPr>
        <w:t> </w:t>
      </w:r>
      <w:r>
        <w:rPr>
          <w:rFonts w:cs="Arial"/>
        </w:rPr>
        <w:t>B. Polyethylen bereits bei Zimmer</w:t>
      </w:r>
      <w:r w:rsidR="00C60004">
        <w:rPr>
          <w:rFonts w:cs="Arial"/>
        </w:rPr>
        <w:t>-T</w:t>
      </w:r>
      <w:r>
        <w:rPr>
          <w:rFonts w:cs="Arial"/>
        </w:rPr>
        <w:t>emperatur und Normal</w:t>
      </w:r>
      <w:r w:rsidR="00C60004">
        <w:rPr>
          <w:rFonts w:cs="Arial"/>
        </w:rPr>
        <w:t>-D</w:t>
      </w:r>
      <w:r>
        <w:rPr>
          <w:rFonts w:cs="Arial"/>
        </w:rPr>
        <w:t>ruck hergestellt werden. Dazu werden in einem Rührkessel Verdünnungsmittel, gelöster Katalysator und Ethylen</w:t>
      </w:r>
      <w:r w:rsidR="00C60004">
        <w:rPr>
          <w:rFonts w:cs="Arial"/>
        </w:rPr>
        <w:t>-G</w:t>
      </w:r>
      <w:r>
        <w:rPr>
          <w:rFonts w:cs="Arial"/>
        </w:rPr>
        <w:t>as vermischt. Das Reaktionsprodukt fällt anschließend als weißes, pulvriges Polyethylen an.</w:t>
      </w:r>
    </w:p>
    <w:p w14:paraId="7E262B77" w14:textId="6E8C92CF" w:rsidR="00C60004" w:rsidRPr="00C60004" w:rsidRDefault="00C60004" w:rsidP="00C60004">
      <w:r w:rsidRPr="00C60004">
        <w:t>Der Reaktionsablauf sieht dabei so aus, dass Ethylen-Moleküle zwischen Titan und die organische Gruppe des Katalysator-Moleküls geschoben werden. An die dadurch entstehende freie Koordinationsstelle, kann so ein weiteres Ethylen-Molekül binden. Diese Einschub-Reaktion wiederholt sich nun solange, bis es zum Ketten-Abbruch kommt und die Polyethylen-Kette abfällt.</w:t>
      </w:r>
    </w:p>
    <w:p w14:paraId="046538B0" w14:textId="2621C3F6" w:rsidR="00C60004" w:rsidRDefault="00C60004" w:rsidP="00C60004">
      <w:pPr>
        <w:pStyle w:val="Bilder"/>
      </w:pPr>
      <w:r>
        <w:rPr>
          <w:lang w:eastAsia="de-DE"/>
        </w:rPr>
        <w:drawing>
          <wp:inline distT="0" distB="0" distL="0" distR="0" wp14:anchorId="53C61F3E" wp14:editId="67C25AC9">
            <wp:extent cx="3447477" cy="2880000"/>
            <wp:effectExtent l="0" t="0" r="63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7477" cy="2880000"/>
                    </a:xfrm>
                    <a:prstGeom prst="rect">
                      <a:avLst/>
                    </a:prstGeom>
                    <a:noFill/>
                  </pic:spPr>
                </pic:pic>
              </a:graphicData>
            </a:graphic>
          </wp:inline>
        </w:drawing>
      </w:r>
    </w:p>
    <w:p w14:paraId="78678044" w14:textId="01DD6F06" w:rsidR="00C60004" w:rsidRDefault="00C60004" w:rsidP="00C60004">
      <w:pPr>
        <w:pStyle w:val="Bilder"/>
      </w:pPr>
      <w:r>
        <w:rPr>
          <w:lang w:eastAsia="de-DE"/>
        </w:rPr>
        <w:drawing>
          <wp:inline distT="0" distB="0" distL="0" distR="0" wp14:anchorId="41F05EB1" wp14:editId="536FC4CB">
            <wp:extent cx="2464671" cy="180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4671" cy="1800000"/>
                    </a:xfrm>
                    <a:prstGeom prst="rect">
                      <a:avLst/>
                    </a:prstGeom>
                    <a:noFill/>
                  </pic:spPr>
                </pic:pic>
              </a:graphicData>
            </a:graphic>
          </wp:inline>
        </w:drawing>
      </w:r>
    </w:p>
    <w:p w14:paraId="26F8F367" w14:textId="22BE8690" w:rsidR="00C60004" w:rsidRDefault="00C60004" w:rsidP="00C60004">
      <w:pPr>
        <w:pStyle w:val="Beschriftung"/>
      </w:pPr>
      <w:r>
        <w:t xml:space="preserve">Abb. </w:t>
      </w:r>
      <w:r w:rsidR="00F85A00">
        <w:fldChar w:fldCharType="begin"/>
      </w:r>
      <w:r w:rsidR="00F85A00">
        <w:instrText xml:space="preserve"> SEQ Abb. \* ARABIC </w:instrText>
      </w:r>
      <w:r w:rsidR="00F85A00">
        <w:fldChar w:fldCharType="separate"/>
      </w:r>
      <w:r w:rsidR="00F85A00">
        <w:rPr>
          <w:noProof/>
        </w:rPr>
        <w:t>16</w:t>
      </w:r>
      <w:r w:rsidR="00F85A00">
        <w:rPr>
          <w:noProof/>
        </w:rPr>
        <w:fldChar w:fldCharType="end"/>
      </w:r>
      <w:r>
        <w:t>: Ethylen-Polymerisation mit Katalysatoren</w:t>
      </w:r>
    </w:p>
    <w:p w14:paraId="4D5DB708" w14:textId="77777777" w:rsidR="00CD07AE" w:rsidRDefault="00CD07AE" w:rsidP="00CD07AE">
      <w:pPr>
        <w:pStyle w:val="berschrift1"/>
      </w:pPr>
      <w:bookmarkStart w:id="20" w:name="_Toc146015324"/>
      <w:r>
        <w:t>Der Wilkinson-Katalysator</w:t>
      </w:r>
      <w:bookmarkEnd w:id="20"/>
    </w:p>
    <w:p w14:paraId="430395A5" w14:textId="7AF96737" w:rsidR="00CD07AE" w:rsidRDefault="00CD07AE" w:rsidP="00CD07AE">
      <w:r>
        <w:t>Der Wilkinson-Katalysator wurden vom Nobelpreisträger Geoffrey Wilkinson entdeckt. Dabei handelt es sich um ein Rhodium(I)-Komplex, der die Hydrierung von Olefinen ermöglicht. Der Katalysator ist ein Komplexkatalysator, der bei der homogenen Katalyse eingesetzt wird.</w:t>
      </w:r>
      <w:r w:rsidR="001B61BE">
        <w:t xml:space="preserve"> Der Mechanismus der </w:t>
      </w:r>
      <w:proofErr w:type="spellStart"/>
      <w:r w:rsidR="001B61BE">
        <w:t>Olefinhydrierung</w:t>
      </w:r>
      <w:proofErr w:type="spellEnd"/>
      <w:r w:rsidR="001B61BE">
        <w:t xml:space="preserve"> mit dem Wilkinson-Katalysator </w:t>
      </w:r>
      <w:r w:rsidR="00974001">
        <w:t xml:space="preserve">verläuft wie folgt: </w:t>
      </w:r>
    </w:p>
    <w:p w14:paraId="7B90C077" w14:textId="31E94C83" w:rsidR="00CD07AE" w:rsidRDefault="00F531F9" w:rsidP="00F531F9">
      <w:pPr>
        <w:keepNext/>
        <w:jc w:val="center"/>
      </w:pPr>
      <w:r>
        <w:rPr>
          <w:noProof/>
          <w:lang w:eastAsia="de-DE"/>
        </w:rPr>
        <w:drawing>
          <wp:inline distT="0" distB="0" distL="0" distR="0" wp14:anchorId="5E29157B" wp14:editId="7D990ABF">
            <wp:extent cx="5519147" cy="3657600"/>
            <wp:effectExtent l="0" t="0" r="5715" b="0"/>
            <wp:docPr id="18408009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00988" name="Grafik 18408009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7060" cy="3662844"/>
                    </a:xfrm>
                    <a:prstGeom prst="rect">
                      <a:avLst/>
                    </a:prstGeom>
                  </pic:spPr>
                </pic:pic>
              </a:graphicData>
            </a:graphic>
          </wp:inline>
        </w:drawing>
      </w:r>
    </w:p>
    <w:p w14:paraId="7B349A26" w14:textId="1DDFDFAB" w:rsidR="00CD07AE" w:rsidRPr="002226C9" w:rsidRDefault="00CD07AE" w:rsidP="002226C9">
      <w:pPr>
        <w:pStyle w:val="Beschriftung"/>
      </w:pPr>
      <w:r w:rsidRPr="002226C9">
        <w:t>Abbildung</w:t>
      </w:r>
      <w:r w:rsidR="00704390" w:rsidRPr="002226C9">
        <w:t xml:space="preserve"> 17</w:t>
      </w:r>
      <w:r w:rsidRPr="002226C9">
        <w:t xml:space="preserve">: </w:t>
      </w:r>
      <w:r w:rsidR="00750FC6" w:rsidRPr="002226C9">
        <w:t xml:space="preserve">Mechanismus der </w:t>
      </w:r>
      <w:proofErr w:type="spellStart"/>
      <w:r w:rsidRPr="002226C9">
        <w:t>Olefinhydrierung</w:t>
      </w:r>
      <w:proofErr w:type="spellEnd"/>
      <w:r w:rsidRPr="002226C9">
        <w:t xml:space="preserve"> mit Hilfe des Wilkinson-Katalysators</w:t>
      </w:r>
      <w:r w:rsidR="008B3283" w:rsidRPr="002226C9">
        <w:t xml:space="preserve"> </w:t>
      </w:r>
    </w:p>
    <w:p w14:paraId="6701DBE4" w14:textId="2B4EB99D" w:rsidR="00CD07AE" w:rsidRDefault="00E7120A" w:rsidP="00CD07AE">
      <w:r>
        <w:t xml:space="preserve">Im ersten Schritt (1) erfolgt eine </w:t>
      </w:r>
      <w:proofErr w:type="spellStart"/>
      <w:r>
        <w:t>Ligandenabspaltung</w:t>
      </w:r>
      <w:proofErr w:type="spellEnd"/>
      <w:r>
        <w:t xml:space="preserve">. Hierfür wird </w:t>
      </w:r>
      <w:r w:rsidR="001C1BC7">
        <w:t>vom</w:t>
      </w:r>
      <w:r>
        <w:t xml:space="preserve"> sogenannte Präkatalysator</w:t>
      </w:r>
      <w:r w:rsidR="001C1BC7">
        <w:t xml:space="preserve"> ein PPh</w:t>
      </w:r>
      <w:r w:rsidR="001C1BC7" w:rsidRPr="006B5108">
        <w:rPr>
          <w:vertAlign w:val="subscript"/>
        </w:rPr>
        <w:t>3</w:t>
      </w:r>
      <w:r w:rsidR="001C1BC7">
        <w:t>-Ligand abgespaltet, d</w:t>
      </w:r>
      <w:r>
        <w:t xml:space="preserve">er Katalysator </w:t>
      </w:r>
      <w:r w:rsidR="00704390">
        <w:t>wird somit</w:t>
      </w:r>
      <w:r>
        <w:t xml:space="preserve"> in seine aktive Form</w:t>
      </w:r>
      <w:r w:rsidR="00704390">
        <w:t xml:space="preserve"> überführt</w:t>
      </w:r>
      <w:r w:rsidR="00CD07AE">
        <w:t>. Im nächsten Schritt</w:t>
      </w:r>
      <w:r>
        <w:t xml:space="preserve"> (2)</w:t>
      </w:r>
      <w:r w:rsidR="00CD07AE">
        <w:t xml:space="preserve"> kommt es zur oxidativen Addition von Wasserstoff</w:t>
      </w:r>
      <w:r>
        <w:t>, dadurch entsteht ein koordinativ ungesättigter</w:t>
      </w:r>
      <w:r w:rsidR="009D49EC">
        <w:t xml:space="preserve"> </w:t>
      </w:r>
      <w:proofErr w:type="spellStart"/>
      <w:r w:rsidR="009D49EC">
        <w:t>cis-Dihydridorhodium</w:t>
      </w:r>
      <w:proofErr w:type="spellEnd"/>
      <w:r w:rsidR="009D49EC">
        <w:t>(III)-Komplex.</w:t>
      </w:r>
      <w:r w:rsidR="00CD07AE">
        <w:t xml:space="preserve"> </w:t>
      </w:r>
      <w:r w:rsidR="009D49EC">
        <w:t>A</w:t>
      </w:r>
      <w:r w:rsidR="00CD07AE">
        <w:t>nschließend</w:t>
      </w:r>
      <w:r w:rsidR="009D49EC">
        <w:t xml:space="preserve"> (3)</w:t>
      </w:r>
      <w:r w:rsidR="00CD07AE">
        <w:t xml:space="preserve"> </w:t>
      </w:r>
      <w:r w:rsidR="009D49EC">
        <w:t xml:space="preserve">koordiniert ein </w:t>
      </w:r>
      <w:r w:rsidR="00CD07AE">
        <w:t>Olefin an den Komplex</w:t>
      </w:r>
      <w:r w:rsidR="009D49EC">
        <w:t>, wodurch dieser</w:t>
      </w:r>
      <w:r w:rsidR="00704390">
        <w:t xml:space="preserve"> nun</w:t>
      </w:r>
      <w:r w:rsidR="009D49EC">
        <w:t xml:space="preserve"> gesättigt ist</w:t>
      </w:r>
      <w:r w:rsidR="00CD07AE">
        <w:t xml:space="preserve">. Daraufhin </w:t>
      </w:r>
      <w:r w:rsidR="00704390">
        <w:t xml:space="preserve">(4) wird das koordinierte Olefin inseriert. Es entsteht ein </w:t>
      </w:r>
      <w:proofErr w:type="spellStart"/>
      <w:r w:rsidR="00704390">
        <w:t>Ethylhydridorhodium</w:t>
      </w:r>
      <w:proofErr w:type="spellEnd"/>
      <w:r w:rsidR="00704390">
        <w:t>(III)-Komplex. Bei diesem Schritt handelt es sich um den gesch</w:t>
      </w:r>
      <w:r w:rsidR="008B3283">
        <w:t>windigkeitsbestimmenden Schritt</w:t>
      </w:r>
      <w:r w:rsidR="00704390">
        <w:t xml:space="preserve">. Im letzten Schritt (5) wird bei einer reduktiven C-H-Eliminierung das Alkan abgespaltet. </w:t>
      </w:r>
      <w:r w:rsidR="00893DFB">
        <w:t xml:space="preserve">Der letzte Schritt ist irreversibel. </w:t>
      </w:r>
    </w:p>
    <w:p w14:paraId="0A10CC75" w14:textId="77777777" w:rsidR="008B3283" w:rsidRDefault="008B3283">
      <w:pPr>
        <w:spacing w:before="0"/>
        <w:jc w:val="left"/>
        <w:rPr>
          <w:b/>
        </w:rPr>
      </w:pPr>
      <w:r>
        <w:rPr>
          <w:b/>
        </w:rPr>
        <w:br w:type="page"/>
      </w:r>
    </w:p>
    <w:p w14:paraId="656BD0E3" w14:textId="25B0C8B7" w:rsidR="00600D54" w:rsidRDefault="00600D54" w:rsidP="00600D54">
      <w:pPr>
        <w:pStyle w:val="Zusammenfassung"/>
      </w:pPr>
      <w:r w:rsidRPr="00600D54">
        <w:rPr>
          <w:b/>
        </w:rPr>
        <w:t>Zusammenfassung</w:t>
      </w:r>
      <w:r>
        <w:t xml:space="preserve">: </w:t>
      </w:r>
    </w:p>
    <w:p w14:paraId="777AD1E4" w14:textId="58366609" w:rsidR="00600D54" w:rsidRPr="00F17A3B" w:rsidRDefault="007E6112" w:rsidP="007E6112">
      <w:pPr>
        <w:pStyle w:val="EinstiegAbschluss"/>
        <w:numPr>
          <w:ilvl w:val="0"/>
          <w:numId w:val="0"/>
        </w:numPr>
        <w:spacing w:before="0"/>
        <w:jc w:val="left"/>
      </w:pPr>
      <w:r w:rsidRPr="00F17A3B">
        <w:t>Schon bevor der Mechanismus oder eine Benennung der Ka</w:t>
      </w:r>
      <w:r w:rsidR="00CC530F" w:rsidRPr="00F17A3B">
        <w:t>talyse bekannt war hat man sich diese zu</w:t>
      </w:r>
      <w:r w:rsidR="008B3283">
        <w:t>nutze</w:t>
      </w:r>
      <w:r w:rsidR="00CC530F" w:rsidRPr="00F17A3B">
        <w:t xml:space="preserve"> gemacht. Im Jahr 1835 definierte der Chemiker Jöns Jakob Berzelius erstmals den Begriff der „katalytischen Kraft“. Katalysatoren setzen im Allgemeinen die Aktiv</w:t>
      </w:r>
      <w:r w:rsidR="006B5108" w:rsidRPr="00F17A3B">
        <w:t>i</w:t>
      </w:r>
      <w:r w:rsidR="00CC530F" w:rsidRPr="00F17A3B">
        <w:t xml:space="preserve">erungsenergie einer Reaktion herab und </w:t>
      </w:r>
      <w:r w:rsidR="000121EF" w:rsidRPr="000121EF">
        <w:t>erhöhen so die Reaktionsgeschwindigkeit</w:t>
      </w:r>
      <w:r w:rsidR="00CC530F" w:rsidRPr="00F17A3B">
        <w:t xml:space="preserve">. Zudem liegen Katalysatoren am Ende einer Reaktion unverändert vor. </w:t>
      </w:r>
      <w:r w:rsidR="008B3283">
        <w:t>Für</w:t>
      </w:r>
      <w:r w:rsidR="00CC530F" w:rsidRPr="00F17A3B">
        <w:t xml:space="preserve"> eine neue Definition des Begriffes „Katalysator“ und </w:t>
      </w:r>
      <w:r w:rsidR="008B3283">
        <w:t xml:space="preserve">seine </w:t>
      </w:r>
      <w:r w:rsidR="00CC530F" w:rsidRPr="00F17A3B">
        <w:t>Arbeit mit diesen erhielt Wilhelm Ostwald 1909 den Nobelpreis. Es existieren vier verschiedene Katalysatortypen: Heterogene und Homogene Katalysatoren, Autokatalysatoren und Biokatalysatoren. Viele Katalysatoren finden in der Industrie Verwendung, wie bei der Ammoniak-Synthese, das Cracken von langkettigen Kohlenwasserstoffen oder der Niederdruck</w:t>
      </w:r>
      <w:r w:rsidR="008B3283">
        <w:t>-</w:t>
      </w:r>
      <w:r w:rsidR="00CC530F" w:rsidRPr="00F17A3B">
        <w:t>Ethylen</w:t>
      </w:r>
      <w:r w:rsidR="00CE4128">
        <w:t>-P</w:t>
      </w:r>
      <w:r w:rsidR="00CC530F" w:rsidRPr="00F17A3B">
        <w:t xml:space="preserve">olymerisation. Auch die </w:t>
      </w:r>
      <w:r w:rsidR="00974001" w:rsidRPr="00F17A3B">
        <w:t>Olefin</w:t>
      </w:r>
      <w:r w:rsidR="00CE4128">
        <w:t>-H</w:t>
      </w:r>
      <w:r w:rsidR="00974001" w:rsidRPr="00F17A3B">
        <w:t xml:space="preserve">ydrierung ist dank </w:t>
      </w:r>
      <w:r w:rsidR="008B3283">
        <w:t>des</w:t>
      </w:r>
      <w:r w:rsidR="00974001" w:rsidRPr="00F17A3B">
        <w:t xml:space="preserve"> Wilkinson-Katalysator</w:t>
      </w:r>
      <w:r w:rsidR="008B3283">
        <w:t>s</w:t>
      </w:r>
      <w:r w:rsidR="00974001" w:rsidRPr="00F17A3B">
        <w:t xml:space="preserve"> möglich.</w:t>
      </w:r>
    </w:p>
    <w:p w14:paraId="108902ED" w14:textId="368CAB5C" w:rsidR="007E6112" w:rsidRDefault="007E6112">
      <w:pPr>
        <w:spacing w:before="0"/>
        <w:jc w:val="left"/>
        <w:rPr>
          <w:b/>
          <w:bCs/>
          <w:i/>
        </w:rPr>
      </w:pPr>
    </w:p>
    <w:p w14:paraId="2A8C06EE" w14:textId="284B9AB5" w:rsidR="00931B30" w:rsidRDefault="00931B30" w:rsidP="00931B30">
      <w:pPr>
        <w:rPr>
          <w:b/>
          <w:bCs/>
        </w:rPr>
      </w:pPr>
      <w:r w:rsidRPr="000E61E0">
        <w:rPr>
          <w:b/>
          <w:bCs/>
        </w:rPr>
        <w:t>Quellen:</w:t>
      </w:r>
    </w:p>
    <w:p w14:paraId="1231DE21" w14:textId="4E52BA9B" w:rsidR="008903E1" w:rsidRPr="008903E1" w:rsidRDefault="008903E1" w:rsidP="00C40764">
      <w:pPr>
        <w:pStyle w:val="AufzhlungStandard"/>
        <w:jc w:val="both"/>
      </w:pPr>
      <w:r w:rsidRPr="008903E1">
        <w:t xml:space="preserve">K. </w:t>
      </w:r>
      <w:proofErr w:type="spellStart"/>
      <w:r w:rsidRPr="008903E1">
        <w:t>Hauffe</w:t>
      </w:r>
      <w:proofErr w:type="spellEnd"/>
      <w:r w:rsidRPr="008903E1">
        <w:t xml:space="preserve">, Katalyse, de </w:t>
      </w:r>
      <w:proofErr w:type="spellStart"/>
      <w:r w:rsidRPr="008903E1">
        <w:t>Gruyter</w:t>
      </w:r>
      <w:proofErr w:type="spellEnd"/>
      <w:r w:rsidRPr="008903E1">
        <w:t>-Verlag, Berlin, 1. Aufl., 1976</w:t>
      </w:r>
    </w:p>
    <w:p w14:paraId="1E236099" w14:textId="0717D5AC" w:rsidR="008903E1" w:rsidRPr="008903E1" w:rsidRDefault="008903E1" w:rsidP="00C40764">
      <w:pPr>
        <w:pStyle w:val="AufzhlungStandard"/>
        <w:jc w:val="both"/>
      </w:pPr>
      <w:r w:rsidRPr="008903E1">
        <w:t xml:space="preserve">H.-G. Winkler, Die Reaktionsgeschwindigkeit, </w:t>
      </w:r>
      <w:proofErr w:type="spellStart"/>
      <w:r w:rsidRPr="008903E1">
        <w:t>Aulis</w:t>
      </w:r>
      <w:proofErr w:type="spellEnd"/>
      <w:r w:rsidRPr="008903E1">
        <w:t>-Verlag, 3.Aufl., 1976</w:t>
      </w:r>
    </w:p>
    <w:p w14:paraId="4E3D816F" w14:textId="63EF13BC" w:rsidR="008903E1" w:rsidRPr="008903E1" w:rsidRDefault="008903E1" w:rsidP="00C40764">
      <w:pPr>
        <w:pStyle w:val="AufzhlungStandard"/>
        <w:jc w:val="both"/>
      </w:pPr>
      <w:r w:rsidRPr="008903E1">
        <w:t xml:space="preserve">W. Jansen, Reaktionskinetik und chemisches Gleichgewicht, </w:t>
      </w:r>
      <w:proofErr w:type="spellStart"/>
      <w:r w:rsidRPr="008903E1">
        <w:t>Aulis</w:t>
      </w:r>
      <w:proofErr w:type="spellEnd"/>
      <w:r w:rsidRPr="008903E1">
        <w:t>-Verlag, 1984</w:t>
      </w:r>
    </w:p>
    <w:p w14:paraId="289B4D7A" w14:textId="036CFBE8" w:rsidR="008903E1" w:rsidRPr="008903E1" w:rsidRDefault="008903E1" w:rsidP="00C40764">
      <w:pPr>
        <w:pStyle w:val="AufzhlungStandard"/>
        <w:jc w:val="both"/>
      </w:pPr>
      <w:r w:rsidRPr="008903E1">
        <w:t>E.G. Schlosser, Heterogene Katalyse, Verlag Chemie, 1972</w:t>
      </w:r>
    </w:p>
    <w:p w14:paraId="68F8061A" w14:textId="66C248F1" w:rsidR="008903E1" w:rsidRPr="008903E1" w:rsidRDefault="008903E1" w:rsidP="00C40764">
      <w:pPr>
        <w:pStyle w:val="AufzhlungStandard"/>
        <w:jc w:val="both"/>
      </w:pPr>
      <w:r w:rsidRPr="008903E1">
        <w:t>Folienserie des Fonds der Chemischen Industrie, Nr. 19 Katalyse, 2. Aufl., 1986</w:t>
      </w:r>
    </w:p>
    <w:p w14:paraId="0E0F09E9" w14:textId="1A07E58D" w:rsidR="008903E1" w:rsidRPr="008903E1" w:rsidRDefault="008903E1" w:rsidP="00C40764">
      <w:pPr>
        <w:pStyle w:val="AufzhlungStandard"/>
        <w:jc w:val="both"/>
      </w:pPr>
      <w:r w:rsidRPr="008903E1">
        <w:t>K. Häusler, Experimente für den Chemieunterricht, Oldenburg-Verlag, 1. Aufl., 1991</w:t>
      </w:r>
    </w:p>
    <w:p w14:paraId="71FBE9C9" w14:textId="1A923CAF" w:rsidR="008903E1" w:rsidRPr="008903E1" w:rsidRDefault="008903E1" w:rsidP="00C40764">
      <w:pPr>
        <w:pStyle w:val="AufzhlungStandard"/>
        <w:jc w:val="both"/>
      </w:pPr>
      <w:r w:rsidRPr="008903E1">
        <w:t xml:space="preserve">F.R. </w:t>
      </w:r>
      <w:proofErr w:type="spellStart"/>
      <w:r w:rsidRPr="008903E1">
        <w:t>Kreißler</w:t>
      </w:r>
      <w:proofErr w:type="spellEnd"/>
      <w:r w:rsidRPr="008903E1">
        <w:t xml:space="preserve">, Feuer und Flamme, Schall und </w:t>
      </w:r>
      <w:proofErr w:type="spellStart"/>
      <w:proofErr w:type="gramStart"/>
      <w:r w:rsidRPr="008903E1">
        <w:t>Rauch,Verlag</w:t>
      </w:r>
      <w:proofErr w:type="spellEnd"/>
      <w:proofErr w:type="gramEnd"/>
      <w:r w:rsidRPr="008903E1">
        <w:t xml:space="preserve"> VCH, 1999</w:t>
      </w:r>
    </w:p>
    <w:p w14:paraId="6844C26C" w14:textId="5B074525" w:rsidR="008903E1" w:rsidRPr="008903E1" w:rsidRDefault="008903E1" w:rsidP="00C40764">
      <w:pPr>
        <w:pStyle w:val="AufzhlungStandard"/>
        <w:jc w:val="both"/>
      </w:pPr>
      <w:r w:rsidRPr="008903E1">
        <w:t xml:space="preserve">E. Riedel, Anorganische Chemie, de </w:t>
      </w:r>
      <w:proofErr w:type="spellStart"/>
      <w:r w:rsidRPr="008903E1">
        <w:t>Gruyter</w:t>
      </w:r>
      <w:proofErr w:type="spellEnd"/>
      <w:r w:rsidRPr="008903E1">
        <w:t>-Verlag, Berlin, 3. Aufl., 1994</w:t>
      </w:r>
    </w:p>
    <w:p w14:paraId="30E3938F" w14:textId="00D45284" w:rsidR="008903E1" w:rsidRPr="008903E1" w:rsidRDefault="008903E1" w:rsidP="00C40764">
      <w:pPr>
        <w:pStyle w:val="AufzhlungStandard"/>
        <w:jc w:val="both"/>
      </w:pPr>
      <w:r w:rsidRPr="008903E1">
        <w:t xml:space="preserve">G. </w:t>
      </w:r>
      <w:proofErr w:type="spellStart"/>
      <w:r w:rsidRPr="008903E1">
        <w:t>Süss</w:t>
      </w:r>
      <w:proofErr w:type="spellEnd"/>
      <w:r w:rsidRPr="008903E1">
        <w:t>-Fink, Aufsatz: KATALYSE - Die sanfte Reaktion, Chemie im Unterricht - Physik/Chemie, Nr. 15, 1986</w:t>
      </w:r>
    </w:p>
    <w:p w14:paraId="25A0A520" w14:textId="5F5308A6" w:rsidR="008903E1" w:rsidRPr="008903E1" w:rsidRDefault="008903E1" w:rsidP="00C40764">
      <w:pPr>
        <w:pStyle w:val="AufzhlungStandard"/>
        <w:jc w:val="both"/>
      </w:pPr>
      <w:r w:rsidRPr="008903E1">
        <w:t xml:space="preserve">G. Job, R. Rüffler, Physikalische Chemie, </w:t>
      </w:r>
      <w:proofErr w:type="spellStart"/>
      <w:r w:rsidRPr="008903E1">
        <w:t>Wieweg+Teubner-Verlag</w:t>
      </w:r>
      <w:proofErr w:type="spellEnd"/>
      <w:r w:rsidRPr="008903E1">
        <w:t>, Wiesbaden, 1.Aufl., 2011</w:t>
      </w:r>
    </w:p>
    <w:p w14:paraId="1EEB7DBD" w14:textId="14536B16" w:rsidR="008903E1" w:rsidRPr="008903E1" w:rsidRDefault="008903E1" w:rsidP="00C40764">
      <w:pPr>
        <w:pStyle w:val="AufzhlungStandard"/>
        <w:jc w:val="both"/>
      </w:pPr>
      <w:r w:rsidRPr="008903E1">
        <w:t>G. Wedler, H.</w:t>
      </w:r>
      <w:r w:rsidR="00CE4128">
        <w:t xml:space="preserve"> </w:t>
      </w:r>
      <w:r w:rsidRPr="008903E1">
        <w:t>J.</w:t>
      </w:r>
      <w:r w:rsidR="00CE4128">
        <w:t xml:space="preserve"> </w:t>
      </w:r>
      <w:r w:rsidRPr="008903E1">
        <w:t>Freund, Lehrbuch der Physikalischen Chemie, WILEY-VCH-Verlag, Weinheim, 6.Aufl., 2012</w:t>
      </w:r>
    </w:p>
    <w:p w14:paraId="4B438F94" w14:textId="6903B129" w:rsidR="008903E1" w:rsidRPr="008903E1" w:rsidRDefault="008903E1" w:rsidP="00C40764">
      <w:pPr>
        <w:pStyle w:val="AufzhlungStandard"/>
        <w:jc w:val="both"/>
      </w:pPr>
      <w:r w:rsidRPr="008903E1">
        <w:t>T. Engel, P. Reid, Physikalische Chemie, Pearson-Verlag, München, 2006</w:t>
      </w:r>
    </w:p>
    <w:p w14:paraId="79E80B63" w14:textId="015BA5B2" w:rsidR="008903E1" w:rsidRPr="008903E1" w:rsidRDefault="008903E1" w:rsidP="00C40764">
      <w:pPr>
        <w:pStyle w:val="AufzhlungStandard"/>
        <w:jc w:val="both"/>
      </w:pPr>
      <w:r w:rsidRPr="008903E1">
        <w:t>G. Heidenfelder, Natura: Biologie für Gymnasien, Ernst-Klett-Verlag, 1.Aufl., 2009</w:t>
      </w:r>
    </w:p>
    <w:p w14:paraId="5609C103" w14:textId="2365FAC6" w:rsidR="008903E1" w:rsidRPr="008903E1" w:rsidRDefault="008903E1" w:rsidP="00C40764">
      <w:pPr>
        <w:pStyle w:val="AufzhlungStandard"/>
        <w:jc w:val="both"/>
      </w:pPr>
      <w:r w:rsidRPr="008903E1">
        <w:t>W. Jungbauer, Biologie heute entdecken 11, Bildungshaus Schulbuchverlage, Braunschweig, 2009</w:t>
      </w:r>
    </w:p>
    <w:p w14:paraId="4F3E673B" w14:textId="659260C2" w:rsidR="008903E1" w:rsidRPr="008903E1" w:rsidRDefault="008B3283" w:rsidP="00C40764">
      <w:pPr>
        <w:pStyle w:val="AufzhlungStandard"/>
        <w:jc w:val="both"/>
      </w:pPr>
      <w:r>
        <w:t xml:space="preserve">H. </w:t>
      </w:r>
      <w:r w:rsidR="008903E1" w:rsidRPr="008903E1">
        <w:t>Schauer, Nautilus Biologie 11, Bayerischer Schulbuchverlag, München, 1.Aufl., 2009</w:t>
      </w:r>
    </w:p>
    <w:p w14:paraId="79B8D49A" w14:textId="5142B2EF" w:rsidR="004A4B07" w:rsidRDefault="008903E1" w:rsidP="00C40764">
      <w:pPr>
        <w:pStyle w:val="AufzhlungStandard"/>
        <w:jc w:val="both"/>
      </w:pPr>
      <w:r w:rsidRPr="008903E1">
        <w:t>U. Weber, Fokus Biologie: Gymnasium Bayern: Jahrgangsstufe 11, Cornelsen-Verlag, Berlin, 1.Aufl., 2009</w:t>
      </w:r>
    </w:p>
    <w:p w14:paraId="06D74BAD" w14:textId="1B062E52" w:rsidR="00CE61D3" w:rsidRDefault="000121EF" w:rsidP="00C40764">
      <w:pPr>
        <w:pStyle w:val="AufzhlungStandard"/>
        <w:jc w:val="both"/>
      </w:pPr>
      <w:bookmarkStart w:id="21" w:name="_Ref54778722"/>
      <w:r>
        <w:t>Bildquelle</w:t>
      </w:r>
      <w:r w:rsidR="00ED240E">
        <w:t xml:space="preserve">: </w:t>
      </w:r>
      <w:r w:rsidRPr="000121EF">
        <w:t>J</w:t>
      </w:r>
      <w:r w:rsidR="00ED240E">
        <w:t>ohann Wolfgang</w:t>
      </w:r>
      <w:r w:rsidR="008B3283" w:rsidRPr="008B3283">
        <w:rPr>
          <w:color w:val="FF00FF" w:themeColor="accent4"/>
        </w:rPr>
        <w:t xml:space="preserve"> </w:t>
      </w:r>
      <w:proofErr w:type="spellStart"/>
      <w:r w:rsidR="00CE61D3">
        <w:t>Döbereiner</w:t>
      </w:r>
      <w:proofErr w:type="spellEnd"/>
      <w:r>
        <w:t>,</w:t>
      </w:r>
      <w:r w:rsidR="00CE61D3">
        <w:t xml:space="preserve"> </w:t>
      </w:r>
      <w:hyperlink r:id="rId28" w:history="1">
        <w:r w:rsidR="00CE61D3" w:rsidRPr="0093273D">
          <w:rPr>
            <w:rStyle w:val="Hyperlink"/>
          </w:rPr>
          <w:t>https://commons.wikimedia.org/wiki/File:JohannWolfgangDoebereiner.jpg?uselang=de</w:t>
        </w:r>
      </w:hyperlink>
      <w:r w:rsidR="00CE61D3">
        <w:t xml:space="preserve">; Urheber: Stich von </w:t>
      </w:r>
      <w:proofErr w:type="spellStart"/>
      <w:r w:rsidR="00CE61D3">
        <w:t>C.A.Schwerdgeburth</w:t>
      </w:r>
      <w:proofErr w:type="spellEnd"/>
      <w:r w:rsidR="00CE61D3">
        <w:t xml:space="preserve"> nach der Zeichnung von </w:t>
      </w:r>
      <w:proofErr w:type="spellStart"/>
      <w:r w:rsidR="00CE61D3">
        <w:t>F.Ries</w:t>
      </w:r>
      <w:proofErr w:type="spellEnd"/>
      <w:r w:rsidR="00CE61D3">
        <w:t xml:space="preserve">; gemeinfrei, </w:t>
      </w:r>
      <w:bookmarkEnd w:id="21"/>
      <w:r w:rsidR="008C330A">
        <w:t>19.09.2023</w:t>
      </w:r>
    </w:p>
    <w:p w14:paraId="3A5E39B8" w14:textId="64D9E233" w:rsidR="00CE61D3" w:rsidRDefault="00ED240E" w:rsidP="00C40764">
      <w:pPr>
        <w:pStyle w:val="AufzhlungStandard"/>
        <w:jc w:val="both"/>
      </w:pPr>
      <w:bookmarkStart w:id="22" w:name="_Ref54778882"/>
      <w:r>
        <w:t xml:space="preserve">Bildquelle: </w:t>
      </w:r>
      <w:proofErr w:type="spellStart"/>
      <w:r w:rsidR="00CE61D3">
        <w:t>Döbereiner</w:t>
      </w:r>
      <w:proofErr w:type="spellEnd"/>
      <w:r w:rsidR="00CE61D3">
        <w:t xml:space="preserve"> Feuerzeug: </w:t>
      </w:r>
      <w:hyperlink r:id="rId29" w:history="1">
        <w:r w:rsidR="00CE61D3" w:rsidRPr="0093273D">
          <w:rPr>
            <w:rStyle w:val="Hyperlink"/>
          </w:rPr>
          <w:t>https://commons.wikimedia.org/wiki/File:D%C3%B6bereiner_fire_gadget.png?uselang=de</w:t>
        </w:r>
      </w:hyperlink>
      <w:r w:rsidR="00CE61D3">
        <w:t>; gemeinfrei,</w:t>
      </w:r>
      <w:bookmarkEnd w:id="22"/>
      <w:r w:rsidR="004C3034">
        <w:t xml:space="preserve"> 19.09.2023</w:t>
      </w:r>
    </w:p>
    <w:p w14:paraId="1C56AB5D" w14:textId="105DB0CA" w:rsidR="00CE61D3" w:rsidRDefault="00ED240E" w:rsidP="00C40764">
      <w:pPr>
        <w:pStyle w:val="AufzhlungStandard"/>
        <w:jc w:val="both"/>
      </w:pPr>
      <w:bookmarkStart w:id="23" w:name="_Ref54779062"/>
      <w:r>
        <w:t xml:space="preserve">Bildquelle: </w:t>
      </w:r>
      <w:r w:rsidR="00CE61D3">
        <w:t xml:space="preserve">Berzelius: </w:t>
      </w:r>
      <w:hyperlink r:id="rId30" w:history="1">
        <w:r w:rsidR="00CE61D3" w:rsidRPr="0093273D">
          <w:rPr>
            <w:rStyle w:val="Hyperlink"/>
          </w:rPr>
          <w:t>https://commons.wikimedia.org/wiki/File:J_J_Berzelius.jpg?uselang=de</w:t>
        </w:r>
      </w:hyperlink>
      <w:r w:rsidR="00CE61D3">
        <w:t xml:space="preserve">; Urheber: P. H. van den </w:t>
      </w:r>
      <w:proofErr w:type="spellStart"/>
      <w:r w:rsidR="00CE61D3">
        <w:t>Heuvell</w:t>
      </w:r>
      <w:proofErr w:type="spellEnd"/>
      <w:r w:rsidR="00CE61D3">
        <w:t xml:space="preserve">, gemeinfrei, </w:t>
      </w:r>
      <w:bookmarkEnd w:id="23"/>
      <w:r w:rsidR="004C3034">
        <w:t>19.09.2023</w:t>
      </w:r>
    </w:p>
    <w:p w14:paraId="0D59C7B0" w14:textId="58880A64" w:rsidR="00F40DE9" w:rsidRDefault="00ED240E" w:rsidP="00C40764">
      <w:pPr>
        <w:pStyle w:val="AufzhlungStandard"/>
        <w:jc w:val="both"/>
      </w:pPr>
      <w:bookmarkStart w:id="24" w:name="_Ref54780028"/>
      <w:r>
        <w:t xml:space="preserve">Bildquelle: </w:t>
      </w:r>
      <w:r w:rsidR="00F40DE9">
        <w:t xml:space="preserve">Ostwald: </w:t>
      </w:r>
      <w:hyperlink r:id="rId31" w:history="1">
        <w:r w:rsidR="00F40DE9" w:rsidRPr="0093273D">
          <w:rPr>
            <w:rStyle w:val="Hyperlink"/>
          </w:rPr>
          <w:t>https://commons.wikimedia.org/wiki/File:Wilhelm_Ostwald.jpg?uselang=de</w:t>
        </w:r>
      </w:hyperlink>
      <w:r w:rsidR="00F40DE9">
        <w:t xml:space="preserve">; gemeinfrei, </w:t>
      </w:r>
      <w:bookmarkEnd w:id="24"/>
      <w:r w:rsidR="004C3034">
        <w:t>19.09.2023</w:t>
      </w:r>
    </w:p>
    <w:p w14:paraId="04CA679B" w14:textId="185D2E51" w:rsidR="008C330A" w:rsidRDefault="004C3034" w:rsidP="008C330A">
      <w:pPr>
        <w:pStyle w:val="AufzhlungStandard"/>
      </w:pPr>
      <w:r>
        <w:t xml:space="preserve">M. </w:t>
      </w:r>
      <w:proofErr w:type="spellStart"/>
      <w:r w:rsidR="008C330A">
        <w:t>Binn</w:t>
      </w:r>
      <w:r w:rsidR="002226C9">
        <w:t>e</w:t>
      </w:r>
      <w:r w:rsidR="008C330A">
        <w:t>wies</w:t>
      </w:r>
      <w:proofErr w:type="spellEnd"/>
      <w:r w:rsidR="008C330A">
        <w:t xml:space="preserve">, M. </w:t>
      </w:r>
      <w:proofErr w:type="spellStart"/>
      <w:r w:rsidR="008C330A">
        <w:t>Finze</w:t>
      </w:r>
      <w:proofErr w:type="spellEnd"/>
      <w:r w:rsidR="008C330A">
        <w:t>, M.</w:t>
      </w:r>
      <w:r>
        <w:t xml:space="preserve"> S.</w:t>
      </w:r>
      <w:r w:rsidR="008C330A">
        <w:t xml:space="preserve"> Jäckel, </w:t>
      </w:r>
      <w:r>
        <w:t>H.</w:t>
      </w:r>
      <w:r w:rsidR="008C330A">
        <w:t xml:space="preserve"> </w:t>
      </w:r>
      <w:proofErr w:type="spellStart"/>
      <w:r w:rsidR="008C330A">
        <w:t>Willner</w:t>
      </w:r>
      <w:proofErr w:type="spellEnd"/>
      <w:r w:rsidR="008C330A">
        <w:t xml:space="preserve">, &amp; </w:t>
      </w:r>
      <w:r>
        <w:t xml:space="preserve">G. </w:t>
      </w:r>
      <w:proofErr w:type="spellStart"/>
      <w:r w:rsidR="008C330A">
        <w:t>Rayner-Canham</w:t>
      </w:r>
      <w:proofErr w:type="spellEnd"/>
      <w:r w:rsidR="008C330A">
        <w:t>, Allgemeine und Anorganische Chemie</w:t>
      </w:r>
      <w:r>
        <w:t xml:space="preserve">, </w:t>
      </w:r>
      <w:r w:rsidR="008C330A">
        <w:t>Springer-Verla</w:t>
      </w:r>
      <w:r>
        <w:t>g, Deutschland, 3.Aufl., 2016</w:t>
      </w:r>
    </w:p>
    <w:p w14:paraId="57251FA3" w14:textId="7F865C26" w:rsidR="008C330A" w:rsidRDefault="004C3034" w:rsidP="008C330A">
      <w:pPr>
        <w:pStyle w:val="AufzhlungStandard"/>
      </w:pPr>
      <w:r>
        <w:t xml:space="preserve">D. </w:t>
      </w:r>
      <w:r w:rsidR="008C330A">
        <w:t>Steinborn, Grundlagen der metallorganischen Komplexkatalyse</w:t>
      </w:r>
      <w:r>
        <w:t xml:space="preserve">, </w:t>
      </w:r>
      <w:proofErr w:type="spellStart"/>
      <w:r>
        <w:t>Taubner</w:t>
      </w:r>
      <w:proofErr w:type="spellEnd"/>
      <w:r>
        <w:t xml:space="preserve"> Verlag/ GWV Fachverlag,</w:t>
      </w:r>
      <w:r w:rsidR="008C330A">
        <w:t xml:space="preserve"> Wiesbaden</w:t>
      </w:r>
      <w:r>
        <w:t>, 1. Aufl., 2007</w:t>
      </w:r>
    </w:p>
    <w:p w14:paraId="608A0D99" w14:textId="183EE2D4" w:rsidR="000B26EB" w:rsidRDefault="00F85A00" w:rsidP="000B26EB">
      <w:pPr>
        <w:pStyle w:val="AufzhlungStandard"/>
      </w:pPr>
      <w:hyperlink r:id="rId32" w:history="1">
        <w:r w:rsidR="000B26EB" w:rsidRPr="00766F0B">
          <w:rPr>
            <w:rStyle w:val="Hyperlink"/>
          </w:rPr>
          <w:t>https://www.chemieunterricht.de/dc2/katalyse/kat-sch3.htm</w:t>
        </w:r>
      </w:hyperlink>
      <w:r w:rsidR="000B26EB">
        <w:t xml:space="preserve"> 08.11.2023</w:t>
      </w:r>
    </w:p>
    <w:p w14:paraId="6B16F1BF" w14:textId="11F218DA" w:rsidR="007A4AAE" w:rsidRDefault="007A4AAE" w:rsidP="008C330A">
      <w:pPr>
        <w:pStyle w:val="AufzhlungStandard"/>
        <w:numPr>
          <w:ilvl w:val="0"/>
          <w:numId w:val="0"/>
        </w:numPr>
        <w:ind w:left="397"/>
        <w:jc w:val="both"/>
      </w:pPr>
    </w:p>
    <w:sectPr w:rsidR="007A4AAE" w:rsidSect="00CE61D3">
      <w:type w:val="continuous"/>
      <w:pgSz w:w="11906" w:h="16838"/>
      <w:pgMar w:top="851" w:right="1134" w:bottom="85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84C60" w14:textId="77777777" w:rsidR="005B1027" w:rsidRDefault="005B1027" w:rsidP="005A7DCE">
      <w:pPr>
        <w:spacing w:before="0"/>
      </w:pPr>
      <w:r>
        <w:separator/>
      </w:r>
    </w:p>
  </w:endnote>
  <w:endnote w:type="continuationSeparator" w:id="0">
    <w:p w14:paraId="7E4B74CD" w14:textId="77777777" w:rsidR="005B1027" w:rsidRDefault="005B1027"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14:paraId="7EE0C8EA" w14:textId="77777777" w:rsidR="000A1208" w:rsidRDefault="000A1208">
        <w:pPr>
          <w:pStyle w:val="Fuzeile"/>
          <w:jc w:val="center"/>
        </w:pPr>
        <w:r>
          <w:rPr>
            <w:noProof/>
            <w:lang w:eastAsia="de-DE"/>
          </w:rPr>
          <mc:AlternateContent>
            <mc:Choice Requires="wps">
              <w:drawing>
                <wp:inline distT="0" distB="0" distL="0" distR="0" wp14:anchorId="4C811099" wp14:editId="0E669986">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737871"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" fillcolor="black" stroked="f">
                  <v:fill r:id="rId1" o:title="" type="pattern"/>
                  <w10:anchorlock/>
                </v:shape>
              </w:pict>
            </mc:Fallback>
          </mc:AlternateContent>
        </w:r>
      </w:p>
      <w:p w14:paraId="1088C44D" w14:textId="00687900" w:rsidR="000A1208" w:rsidRDefault="000A1208">
        <w:pPr>
          <w:pStyle w:val="Fuzeile"/>
          <w:jc w:val="center"/>
        </w:pPr>
        <w:r>
          <w:fldChar w:fldCharType="begin"/>
        </w:r>
        <w:r>
          <w:instrText>PAGE    \* MERGEFORMAT</w:instrText>
        </w:r>
        <w:r>
          <w:fldChar w:fldCharType="separate"/>
        </w:r>
        <w:r w:rsidR="00F85A00">
          <w:rPr>
            <w:noProof/>
          </w:rPr>
          <w:t>15</w:t>
        </w:r>
        <w:r>
          <w:fldChar w:fldCharType="end"/>
        </w:r>
      </w:p>
    </w:sdtContent>
  </w:sdt>
  <w:p w14:paraId="69DF8B39" w14:textId="77777777" w:rsidR="000A1208" w:rsidRDefault="000A1208">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3D13A" w14:textId="77777777" w:rsidR="005B1027" w:rsidRDefault="005B1027" w:rsidP="005A7DCE">
      <w:pPr>
        <w:spacing w:before="0"/>
      </w:pPr>
      <w:r>
        <w:separator/>
      </w:r>
    </w:p>
  </w:footnote>
  <w:footnote w:type="continuationSeparator" w:id="0">
    <w:p w14:paraId="6D2851C2" w14:textId="77777777" w:rsidR="005B1027" w:rsidRDefault="005B1027"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89E6B4B2"/>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19476FA5"/>
    <w:multiLevelType w:val="multilevel"/>
    <w:tmpl w:val="FD80DB3C"/>
    <w:lvl w:ilvl="0">
      <w:start w:val="1"/>
      <w:numFmt w:val="bullet"/>
      <w:pStyle w:val="Liste2Aufzhlung"/>
      <w:lvlText w:val=""/>
      <w:lvlJc w:val="left"/>
      <w:pPr>
        <w:ind w:left="709" w:hanging="425"/>
      </w:pPr>
      <w:rPr>
        <w:rFonts w:ascii="Symbol" w:hAnsi="Symbol" w:hint="default"/>
        <w:b w:val="0"/>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5" w15:restartNumberingAfterBreak="0">
    <w:nsid w:val="254C1A06"/>
    <w:multiLevelType w:val="multilevel"/>
    <w:tmpl w:val="DAA2308E"/>
    <w:lvl w:ilvl="0">
      <w:start w:val="1"/>
      <w:numFmt w:val="bullet"/>
      <w:pStyle w:val="Liste1Aufzhlung"/>
      <w:lvlText w:val=""/>
      <w:lvlJc w:val="left"/>
      <w:pPr>
        <w:ind w:left="425" w:hanging="425"/>
      </w:pPr>
      <w:rPr>
        <w:rFonts w:ascii="Symbol" w:hAnsi="Symbol" w:hint="default"/>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9"/>
      <w:lvlJc w:val="left"/>
      <w:pPr>
        <w:ind w:left="425" w:hanging="425"/>
      </w:pPr>
      <w:rPr>
        <w:rFonts w:hint="default"/>
      </w:rPr>
    </w:lvl>
  </w:abstractNum>
  <w:abstractNum w:abstractNumId="6"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7" w15:restartNumberingAfterBreak="0">
    <w:nsid w:val="31276AE2"/>
    <w:multiLevelType w:val="multilevel"/>
    <w:tmpl w:val="A09853E0"/>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8"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D77D36"/>
    <w:multiLevelType w:val="multilevel"/>
    <w:tmpl w:val="35902014"/>
    <w:lvl w:ilvl="0">
      <w:start w:val="1"/>
      <w:numFmt w:val="bullet"/>
      <w:pStyle w:val="CASNr"/>
      <w:lvlText w:val=""/>
      <w:lvlJc w:val="left"/>
      <w:pPr>
        <w:ind w:left="425" w:hanging="425"/>
      </w:pPr>
      <w:rPr>
        <w:rFonts w:ascii="Symbol" w:hAnsi="Symbol" w:hint="default"/>
        <w:sz w:val="24"/>
        <w:szCs w:val="24"/>
      </w:rPr>
    </w:lvl>
    <w:lvl w:ilvl="1">
      <w:start w:val="1"/>
      <w:numFmt w:val="ordin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0" w15:restartNumberingAfterBreak="0">
    <w:nsid w:val="4ACC31A8"/>
    <w:multiLevelType w:val="hybridMultilevel"/>
    <w:tmpl w:val="B61025EA"/>
    <w:lvl w:ilvl="0" w:tplc="74C2B790">
      <w:start w:val="1"/>
      <w:numFmt w:val="bullet"/>
      <w:lvlText w:val=""/>
      <w:lvlJc w:val="left"/>
      <w:pPr>
        <w:ind w:left="140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ind w:left="2121" w:hanging="360"/>
      </w:pPr>
      <w:rPr>
        <w:rFonts w:ascii="Courier New" w:hAnsi="Courier New" w:cs="Courier New" w:hint="default"/>
      </w:rPr>
    </w:lvl>
    <w:lvl w:ilvl="2" w:tplc="04070005" w:tentative="1">
      <w:start w:val="1"/>
      <w:numFmt w:val="bullet"/>
      <w:lvlText w:val=""/>
      <w:lvlJc w:val="left"/>
      <w:pPr>
        <w:ind w:left="2841" w:hanging="360"/>
      </w:pPr>
      <w:rPr>
        <w:rFonts w:ascii="Wingdings" w:hAnsi="Wingdings" w:hint="default"/>
      </w:rPr>
    </w:lvl>
    <w:lvl w:ilvl="3" w:tplc="04070001" w:tentative="1">
      <w:start w:val="1"/>
      <w:numFmt w:val="bullet"/>
      <w:lvlText w:val=""/>
      <w:lvlJc w:val="left"/>
      <w:pPr>
        <w:ind w:left="3561" w:hanging="360"/>
      </w:pPr>
      <w:rPr>
        <w:rFonts w:ascii="Symbol" w:hAnsi="Symbol" w:hint="default"/>
      </w:rPr>
    </w:lvl>
    <w:lvl w:ilvl="4" w:tplc="04070003" w:tentative="1">
      <w:start w:val="1"/>
      <w:numFmt w:val="bullet"/>
      <w:lvlText w:val="o"/>
      <w:lvlJc w:val="left"/>
      <w:pPr>
        <w:ind w:left="4281" w:hanging="360"/>
      </w:pPr>
      <w:rPr>
        <w:rFonts w:ascii="Courier New" w:hAnsi="Courier New" w:cs="Courier New" w:hint="default"/>
      </w:rPr>
    </w:lvl>
    <w:lvl w:ilvl="5" w:tplc="04070005" w:tentative="1">
      <w:start w:val="1"/>
      <w:numFmt w:val="bullet"/>
      <w:lvlText w:val=""/>
      <w:lvlJc w:val="left"/>
      <w:pPr>
        <w:ind w:left="5001" w:hanging="360"/>
      </w:pPr>
      <w:rPr>
        <w:rFonts w:ascii="Wingdings" w:hAnsi="Wingdings" w:hint="default"/>
      </w:rPr>
    </w:lvl>
    <w:lvl w:ilvl="6" w:tplc="04070001" w:tentative="1">
      <w:start w:val="1"/>
      <w:numFmt w:val="bullet"/>
      <w:lvlText w:val=""/>
      <w:lvlJc w:val="left"/>
      <w:pPr>
        <w:ind w:left="5721" w:hanging="360"/>
      </w:pPr>
      <w:rPr>
        <w:rFonts w:ascii="Symbol" w:hAnsi="Symbol" w:hint="default"/>
      </w:rPr>
    </w:lvl>
    <w:lvl w:ilvl="7" w:tplc="04070003" w:tentative="1">
      <w:start w:val="1"/>
      <w:numFmt w:val="bullet"/>
      <w:lvlText w:val="o"/>
      <w:lvlJc w:val="left"/>
      <w:pPr>
        <w:ind w:left="6441" w:hanging="360"/>
      </w:pPr>
      <w:rPr>
        <w:rFonts w:ascii="Courier New" w:hAnsi="Courier New" w:cs="Courier New" w:hint="default"/>
      </w:rPr>
    </w:lvl>
    <w:lvl w:ilvl="8" w:tplc="04070005" w:tentative="1">
      <w:start w:val="1"/>
      <w:numFmt w:val="bullet"/>
      <w:lvlText w:val=""/>
      <w:lvlJc w:val="left"/>
      <w:pPr>
        <w:ind w:left="7161" w:hanging="360"/>
      </w:pPr>
      <w:rPr>
        <w:rFonts w:ascii="Wingdings" w:hAnsi="Wingdings" w:hint="default"/>
      </w:rPr>
    </w:lvl>
  </w:abstractNum>
  <w:abstractNum w:abstractNumId="11"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3" w15:restartNumberingAfterBreak="0">
    <w:nsid w:val="6B6839DF"/>
    <w:multiLevelType w:val="hybridMultilevel"/>
    <w:tmpl w:val="A23C8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4"/>
  </w:num>
  <w:num w:numId="2">
    <w:abstractNumId w:val="2"/>
  </w:num>
  <w:num w:numId="3">
    <w:abstractNumId w:val="1"/>
  </w:num>
  <w:num w:numId="4">
    <w:abstractNumId w:val="3"/>
  </w:num>
  <w:num w:numId="5">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11"/>
  </w:num>
  <w:num w:numId="7">
    <w:abstractNumId w:val="6"/>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9"/>
  </w:num>
  <w:num w:numId="13">
    <w:abstractNumId w:val="8"/>
  </w:num>
  <w:num w:numId="14">
    <w:abstractNumId w:val="0"/>
  </w:num>
  <w:num w:numId="15">
    <w:abstractNumId w:val="1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4"/>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121EF"/>
    <w:rsid w:val="00044C51"/>
    <w:rsid w:val="00045EDE"/>
    <w:rsid w:val="000712A2"/>
    <w:rsid w:val="00074491"/>
    <w:rsid w:val="000A1208"/>
    <w:rsid w:val="000B26EB"/>
    <w:rsid w:val="000D4A1C"/>
    <w:rsid w:val="000E61E0"/>
    <w:rsid w:val="00131FD2"/>
    <w:rsid w:val="001B0E73"/>
    <w:rsid w:val="001B61BE"/>
    <w:rsid w:val="001C1BC7"/>
    <w:rsid w:val="001D6942"/>
    <w:rsid w:val="002226C9"/>
    <w:rsid w:val="00241784"/>
    <w:rsid w:val="00246792"/>
    <w:rsid w:val="00286533"/>
    <w:rsid w:val="0033225B"/>
    <w:rsid w:val="0033663A"/>
    <w:rsid w:val="0036111E"/>
    <w:rsid w:val="004A4B07"/>
    <w:rsid w:val="004C3034"/>
    <w:rsid w:val="004E3BA1"/>
    <w:rsid w:val="0052452B"/>
    <w:rsid w:val="005633FE"/>
    <w:rsid w:val="005A7DCE"/>
    <w:rsid w:val="005B1027"/>
    <w:rsid w:val="00600D54"/>
    <w:rsid w:val="006B5108"/>
    <w:rsid w:val="006C57B7"/>
    <w:rsid w:val="00704390"/>
    <w:rsid w:val="007161D1"/>
    <w:rsid w:val="00750FC6"/>
    <w:rsid w:val="007514D3"/>
    <w:rsid w:val="00783295"/>
    <w:rsid w:val="007A4AAE"/>
    <w:rsid w:val="007B2C80"/>
    <w:rsid w:val="007C3938"/>
    <w:rsid w:val="007E6112"/>
    <w:rsid w:val="007F18E1"/>
    <w:rsid w:val="008117E4"/>
    <w:rsid w:val="00825BFE"/>
    <w:rsid w:val="00850560"/>
    <w:rsid w:val="00883728"/>
    <w:rsid w:val="008903E1"/>
    <w:rsid w:val="00893DFB"/>
    <w:rsid w:val="008A524D"/>
    <w:rsid w:val="008A779C"/>
    <w:rsid w:val="008B3283"/>
    <w:rsid w:val="008C330A"/>
    <w:rsid w:val="00931B30"/>
    <w:rsid w:val="009710A6"/>
    <w:rsid w:val="00974001"/>
    <w:rsid w:val="009B4835"/>
    <w:rsid w:val="009D49EC"/>
    <w:rsid w:val="00A21130"/>
    <w:rsid w:val="00A5383F"/>
    <w:rsid w:val="00AA5D66"/>
    <w:rsid w:val="00AB7E4B"/>
    <w:rsid w:val="00AE53F0"/>
    <w:rsid w:val="00AF7672"/>
    <w:rsid w:val="00B10DD4"/>
    <w:rsid w:val="00B85024"/>
    <w:rsid w:val="00BD3DBA"/>
    <w:rsid w:val="00BF11CD"/>
    <w:rsid w:val="00C40764"/>
    <w:rsid w:val="00C511E6"/>
    <w:rsid w:val="00C60004"/>
    <w:rsid w:val="00CA413D"/>
    <w:rsid w:val="00CC530F"/>
    <w:rsid w:val="00CD07AE"/>
    <w:rsid w:val="00CE4128"/>
    <w:rsid w:val="00CE61D3"/>
    <w:rsid w:val="00D22F46"/>
    <w:rsid w:val="00D60101"/>
    <w:rsid w:val="00D72845"/>
    <w:rsid w:val="00D744A1"/>
    <w:rsid w:val="00D97908"/>
    <w:rsid w:val="00E14DE1"/>
    <w:rsid w:val="00E20AF3"/>
    <w:rsid w:val="00E50811"/>
    <w:rsid w:val="00E54A99"/>
    <w:rsid w:val="00E7120A"/>
    <w:rsid w:val="00E8473B"/>
    <w:rsid w:val="00ED240E"/>
    <w:rsid w:val="00F12BCB"/>
    <w:rsid w:val="00F17A3B"/>
    <w:rsid w:val="00F40DE9"/>
    <w:rsid w:val="00F531F9"/>
    <w:rsid w:val="00F76D18"/>
    <w:rsid w:val="00F85A00"/>
    <w:rsid w:val="00FA5EE9"/>
    <w:rsid w:val="00FD7888"/>
    <w:rsid w:val="00FE49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0C572"/>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2"/>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8473B"/>
    <w:pPr>
      <w:spacing w:after="120"/>
    </w:pPr>
    <w:rPr>
      <w:rFonts w:ascii="Times New Roman" w:hAnsi="Times New Roman" w:cs="Times New Roman"/>
      <w:szCs w:val="24"/>
    </w:rPr>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E50811"/>
    <w:pPr>
      <w:numPr>
        <w:numId w:val="21"/>
      </w:numPr>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E3E3E3"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C40764"/>
    <w:pPr>
      <w:numPr>
        <w:numId w:val="14"/>
      </w:numPr>
      <w:ind w:left="397" w:hanging="397"/>
      <w:contextualSpacing w:val="0"/>
      <w:jc w:val="left"/>
    </w:pPr>
  </w:style>
  <w:style w:type="character" w:customStyle="1" w:styleId="Liste1AufzhlungZchn">
    <w:name w:val="Liste 1 Aufzählung Zchn"/>
    <w:basedOn w:val="ListenabsatzZchn"/>
    <w:link w:val="Liste1Aufzhlung"/>
    <w:rsid w:val="00E50811"/>
  </w:style>
  <w:style w:type="character" w:customStyle="1" w:styleId="AufzhlungStandardZchn">
    <w:name w:val="Aufzählung Standard Zchn"/>
    <w:basedOn w:val="ListenabsatzZchn"/>
    <w:link w:val="AufzhlungStandard"/>
    <w:rsid w:val="00C40764"/>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C8C8C8"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C8C8C8"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nabsatz"/>
    <w:qFormat/>
    <w:rsid w:val="001B0E73"/>
    <w:pPr>
      <w:numPr>
        <w:numId w:val="19"/>
      </w:numPr>
      <w:contextualSpacing w:val="0"/>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9B4835"/>
    <w:pPr>
      <w:numPr>
        <w:numId w:val="0"/>
      </w:numPr>
      <w:spacing w:line="259" w:lineRule="auto"/>
      <w:outlineLvl w:val="9"/>
    </w:pPr>
    <w:rPr>
      <w:b w:val="0"/>
      <w:color w:val="0000FF" w:themeColor="accent1"/>
      <w:lang w:eastAsia="de-DE"/>
    </w:rPr>
  </w:style>
  <w:style w:type="paragraph" w:styleId="Verzeichnis1">
    <w:name w:val="toc 1"/>
    <w:basedOn w:val="Standard"/>
    <w:next w:val="Standard"/>
    <w:autoRedefine/>
    <w:uiPriority w:val="39"/>
    <w:unhideWhenUsed/>
    <w:rsid w:val="009B4835"/>
    <w:pPr>
      <w:spacing w:after="100"/>
    </w:pPr>
  </w:style>
  <w:style w:type="paragraph" w:styleId="Verzeichnis2">
    <w:name w:val="toc 2"/>
    <w:basedOn w:val="Standard"/>
    <w:next w:val="Standard"/>
    <w:autoRedefine/>
    <w:uiPriority w:val="39"/>
    <w:unhideWhenUsed/>
    <w:rsid w:val="009B4835"/>
    <w:pPr>
      <w:spacing w:after="100"/>
      <w:ind w:left="240"/>
    </w:pPr>
  </w:style>
  <w:style w:type="paragraph" w:styleId="Verzeichnis3">
    <w:name w:val="toc 3"/>
    <w:basedOn w:val="Standard"/>
    <w:next w:val="Standard"/>
    <w:autoRedefine/>
    <w:uiPriority w:val="39"/>
    <w:unhideWhenUsed/>
    <w:rsid w:val="009B4835"/>
    <w:pPr>
      <w:spacing w:after="100"/>
      <w:ind w:left="480"/>
    </w:pPr>
  </w:style>
  <w:style w:type="paragraph" w:customStyle="1" w:styleId="Formeln">
    <w:name w:val="Formeln"/>
    <w:basedOn w:val="Standard"/>
    <w:qFormat/>
    <w:rsid w:val="00B10DD4"/>
    <w:pPr>
      <w:spacing w:after="120"/>
      <w:jc w:val="center"/>
    </w:pPr>
    <w:rPr>
      <w:sz w:val="28"/>
    </w:rPr>
  </w:style>
  <w:style w:type="paragraph" w:customStyle="1" w:styleId="CASNr">
    <w:name w:val="CASNr"/>
    <w:basedOn w:val="Listenabsatz"/>
    <w:link w:val="CASNrZchn"/>
    <w:qFormat/>
    <w:rsid w:val="001B0E73"/>
    <w:pPr>
      <w:numPr>
        <w:numId w:val="12"/>
      </w:numPr>
    </w:pPr>
    <w:rPr>
      <w:sz w:val="20"/>
      <w:szCs w:val="18"/>
    </w:rPr>
  </w:style>
  <w:style w:type="character" w:customStyle="1" w:styleId="CASNrZchn">
    <w:name w:val="CASNr Zchn"/>
    <w:basedOn w:val="ListenabsatzZchn"/>
    <w:link w:val="CASNr"/>
    <w:rsid w:val="001B0E73"/>
    <w:rPr>
      <w:sz w:val="20"/>
      <w:szCs w:val="18"/>
    </w:rPr>
  </w:style>
  <w:style w:type="character" w:styleId="Hervorhebung">
    <w:name w:val="Emphasis"/>
    <w:basedOn w:val="Absatz-Standardschriftart"/>
    <w:uiPriority w:val="20"/>
    <w:qFormat/>
    <w:rsid w:val="008903E1"/>
    <w:rPr>
      <w:i/>
      <w:iCs/>
    </w:rPr>
  </w:style>
  <w:style w:type="character" w:styleId="Fett">
    <w:name w:val="Strong"/>
    <w:basedOn w:val="Absatz-Standardschriftart"/>
    <w:uiPriority w:val="22"/>
    <w:qFormat/>
    <w:rsid w:val="008903E1"/>
    <w:rPr>
      <w:b/>
      <w:bCs/>
    </w:rPr>
  </w:style>
  <w:style w:type="table" w:styleId="Tabellenraster">
    <w:name w:val="Table Grid"/>
    <w:basedOn w:val="NormaleTabelle"/>
    <w:uiPriority w:val="39"/>
    <w:rsid w:val="004E3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4E3BA1"/>
    <w:rPr>
      <w:color w:val="808080"/>
    </w:rPr>
  </w:style>
  <w:style w:type="character" w:customStyle="1" w:styleId="NichtaufgelsteErwhnung2">
    <w:name w:val="Nicht aufgelöste Erwähnung2"/>
    <w:basedOn w:val="Absatz-Standardschriftart"/>
    <w:uiPriority w:val="99"/>
    <w:semiHidden/>
    <w:unhideWhenUsed/>
    <w:rsid w:val="00CE61D3"/>
    <w:rPr>
      <w:color w:val="605E5C"/>
      <w:shd w:val="clear" w:color="auto" w:fill="E1DFDD"/>
    </w:rPr>
  </w:style>
  <w:style w:type="character" w:customStyle="1" w:styleId="NichtaufgelsteErwhnung3">
    <w:name w:val="Nicht aufgelöste Erwähnung3"/>
    <w:basedOn w:val="Absatz-Standardschriftart"/>
    <w:uiPriority w:val="99"/>
    <w:semiHidden/>
    <w:unhideWhenUsed/>
    <w:rsid w:val="004C3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80757">
      <w:bodyDiv w:val="1"/>
      <w:marLeft w:val="0"/>
      <w:marRight w:val="0"/>
      <w:marTop w:val="0"/>
      <w:marBottom w:val="0"/>
      <w:divBdr>
        <w:top w:val="none" w:sz="0" w:space="0" w:color="auto"/>
        <w:left w:val="none" w:sz="0" w:space="0" w:color="auto"/>
        <w:bottom w:val="none" w:sz="0" w:space="0" w:color="auto"/>
        <w:right w:val="none" w:sz="0" w:space="0" w:color="auto"/>
      </w:divBdr>
    </w:div>
    <w:div w:id="276789709">
      <w:bodyDiv w:val="1"/>
      <w:marLeft w:val="0"/>
      <w:marRight w:val="0"/>
      <w:marTop w:val="0"/>
      <w:marBottom w:val="0"/>
      <w:divBdr>
        <w:top w:val="none" w:sz="0" w:space="0" w:color="auto"/>
        <w:left w:val="none" w:sz="0" w:space="0" w:color="auto"/>
        <w:bottom w:val="none" w:sz="0" w:space="0" w:color="auto"/>
        <w:right w:val="none" w:sz="0" w:space="0" w:color="auto"/>
      </w:divBdr>
    </w:div>
    <w:div w:id="105874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commons.wikimedia.org/wiki/File:D%C3%B6bereiner_fire_gadget.png?uselan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chemieunterricht.de/dc2/katalyse/kat-sch3.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commons.wikimedia.org/wiki/File:JohannWolfgangDoebereiner.jpg?uselang=de"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commons.wikimedia.org/wiki/File:Wilhelm_Ostwald.jpg?uselang=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commons.wikimedia.org/wiki/File:J_J_Berzelius.jpg?uselang=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Bin16</b:Tag>
    <b:SourceType>BookSection</b:SourceType>
    <b:Guid>{222F5A03-9D72-448B-83EA-08F093B9A0A2}</b:Guid>
    <b:Title>Allgemeine und Anorganische Chemie</b:Title>
    <b:Year>2016</b:Year>
    <b:Author>
      <b:Author>
        <b:NameList>
          <b:Person>
            <b:Last>Binnwies</b:Last>
            <b:First>Michael</b:First>
          </b:Person>
          <b:Person>
            <b:Last>Finze</b:Last>
            <b:First>Maik</b:First>
          </b:Person>
          <b:Person>
            <b:Last>Jäckel</b:Last>
            <b:First>Manfred,</b:First>
            <b:Middle>Schmidt, Peer</b:Middle>
          </b:Person>
          <b:Person>
            <b:Last>Willner</b:Last>
            <b:First>Helge</b:First>
          </b:Person>
          <b:Person>
            <b:Last>Rayner-Canham</b:Last>
            <b:First>Geoff</b:First>
          </b:Person>
        </b:NameList>
      </b:Author>
    </b:Author>
    <b:Pages>368-370</b:Pages>
    <b:City>Deutschland</b:City>
    <b:Publisher>Springer-Verlag GmbH</b:Publisher>
    <b:CountryRegion>Deutschland</b:CountryRegion>
    <b:Edition>3.</b:Edition>
    <b:RefOrder>1</b:RefOrder>
  </b:Source>
  <b:Source>
    <b:Tag>Ste07</b:Tag>
    <b:SourceType>BookSection</b:SourceType>
    <b:Guid>{993E559C-2465-4533-B5B2-F9A84E99A3E4}</b:Guid>
    <b:Author>
      <b:Author>
        <b:NameList>
          <b:Person>
            <b:Last>Steinborn</b:Last>
            <b:First>Dirk</b:First>
          </b:Person>
        </b:NameList>
      </b:Author>
    </b:Author>
    <b:Title>Grundlagen der metallorganischen Komplexkatalyse</b:Title>
    <b:Year>2007</b:Year>
    <b:Pages>45-46</b:Pages>
    <b:City>Wiesbaden</b:City>
    <b:Publisher>B.G. Teubner Verlag / GWV Fachverlage GmbH</b:Publisher>
    <b:Edition>1</b:Edition>
    <b:RefOrder>2</b:RefOrder>
  </b:Source>
  <b:Source>
    <b:Tag>Che22</b:Tag>
    <b:SourceType>InternetSite</b:SourceType>
    <b:Guid>{2B065899-7338-4E2F-90F9-5A672548F343}</b:Guid>
    <b:Title>Chemie.de</b:Title>
    <b:URL>https://www.chemie.de/lexikon/Levodopa.html#:~:text=Levodopa%2C%20auch%20L%2DDOPA%2C,Roche%20auf%20den%20Markt%20gebracht.</b:URL>
    <b:YearAccessed>2022</b:YearAccessed>
    <b:MonthAccessed>November</b:MonthAccessed>
    <b:DayAccessed>2</b:DayAccessed>
    <b:RefOrder>3</b:RefOrder>
  </b:Source>
</b:Sources>
</file>

<file path=customXml/itemProps1.xml><?xml version="1.0" encoding="utf-8"?>
<ds:datastoreItem xmlns:ds="http://schemas.openxmlformats.org/officeDocument/2006/customXml" ds:itemID="{821A8FE1-CA6F-42FB-B64C-E39528219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3637</Words>
  <Characters>22914</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6</cp:revision>
  <cp:lastPrinted>2023-11-21T13:53:00Z</cp:lastPrinted>
  <dcterms:created xsi:type="dcterms:W3CDTF">2023-10-16T13:02:00Z</dcterms:created>
  <dcterms:modified xsi:type="dcterms:W3CDTF">2023-11-21T13:53:00Z</dcterms:modified>
</cp:coreProperties>
</file>