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42FE90C2" wp14:editId="3B0435CC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73B" w:rsidRDefault="00E8473B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E8473B" w:rsidRDefault="00E8473B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2B90AC5A" wp14:editId="6830B8F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F0" w:rsidRPr="00CB2563" w:rsidRDefault="00E8473B" w:rsidP="00CB2563">
      <w:pPr>
        <w:pStyle w:val="Seminar"/>
      </w:pPr>
      <w:r w:rsidRPr="00CB2563">
        <w:t>Seminar</w:t>
      </w:r>
      <w:r w:rsidR="00FD7888" w:rsidRPr="00CB2563">
        <w:t xml:space="preserve"> „Übungen im Vortragen – </w:t>
      </w:r>
      <w:r w:rsidR="00CB2563" w:rsidRPr="00CB2563">
        <w:t>OC</w:t>
      </w:r>
      <w:r w:rsidR="00FD7888" w:rsidRPr="00CB2563">
        <w:t>“</w:t>
      </w:r>
    </w:p>
    <w:p w:rsidR="00E8473B" w:rsidRDefault="00CB2563" w:rsidP="005633FE">
      <w:pPr>
        <w:pStyle w:val="Titel"/>
      </w:pPr>
      <w:r>
        <w:t>Herbizide</w:t>
      </w:r>
    </w:p>
    <w:p w:rsidR="00E8473B" w:rsidRDefault="00CB2563" w:rsidP="00E8473B">
      <w:pPr>
        <w:pStyle w:val="Autor"/>
      </w:pPr>
      <w:r>
        <w:t>Claudia Pöhner, SS 01; Katja Schütz, SS 11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46BC" w:rsidRPr="006C46BC" w:rsidRDefault="006C46BC" w:rsidP="006C46BC">
          <w:pPr>
            <w:pStyle w:val="Inhaltsverzeichnisberschrift"/>
          </w:pPr>
          <w:r>
            <w:t>Gliederung</w:t>
          </w:r>
        </w:p>
        <w:p w:rsidR="0063558B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63558B" w:rsidRPr="00FF73BB">
            <w:rPr>
              <w:rStyle w:val="Hyperlink"/>
              <w:noProof/>
            </w:rPr>
            <w:fldChar w:fldCharType="begin"/>
          </w:r>
          <w:r w:rsidR="0063558B" w:rsidRPr="00FF73BB">
            <w:rPr>
              <w:rStyle w:val="Hyperlink"/>
              <w:noProof/>
            </w:rPr>
            <w:instrText xml:space="preserve"> </w:instrText>
          </w:r>
          <w:r w:rsidR="0063558B">
            <w:rPr>
              <w:noProof/>
            </w:rPr>
            <w:instrText>HYPERLINK \l "_Toc43385297"</w:instrText>
          </w:r>
          <w:r w:rsidR="0063558B" w:rsidRPr="00FF73BB">
            <w:rPr>
              <w:rStyle w:val="Hyperlink"/>
              <w:noProof/>
            </w:rPr>
            <w:instrText xml:space="preserve"> </w:instrText>
          </w:r>
          <w:r w:rsidR="0063558B" w:rsidRPr="00FF73BB">
            <w:rPr>
              <w:rStyle w:val="Hyperlink"/>
              <w:noProof/>
            </w:rPr>
          </w:r>
          <w:r w:rsidR="0063558B" w:rsidRPr="00FF73BB">
            <w:rPr>
              <w:rStyle w:val="Hyperlink"/>
              <w:noProof/>
            </w:rPr>
            <w:fldChar w:fldCharType="separate"/>
          </w:r>
          <w:r w:rsidR="0063558B" w:rsidRPr="00FF73BB">
            <w:rPr>
              <w:rStyle w:val="Hyperlink"/>
              <w:noProof/>
            </w:rPr>
            <w:t>1</w:t>
          </w:r>
          <w:r w:rsidR="0063558B">
            <w:rPr>
              <w:rFonts w:asciiTheme="minorHAnsi" w:eastAsiaTheme="minorEastAsia" w:hAnsiTheme="minorHAnsi"/>
              <w:noProof/>
              <w:sz w:val="22"/>
              <w:lang w:eastAsia="de-DE"/>
            </w:rPr>
            <w:tab/>
          </w:r>
          <w:r w:rsidR="0063558B" w:rsidRPr="00FF73BB">
            <w:rPr>
              <w:rStyle w:val="Hyperlink"/>
              <w:noProof/>
            </w:rPr>
            <w:t>Einteilungsmöglichkeiten</w:t>
          </w:r>
          <w:r w:rsidR="0063558B">
            <w:rPr>
              <w:noProof/>
              <w:webHidden/>
            </w:rPr>
            <w:tab/>
          </w:r>
          <w:r w:rsidR="0063558B">
            <w:rPr>
              <w:noProof/>
              <w:webHidden/>
            </w:rPr>
            <w:fldChar w:fldCharType="begin"/>
          </w:r>
          <w:r w:rsidR="0063558B">
            <w:rPr>
              <w:noProof/>
              <w:webHidden/>
            </w:rPr>
            <w:instrText xml:space="preserve"> PAGEREF _Toc43385297 \h </w:instrText>
          </w:r>
          <w:r w:rsidR="0063558B">
            <w:rPr>
              <w:noProof/>
              <w:webHidden/>
            </w:rPr>
          </w:r>
          <w:r w:rsidR="0063558B">
            <w:rPr>
              <w:noProof/>
              <w:webHidden/>
            </w:rPr>
            <w:fldChar w:fldCharType="separate"/>
          </w:r>
          <w:r w:rsidR="0063558B">
            <w:rPr>
              <w:noProof/>
              <w:webHidden/>
            </w:rPr>
            <w:t>1</w:t>
          </w:r>
          <w:r w:rsidR="0063558B">
            <w:rPr>
              <w:noProof/>
              <w:webHidden/>
            </w:rPr>
            <w:fldChar w:fldCharType="end"/>
          </w:r>
          <w:r w:rsidR="0063558B" w:rsidRPr="00FF73BB">
            <w:rPr>
              <w:rStyle w:val="Hyperlink"/>
              <w:noProof/>
            </w:rPr>
            <w:fldChar w:fldCharType="end"/>
          </w:r>
        </w:p>
        <w:p w:rsidR="0063558B" w:rsidRDefault="0063558B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3385298" w:history="1">
            <w:r w:rsidRPr="00FF73BB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F73BB">
              <w:rPr>
                <w:rStyle w:val="Hyperlink"/>
                <w:noProof/>
              </w:rPr>
              <w:t>Nach Wirksamkeit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_Toc43385298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558B" w:rsidRDefault="0063558B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3385299" w:history="1">
            <w:r w:rsidRPr="00FF73BB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F73BB">
              <w:rPr>
                <w:rStyle w:val="Hyperlink"/>
                <w:noProof/>
              </w:rPr>
              <w:t>Nach Wirkungsweise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_Toc43385299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558B" w:rsidRDefault="0063558B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3385300" w:history="1">
            <w:r w:rsidRPr="00FF73BB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F73BB">
              <w:rPr>
                <w:rStyle w:val="Hyperlink"/>
                <w:noProof/>
              </w:rPr>
              <w:t>Wirkungsweise von Glyphosat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_Toc43385300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558B" w:rsidRDefault="0063558B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3385301" w:history="1">
            <w:r w:rsidRPr="00FF73BB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F73BB">
              <w:rPr>
                <w:rStyle w:val="Hyperlink"/>
                <w:noProof/>
              </w:rPr>
              <w:t>Wirkungsweise von Paraquatdichlorid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_Toc43385301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558B" w:rsidRDefault="0063558B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3385302" w:history="1">
            <w:r w:rsidRPr="00FF73BB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F73BB">
              <w:rPr>
                <w:rStyle w:val="Hyperlink"/>
                <w:noProof/>
              </w:rPr>
              <w:t>Wirkungsweise von Atrazin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_Toc43385302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6BC" w:rsidRDefault="006C46BC">
          <w:r>
            <w:rPr>
              <w:b/>
              <w:bCs/>
            </w:rPr>
            <w:fldChar w:fldCharType="end"/>
          </w:r>
        </w:p>
      </w:sdtContent>
    </w:sdt>
    <w:p w:rsidR="00FD7888" w:rsidRDefault="00FD7888" w:rsidP="00FD7888">
      <w:pPr>
        <w:pStyle w:val="EinstiegAbschluss"/>
      </w:pPr>
      <w:bookmarkStart w:id="1" w:name="_Überschrift_1"/>
      <w:bookmarkEnd w:id="1"/>
      <w:r w:rsidRPr="00CB2563">
        <w:rPr>
          <w:rStyle w:val="Fett"/>
        </w:rPr>
        <w:t>Einstieg</w:t>
      </w:r>
      <w:r>
        <w:t>:</w:t>
      </w:r>
      <w:r w:rsidR="00CB2563">
        <w:t xml:space="preserve"> Bei den Herbiziden handelt es sich um Pflanzen-Vernichtungsmittel, die „unerwünschten“ Pflanzen-Wuchs (Schad-Pflanzen) beseitigen. Sie bestehen aus den unterschiedlichsten Wirkstoff-Klassen, wobei 95% aller angewandten Herbizide organische Verbindungen sind. Anorganische Verbindungen, wie z. B. Kupfer(II)-sulfat (CuSO</w:t>
      </w:r>
      <w:r w:rsidR="00CB2563">
        <w:rPr>
          <w:vertAlign w:val="subscript"/>
        </w:rPr>
        <w:t>4</w:t>
      </w:r>
      <w:r w:rsidR="00CB2563">
        <w:t>*5H</w:t>
      </w:r>
      <w:r w:rsidR="00CB2563">
        <w:rPr>
          <w:vertAlign w:val="subscript"/>
        </w:rPr>
        <w:t>2</w:t>
      </w:r>
      <w:r w:rsidR="00CB2563">
        <w:t>O) oder Natriumchlorat (NaClO</w:t>
      </w:r>
      <w:r w:rsidR="00CB2563">
        <w:rPr>
          <w:vertAlign w:val="subscript"/>
        </w:rPr>
        <w:t>3</w:t>
      </w:r>
      <w:r w:rsidR="00CB2563">
        <w:t>) standen zwar am Anfang der chemischen Unkraut-Bekämpfung, wurden jedoch nach und nach durch organische Verbindungen ersetzt.</w:t>
      </w:r>
    </w:p>
    <w:p w:rsidR="00CB2563" w:rsidRPr="00CB2563" w:rsidRDefault="00CB2563" w:rsidP="00CB2563">
      <w:pPr>
        <w:pStyle w:val="EinstiegAbschluss"/>
        <w:rPr>
          <w:rStyle w:val="Fett"/>
          <w:b w:val="0"/>
          <w:bCs w:val="0"/>
        </w:rPr>
      </w:pPr>
      <w:r w:rsidRPr="00CB2563">
        <w:rPr>
          <w:rStyle w:val="Fett"/>
          <w:b w:val="0"/>
          <w:bCs w:val="0"/>
        </w:rPr>
        <w:t>Herbizide werden verwendet, um</w:t>
      </w:r>
    </w:p>
    <w:p w:rsidR="00CB2563" w:rsidRDefault="00A17ECA" w:rsidP="00CB2563">
      <w:pPr>
        <w:pStyle w:val="EinstiegAbschluss"/>
        <w:numPr>
          <w:ilvl w:val="2"/>
          <w:numId w:val="5"/>
        </w:numPr>
      </w:pPr>
      <w:r>
        <w:t>d</w:t>
      </w:r>
      <w:r w:rsidR="00CB2563">
        <w:t>en Ertragsverlust in der Landwirtschaft durch Unkraut-Konkurrenz einzudämmen,</w:t>
      </w:r>
    </w:p>
    <w:p w:rsidR="00CB2563" w:rsidRDefault="00CB2563" w:rsidP="00CB2563">
      <w:pPr>
        <w:pStyle w:val="EinstiegAbschluss"/>
        <w:numPr>
          <w:ilvl w:val="2"/>
          <w:numId w:val="5"/>
        </w:numPr>
      </w:pPr>
      <w:r>
        <w:t>Geld zu sparen (chemische Unkraut-Vernichtung schneller als manuelle Entfernung),</w:t>
      </w:r>
    </w:p>
    <w:p w:rsidR="00CB2563" w:rsidRDefault="00A17ECA" w:rsidP="00CB2563">
      <w:pPr>
        <w:pStyle w:val="EinstiegAbschluss"/>
        <w:numPr>
          <w:ilvl w:val="2"/>
          <w:numId w:val="5"/>
        </w:numPr>
      </w:pPr>
      <w:r>
        <w:t>e</w:t>
      </w:r>
      <w:r w:rsidR="00CB2563">
        <w:t>inen gepflegten Rasen vorzeigen zu können.</w:t>
      </w:r>
    </w:p>
    <w:p w:rsidR="00CB2563" w:rsidRPr="00CB2563" w:rsidRDefault="00CB2563" w:rsidP="00CB2563">
      <w:pPr>
        <w:pStyle w:val="EinstiegAbschluss"/>
      </w:pPr>
      <w:r>
        <w:t>Um sich in dem „Durcheinander“ der Herbizide zurechtzufinden, werden diese sinnvoll unterteilt.</w:t>
      </w:r>
    </w:p>
    <w:p w:rsidR="00E8473B" w:rsidRDefault="000D09F5" w:rsidP="008A524D">
      <w:pPr>
        <w:pStyle w:val="berschrift1"/>
      </w:pPr>
      <w:bookmarkStart w:id="2" w:name="_Ref42587160"/>
      <w:bookmarkStart w:id="3" w:name="_Toc43385297"/>
      <w:r>
        <w:t>Einteilungsmöglichkeiten</w:t>
      </w:r>
      <w:bookmarkEnd w:id="2"/>
      <w:bookmarkEnd w:id="3"/>
    </w:p>
    <w:p w:rsidR="000D09F5" w:rsidRDefault="00A17ECA" w:rsidP="000D09F5">
      <w:pPr>
        <w:pStyle w:val="berschrift2"/>
      </w:pPr>
      <w:bookmarkStart w:id="4" w:name="_Toc43385298"/>
      <w:r>
        <w:t>N</w:t>
      </w:r>
      <w:r w:rsidR="000D09F5">
        <w:t>ach Wirksamkeit</w:t>
      </w:r>
      <w:bookmarkEnd w:id="4"/>
    </w:p>
    <w:p w:rsidR="000D09F5" w:rsidRDefault="000D09F5" w:rsidP="000D09F5">
      <w:r>
        <w:t xml:space="preserve">Herbizide kann man in </w:t>
      </w:r>
      <w:r w:rsidRPr="000D09F5">
        <w:rPr>
          <w:rStyle w:val="Fett"/>
        </w:rPr>
        <w:t>Total-Herbizide</w:t>
      </w:r>
      <w:r>
        <w:t xml:space="preserve"> und </w:t>
      </w:r>
      <w:r w:rsidRPr="000D09F5">
        <w:rPr>
          <w:rStyle w:val="Fett"/>
        </w:rPr>
        <w:t>selektive Herbizide</w:t>
      </w:r>
      <w:r>
        <w:t xml:space="preserve"> unterteilen. Eine Selektivität kann unterschiedliche Ursachen haben:</w:t>
      </w:r>
    </w:p>
    <w:p w:rsidR="000D09F5" w:rsidRDefault="000D09F5" w:rsidP="000D09F5">
      <w:pPr>
        <w:pStyle w:val="Liste2Aufzhlung"/>
      </w:pPr>
      <w:r>
        <w:t>Unterschiede zwischen der Aufnahme in die verschiedenen Pflanzen,</w:t>
      </w:r>
    </w:p>
    <w:p w:rsidR="000D09F5" w:rsidRDefault="000D09F5" w:rsidP="000D09F5">
      <w:pPr>
        <w:pStyle w:val="Liste2Aufzhlung"/>
      </w:pPr>
      <w:r>
        <w:t>unterschiedliche Empfindlichkeit des Stoffwechsels gegenüber den Herbiziden,</w:t>
      </w:r>
    </w:p>
    <w:p w:rsidR="000D09F5" w:rsidRDefault="000D09F5" w:rsidP="000D09F5">
      <w:pPr>
        <w:pStyle w:val="Liste2Aufzhlung"/>
      </w:pPr>
      <w:r>
        <w:t>unterschiedliche Fähigkeit der Pflanzen, diese Fremd-Stoffe zu entgiften.</w:t>
      </w:r>
    </w:p>
    <w:p w:rsidR="000D09F5" w:rsidRDefault="000D09F5" w:rsidP="000D09F5">
      <w:r>
        <w:t>Allerdings handelt es sich hier um eine problematische Einteilungsweise, da es oft nur auf die aufzuwendende Wirkstoff-Menge pro Flächen-Einheit ankommt. Weitaus sinnvoller ist folgende Unterscheidung.</w:t>
      </w:r>
    </w:p>
    <w:p w:rsidR="000D09F5" w:rsidRDefault="00A17ECA" w:rsidP="000D09F5">
      <w:pPr>
        <w:pStyle w:val="berschrift2"/>
      </w:pPr>
      <w:bookmarkStart w:id="5" w:name="_Toc43385299"/>
      <w:r>
        <w:lastRenderedPageBreak/>
        <w:t>N</w:t>
      </w:r>
      <w:r w:rsidR="000D09F5">
        <w:t>ach Wirkungsweise</w:t>
      </w:r>
      <w:bookmarkEnd w:id="5"/>
    </w:p>
    <w:p w:rsidR="000D09F5" w:rsidRDefault="000D09F5" w:rsidP="000D09F5">
      <w:r>
        <w:t xml:space="preserve">Für die Herbizide kann nach ihren Angriffspunkten im Stoffwechsel der Pflanzen eine Einteilung vorgenommen werden. Man unterscheidet </w:t>
      </w:r>
      <w:r w:rsidR="00E50ACC">
        <w:t>hierbei</w:t>
      </w:r>
      <w:r>
        <w:t>:</w:t>
      </w:r>
    </w:p>
    <w:p w:rsidR="000D09F5" w:rsidRDefault="000D09F5" w:rsidP="000D09F5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3685"/>
      </w:tblGrid>
      <w:tr w:rsidR="000D09F5" w:rsidRPr="000D09F5" w:rsidTr="000D09F5">
        <w:trPr>
          <w:jc w:val="center"/>
        </w:trPr>
        <w:tc>
          <w:tcPr>
            <w:tcW w:w="3685" w:type="dxa"/>
            <w:shd w:val="clear" w:color="auto" w:fill="C7C7C7" w:themeFill="background2" w:themeFillShade="E6"/>
          </w:tcPr>
          <w:p w:rsidR="000D09F5" w:rsidRPr="000D09F5" w:rsidRDefault="000D09F5" w:rsidP="000D09F5">
            <w:pPr>
              <w:jc w:val="center"/>
              <w:rPr>
                <w:rStyle w:val="Fett"/>
              </w:rPr>
            </w:pPr>
            <w:r w:rsidRPr="000D09F5">
              <w:rPr>
                <w:rStyle w:val="Fett"/>
              </w:rPr>
              <w:t>Angriffspunkt im Stoffwechsel</w:t>
            </w:r>
          </w:p>
        </w:tc>
        <w:tc>
          <w:tcPr>
            <w:tcW w:w="3685" w:type="dxa"/>
            <w:shd w:val="clear" w:color="auto" w:fill="C7C7C7" w:themeFill="background2" w:themeFillShade="E6"/>
          </w:tcPr>
          <w:p w:rsidR="000D09F5" w:rsidRPr="000D09F5" w:rsidRDefault="000D09F5" w:rsidP="000D09F5">
            <w:pPr>
              <w:jc w:val="center"/>
              <w:rPr>
                <w:rStyle w:val="Fett"/>
              </w:rPr>
            </w:pPr>
            <w:r w:rsidRPr="000D09F5">
              <w:rPr>
                <w:rStyle w:val="Fett"/>
              </w:rPr>
              <w:t>Beispiele</w:t>
            </w:r>
          </w:p>
        </w:tc>
      </w:tr>
      <w:tr w:rsidR="000D09F5" w:rsidTr="000D09F5">
        <w:trPr>
          <w:jc w:val="center"/>
        </w:trPr>
        <w:tc>
          <w:tcPr>
            <w:tcW w:w="3685" w:type="dxa"/>
          </w:tcPr>
          <w:p w:rsidR="000D09F5" w:rsidRDefault="000D09F5" w:rsidP="000D09F5">
            <w:r>
              <w:t>Photosynthese-Hemmer</w:t>
            </w:r>
          </w:p>
        </w:tc>
        <w:tc>
          <w:tcPr>
            <w:tcW w:w="3685" w:type="dxa"/>
          </w:tcPr>
          <w:p w:rsidR="000D09F5" w:rsidRDefault="000D09F5" w:rsidP="000D09F5">
            <w:r>
              <w:t>Harnstoff-Derivate,</w:t>
            </w:r>
            <w:r>
              <w:br/>
              <w:t>Triazin-Derivate</w:t>
            </w:r>
          </w:p>
        </w:tc>
      </w:tr>
      <w:tr w:rsidR="000D09F5" w:rsidTr="000D09F5">
        <w:trPr>
          <w:jc w:val="center"/>
        </w:trPr>
        <w:tc>
          <w:tcPr>
            <w:tcW w:w="3685" w:type="dxa"/>
          </w:tcPr>
          <w:p w:rsidR="000D09F5" w:rsidRDefault="000D09F5" w:rsidP="000D09F5">
            <w:r>
              <w:t>Atmungshemmer</w:t>
            </w:r>
          </w:p>
        </w:tc>
        <w:tc>
          <w:tcPr>
            <w:tcW w:w="3685" w:type="dxa"/>
          </w:tcPr>
          <w:p w:rsidR="000D09F5" w:rsidRDefault="000D09F5" w:rsidP="000D09F5">
            <w:r>
              <w:t>Pentachlorphenol,</w:t>
            </w:r>
            <w:r>
              <w:br/>
              <w:t>substituierte Dinitrophenole</w:t>
            </w:r>
          </w:p>
        </w:tc>
      </w:tr>
      <w:tr w:rsidR="000D09F5" w:rsidTr="000D09F5">
        <w:trPr>
          <w:jc w:val="center"/>
        </w:trPr>
        <w:tc>
          <w:tcPr>
            <w:tcW w:w="3685" w:type="dxa"/>
          </w:tcPr>
          <w:p w:rsidR="000D09F5" w:rsidRDefault="000D09F5" w:rsidP="000D09F5">
            <w:r>
              <w:t>Wuchs-Stoffe</w:t>
            </w:r>
          </w:p>
        </w:tc>
        <w:tc>
          <w:tcPr>
            <w:tcW w:w="3685" w:type="dxa"/>
          </w:tcPr>
          <w:p w:rsidR="000D09F5" w:rsidRDefault="000D09F5" w:rsidP="000D09F5">
            <w:r>
              <w:t>Phenoxyalkylcarbonsäuren</w:t>
            </w:r>
          </w:p>
        </w:tc>
      </w:tr>
      <w:tr w:rsidR="000D09F5" w:rsidTr="000D09F5">
        <w:trPr>
          <w:jc w:val="center"/>
        </w:trPr>
        <w:tc>
          <w:tcPr>
            <w:tcW w:w="3685" w:type="dxa"/>
          </w:tcPr>
          <w:p w:rsidR="000D09F5" w:rsidRDefault="000D09F5" w:rsidP="000D09F5">
            <w:r>
              <w:t>Mitose-Hemmer</w:t>
            </w:r>
          </w:p>
        </w:tc>
        <w:tc>
          <w:tcPr>
            <w:tcW w:w="3685" w:type="dxa"/>
          </w:tcPr>
          <w:p w:rsidR="000D09F5" w:rsidRDefault="000D09F5" w:rsidP="000D09F5">
            <w:r>
              <w:t>Carbamate,</w:t>
            </w:r>
            <w:r>
              <w:br/>
              <w:t>Aniline</w:t>
            </w:r>
          </w:p>
        </w:tc>
      </w:tr>
      <w:tr w:rsidR="000D09F5" w:rsidTr="000D09F5">
        <w:trPr>
          <w:jc w:val="center"/>
        </w:trPr>
        <w:tc>
          <w:tcPr>
            <w:tcW w:w="3685" w:type="dxa"/>
          </w:tcPr>
          <w:p w:rsidR="000D09F5" w:rsidRDefault="000D09F5" w:rsidP="000D09F5">
            <w:r>
              <w:t>sonstige Eingriffe in wichtige Biosynthese-Wege</w:t>
            </w:r>
          </w:p>
        </w:tc>
        <w:tc>
          <w:tcPr>
            <w:tcW w:w="3685" w:type="dxa"/>
          </w:tcPr>
          <w:p w:rsidR="000D09F5" w:rsidRDefault="000D09F5" w:rsidP="000D09F5">
            <w:r>
              <w:t>Phosphonsäure-Derivate</w:t>
            </w:r>
          </w:p>
        </w:tc>
      </w:tr>
    </w:tbl>
    <w:p w:rsidR="000D09F5" w:rsidRDefault="000D09F5" w:rsidP="000D09F5">
      <w:r>
        <w:t>Auf folgende Herbizide wird nun näher eingegangen:</w:t>
      </w:r>
    </w:p>
    <w:p w:rsidR="00814863" w:rsidRDefault="00814863" w:rsidP="000D09F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2"/>
        <w:gridCol w:w="3617"/>
        <w:gridCol w:w="1888"/>
        <w:gridCol w:w="1947"/>
      </w:tblGrid>
      <w:tr w:rsidR="000D09F5" w:rsidRPr="00814863" w:rsidTr="00814863">
        <w:tc>
          <w:tcPr>
            <w:tcW w:w="2336" w:type="dxa"/>
            <w:shd w:val="clear" w:color="auto" w:fill="C7C7C7" w:themeFill="background2" w:themeFillShade="E6"/>
          </w:tcPr>
          <w:p w:rsidR="000D09F5" w:rsidRPr="00814863" w:rsidRDefault="000D09F5" w:rsidP="00814863">
            <w:pPr>
              <w:jc w:val="center"/>
              <w:rPr>
                <w:rStyle w:val="Fett"/>
              </w:rPr>
            </w:pPr>
            <w:r w:rsidRPr="00814863">
              <w:rPr>
                <w:rStyle w:val="Fett"/>
              </w:rPr>
              <w:t>Verbindungsklassen</w:t>
            </w:r>
          </w:p>
        </w:tc>
        <w:tc>
          <w:tcPr>
            <w:tcW w:w="2336" w:type="dxa"/>
            <w:shd w:val="clear" w:color="auto" w:fill="C7C7C7" w:themeFill="background2" w:themeFillShade="E6"/>
          </w:tcPr>
          <w:p w:rsidR="000D09F5" w:rsidRPr="00814863" w:rsidRDefault="000D09F5" w:rsidP="00814863">
            <w:pPr>
              <w:jc w:val="center"/>
              <w:rPr>
                <w:rStyle w:val="Fett"/>
              </w:rPr>
            </w:pPr>
            <w:r w:rsidRPr="00814863">
              <w:rPr>
                <w:rStyle w:val="Fett"/>
              </w:rPr>
              <w:t>Beispiele</w:t>
            </w:r>
          </w:p>
        </w:tc>
        <w:tc>
          <w:tcPr>
            <w:tcW w:w="2336" w:type="dxa"/>
            <w:shd w:val="clear" w:color="auto" w:fill="C7C7C7" w:themeFill="background2" w:themeFillShade="E6"/>
          </w:tcPr>
          <w:p w:rsidR="000D09F5" w:rsidRPr="00814863" w:rsidRDefault="000D09F5" w:rsidP="00814863">
            <w:pPr>
              <w:jc w:val="center"/>
              <w:rPr>
                <w:rStyle w:val="Fett"/>
              </w:rPr>
            </w:pPr>
            <w:r w:rsidRPr="00814863">
              <w:rPr>
                <w:rStyle w:val="Fett"/>
              </w:rPr>
              <w:t>Wirkungsweise</w:t>
            </w:r>
          </w:p>
        </w:tc>
        <w:tc>
          <w:tcPr>
            <w:tcW w:w="2336" w:type="dxa"/>
            <w:shd w:val="clear" w:color="auto" w:fill="C7C7C7" w:themeFill="background2" w:themeFillShade="E6"/>
          </w:tcPr>
          <w:p w:rsidR="000D09F5" w:rsidRPr="00814863" w:rsidRDefault="000D09F5" w:rsidP="00814863">
            <w:pPr>
              <w:jc w:val="center"/>
              <w:rPr>
                <w:rStyle w:val="Fett"/>
              </w:rPr>
            </w:pPr>
            <w:r w:rsidRPr="00814863">
              <w:rPr>
                <w:rStyle w:val="Fett"/>
              </w:rPr>
              <w:t>Sonstiges</w:t>
            </w:r>
          </w:p>
        </w:tc>
      </w:tr>
      <w:tr w:rsidR="000D09F5" w:rsidTr="00814863">
        <w:tc>
          <w:tcPr>
            <w:tcW w:w="2336" w:type="dxa"/>
          </w:tcPr>
          <w:p w:rsidR="000D09F5" w:rsidRDefault="000D09F5" w:rsidP="00814863">
            <w:pPr>
              <w:jc w:val="left"/>
            </w:pPr>
            <w:r>
              <w:t>Phosphonsäure-Derivate</w:t>
            </w:r>
          </w:p>
        </w:tc>
        <w:tc>
          <w:tcPr>
            <w:tcW w:w="2336" w:type="dxa"/>
            <w:vAlign w:val="center"/>
          </w:tcPr>
          <w:p w:rsidR="000D09F5" w:rsidRDefault="000D09F5" w:rsidP="00814863">
            <w:pPr>
              <w:jc w:val="center"/>
            </w:pPr>
            <w:r>
              <w:t>Glyphosat</w:t>
            </w:r>
          </w:p>
          <w:p w:rsidR="000D09F5" w:rsidRDefault="000D09F5" w:rsidP="00814863">
            <w:pPr>
              <w:spacing w:after="12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0000" cy="755660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75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0D09F5" w:rsidRDefault="000D09F5" w:rsidP="00814863">
            <w:pPr>
              <w:jc w:val="left"/>
            </w:pPr>
            <w:r>
              <w:t>hemmt die Synthese aromatischer Aminosäuren</w:t>
            </w:r>
          </w:p>
        </w:tc>
        <w:tc>
          <w:tcPr>
            <w:tcW w:w="2336" w:type="dxa"/>
          </w:tcPr>
          <w:p w:rsidR="000D09F5" w:rsidRDefault="000D09F5" w:rsidP="00814863">
            <w:pPr>
              <w:jc w:val="left"/>
            </w:pPr>
            <w:r>
              <w:t>Total-Herbizid</w:t>
            </w:r>
          </w:p>
        </w:tc>
      </w:tr>
      <w:tr w:rsidR="000D09F5" w:rsidTr="00814863">
        <w:tc>
          <w:tcPr>
            <w:tcW w:w="2336" w:type="dxa"/>
          </w:tcPr>
          <w:p w:rsidR="000D09F5" w:rsidRDefault="00814863" w:rsidP="00814863">
            <w:pPr>
              <w:jc w:val="left"/>
            </w:pPr>
            <w:r>
              <w:t>Heterocyclische Verbindungen (Bipyridinium-Verbindungen)</w:t>
            </w:r>
          </w:p>
        </w:tc>
        <w:tc>
          <w:tcPr>
            <w:tcW w:w="2336" w:type="dxa"/>
            <w:vAlign w:val="center"/>
          </w:tcPr>
          <w:p w:rsidR="000D09F5" w:rsidRDefault="00814863" w:rsidP="00814863">
            <w:pPr>
              <w:jc w:val="center"/>
            </w:pPr>
            <w:r>
              <w:t>Paraquatdichlorid</w:t>
            </w:r>
          </w:p>
          <w:p w:rsidR="00814863" w:rsidRDefault="00814863" w:rsidP="00814863">
            <w:pPr>
              <w:spacing w:after="12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160000" cy="615452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615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0D09F5" w:rsidRDefault="00814863" w:rsidP="00814863">
            <w:pPr>
              <w:jc w:val="left"/>
            </w:pPr>
            <w:r>
              <w:t>Photosynthese-Hemmer (PS II)</w:t>
            </w:r>
          </w:p>
        </w:tc>
        <w:tc>
          <w:tcPr>
            <w:tcW w:w="2336" w:type="dxa"/>
          </w:tcPr>
          <w:p w:rsidR="000D09F5" w:rsidRDefault="00814863" w:rsidP="00814863">
            <w:pPr>
              <w:jc w:val="left"/>
            </w:pPr>
            <w:r>
              <w:t>Total-Herbizid, eingeschränktes Anwendungsverbot in Deutschland</w:t>
            </w:r>
          </w:p>
        </w:tc>
      </w:tr>
      <w:tr w:rsidR="000D09F5" w:rsidTr="00814863">
        <w:tc>
          <w:tcPr>
            <w:tcW w:w="2336" w:type="dxa"/>
          </w:tcPr>
          <w:p w:rsidR="000D09F5" w:rsidRDefault="00814863" w:rsidP="00814863">
            <w:pPr>
              <w:jc w:val="left"/>
            </w:pPr>
            <w:r>
              <w:t>Heterocyclische Verbindungen (Triazin-Derivate)</w:t>
            </w:r>
          </w:p>
        </w:tc>
        <w:tc>
          <w:tcPr>
            <w:tcW w:w="2336" w:type="dxa"/>
            <w:vAlign w:val="center"/>
          </w:tcPr>
          <w:p w:rsidR="000D09F5" w:rsidRDefault="00814863" w:rsidP="00814863">
            <w:pPr>
              <w:jc w:val="center"/>
            </w:pPr>
            <w:r>
              <w:t>Terbutylazin</w:t>
            </w:r>
          </w:p>
          <w:p w:rsidR="00814863" w:rsidRDefault="00814863" w:rsidP="00814863">
            <w:pPr>
              <w:spacing w:after="12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0000" cy="158673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58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0D09F5" w:rsidRDefault="00814863" w:rsidP="00814863">
            <w:pPr>
              <w:jc w:val="left"/>
            </w:pPr>
            <w:r>
              <w:t>Photosynthese-Hemmer (PS I)</w:t>
            </w:r>
          </w:p>
        </w:tc>
        <w:tc>
          <w:tcPr>
            <w:tcW w:w="2336" w:type="dxa"/>
          </w:tcPr>
          <w:p w:rsidR="000D09F5" w:rsidRDefault="00814863" w:rsidP="00814863">
            <w:pPr>
              <w:jc w:val="left"/>
            </w:pPr>
            <w:r>
              <w:t>wirkt selektiv, Mais dagegen resistent</w:t>
            </w:r>
          </w:p>
        </w:tc>
      </w:tr>
    </w:tbl>
    <w:p w:rsidR="000D09F5" w:rsidRDefault="00814863" w:rsidP="000D09F5">
      <w:r>
        <w:t xml:space="preserve">Ein großer Teil der Pflanzen-Substanz (bei manchen Pflanzen bis zu 50% der Trocken-Substanz) wird über den </w:t>
      </w:r>
      <w:r w:rsidRPr="00814863">
        <w:rPr>
          <w:rStyle w:val="Fett"/>
        </w:rPr>
        <w:t>Shikimat-Weg</w:t>
      </w:r>
      <w:r>
        <w:t xml:space="preserve"> gebildet.</w:t>
      </w:r>
    </w:p>
    <w:p w:rsidR="00814863" w:rsidRDefault="00814863" w:rsidP="000D09F5">
      <w:r>
        <w:t>Ein Eingriff in diesen Biosynthese-Weg geschieht mit Glyphosat (N-Phosphonomethylglycin).</w:t>
      </w:r>
    </w:p>
    <w:p w:rsidR="00814863" w:rsidRDefault="00814863" w:rsidP="00814863">
      <w:pPr>
        <w:pStyle w:val="berschrift1"/>
      </w:pPr>
      <w:bookmarkStart w:id="6" w:name="_Toc43385300"/>
      <w:r>
        <w:lastRenderedPageBreak/>
        <w:t>Wirkungsweise von Glyphosat</w:t>
      </w:r>
      <w:bookmarkEnd w:id="6"/>
    </w:p>
    <w:p w:rsidR="00E50ACC" w:rsidRDefault="00E50ACC" w:rsidP="00814863">
      <w:pPr>
        <w:pStyle w:val="Bilder"/>
      </w:pPr>
      <w:r>
        <w:rPr>
          <w:lang w:eastAsia="de-DE"/>
        </w:rPr>
        <w:drawing>
          <wp:inline distT="0" distB="0" distL="0" distR="0" wp14:anchorId="7E78976D">
            <wp:extent cx="2834377" cy="3600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77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ACC" w:rsidRDefault="00E50ACC" w:rsidP="00E50ACC">
      <w:pPr>
        <w:pStyle w:val="Beschriftung"/>
      </w:pPr>
      <w:bookmarkStart w:id="7" w:name="_Ref42582791"/>
      <w:r>
        <w:t xml:space="preserve">Abb. </w:t>
      </w:r>
      <w:fldSimple w:instr=" SEQ Abb. \* ARABIC ">
        <w:r w:rsidR="0063558B">
          <w:rPr>
            <w:noProof/>
          </w:rPr>
          <w:t>1</w:t>
        </w:r>
      </w:fldSimple>
      <w:bookmarkEnd w:id="7"/>
      <w:r>
        <w:t xml:space="preserve">: Der </w:t>
      </w:r>
      <w:proofErr w:type="spellStart"/>
      <w:r>
        <w:t>Shikimat</w:t>
      </w:r>
      <w:proofErr w:type="spellEnd"/>
      <w:r>
        <w:t>-Weg und dessen Hemmung</w:t>
      </w:r>
      <w:r w:rsidR="00A17ECA">
        <w:t>.</w:t>
      </w:r>
    </w:p>
    <w:p w:rsidR="00E50ACC" w:rsidRDefault="00E50ACC" w:rsidP="00E50ACC">
      <w:r>
        <w:t xml:space="preserve">Vorläufer für die Bildung lebenswichtiger aromatischer Aminosäuren sind Erythrose-4-phosphat und </w:t>
      </w:r>
      <w:proofErr w:type="spellStart"/>
      <w:r>
        <w:t>Phosphoenolpyruvat</w:t>
      </w:r>
      <w:proofErr w:type="spellEnd"/>
      <w:r>
        <w:t xml:space="preserve"> PEP (siehe </w:t>
      </w:r>
      <w:r>
        <w:fldChar w:fldCharType="begin"/>
      </w:r>
      <w:r>
        <w:instrText xml:space="preserve"> REF _Ref42582791 \h </w:instrText>
      </w:r>
      <w:r>
        <w:fldChar w:fldCharType="separate"/>
      </w:r>
      <w:r w:rsidR="0063558B">
        <w:t xml:space="preserve">Abb. </w:t>
      </w:r>
      <w:r w:rsidR="0063558B">
        <w:rPr>
          <w:noProof/>
        </w:rPr>
        <w:t>1</w:t>
      </w:r>
      <w:r>
        <w:fldChar w:fldCharType="end"/>
      </w:r>
      <w:r>
        <w:t>). Es erfolgt eine Reaktion (über mehrerer Zwischenstufen, auf die hier jedoch nicht näher eingegangen wird) zu Shikimat-3-phosphat. Die 5-Hydrocy-Gruppe des Shikimat-3-phosphat wird mit Phosphoenolpyruvat zu dem Enolether 5-enolpyruvylshikimat-3-phosphat (EPSP) verknüpft (Enzym: EPSP-Synthase). An dieser stelle greift das Glyphosat folgendermaßen in den Stoffwechsel ein:</w:t>
      </w:r>
    </w:p>
    <w:p w:rsidR="00E50ACC" w:rsidRDefault="00E50ACC" w:rsidP="00E50ACC">
      <w:r>
        <w:t>Glyphosat ist ein sehr starker Hemmer der EPSP-Synthase. Wegen seiner ähnlichen Struktur hemmt es kompetitiv zu Phosphoenolpyruvat. Demzufolge wird kein EPSP und somit auch keine aromatischen Aminosäuren gebildet. Der Shikimat-Weg kommt bei Tieren nicht vor – daher besteht für Tiere keine Gefahr. Ein weiterer Vorteil liegt darin, dass Glyphosat aufgrund seiner einfachen Struktur relativ schnell durch Boden-Bakterien abgebaut wird.</w:t>
      </w:r>
    </w:p>
    <w:p w:rsidR="00852CF5" w:rsidRDefault="00852CF5">
      <w:pPr>
        <w:spacing w:before="0"/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:rsidR="00E50ACC" w:rsidRDefault="00E50ACC" w:rsidP="00E50ACC">
      <w:pPr>
        <w:pStyle w:val="berschrift1"/>
      </w:pPr>
      <w:bookmarkStart w:id="8" w:name="_Toc43385301"/>
      <w:r>
        <w:lastRenderedPageBreak/>
        <w:t>Wirkungsweise von Paraquatdichlorid</w:t>
      </w:r>
      <w:bookmarkEnd w:id="8"/>
    </w:p>
    <w:p w:rsidR="00E50ACC" w:rsidRDefault="00E50ACC" w:rsidP="00E50ACC">
      <w:r>
        <w:t xml:space="preserve">Die Photosynthese besteht aus zwei Vorgängen: Licht-Reaktionen (Photo-Teil der Photosynthese) und Calvin-Zyklus (Synthese-Teil der Photosynthese) (siehe </w:t>
      </w:r>
      <w:r w:rsidR="000332A7">
        <w:rPr>
          <w:color w:val="FF00FF" w:themeColor="accent4"/>
        </w:rPr>
        <w:fldChar w:fldCharType="begin"/>
      </w:r>
      <w:r w:rsidR="000332A7">
        <w:instrText xml:space="preserve"> REF _Ref42584226 \h </w:instrText>
      </w:r>
      <w:r w:rsidR="000332A7">
        <w:rPr>
          <w:color w:val="FF00FF" w:themeColor="accent4"/>
        </w:rPr>
      </w:r>
      <w:r w:rsidR="000332A7">
        <w:rPr>
          <w:color w:val="FF00FF" w:themeColor="accent4"/>
        </w:rPr>
        <w:fldChar w:fldCharType="separate"/>
      </w:r>
      <w:r w:rsidR="0063558B">
        <w:t xml:space="preserve">Abb. </w:t>
      </w:r>
      <w:r w:rsidR="0063558B">
        <w:rPr>
          <w:noProof/>
        </w:rPr>
        <w:t>2</w:t>
      </w:r>
      <w:r w:rsidR="000332A7">
        <w:rPr>
          <w:color w:val="FF00FF" w:themeColor="accent4"/>
        </w:rPr>
        <w:fldChar w:fldCharType="end"/>
      </w:r>
      <w:r>
        <w:t>)</w:t>
      </w:r>
    </w:p>
    <w:p w:rsidR="00E50ACC" w:rsidRDefault="000332A7" w:rsidP="000332A7">
      <w:pPr>
        <w:pStyle w:val="Bilder"/>
      </w:pPr>
      <w:r>
        <w:rPr>
          <w:lang w:eastAsia="de-DE"/>
        </w:rPr>
        <w:drawing>
          <wp:inline distT="0" distB="0" distL="0" distR="0" wp14:anchorId="60B50712">
            <wp:extent cx="4558469" cy="36000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469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32A7" w:rsidRDefault="000332A7" w:rsidP="000332A7">
      <w:pPr>
        <w:pStyle w:val="Beschriftung"/>
      </w:pPr>
      <w:bookmarkStart w:id="9" w:name="_Ref42584226"/>
      <w:r>
        <w:t xml:space="preserve">Abb. </w:t>
      </w:r>
      <w:fldSimple w:instr=" SEQ Abb. \* ARABIC ">
        <w:r w:rsidR="0063558B">
          <w:rPr>
            <w:noProof/>
          </w:rPr>
          <w:t>2</w:t>
        </w:r>
      </w:fldSimple>
      <w:bookmarkEnd w:id="9"/>
      <w:r>
        <w:t>: Licht-Reaktion und Calvin-Zyklus</w:t>
      </w:r>
      <w:r w:rsidR="00A17ECA">
        <w:t>.</w:t>
      </w:r>
    </w:p>
    <w:p w:rsidR="000332A7" w:rsidRDefault="000332A7" w:rsidP="000332A7">
      <w:r>
        <w:t>Bei den Richt-Reaktionen wird Sonnen-Energie in chemische Energie umgewandelt. Das vom Chlorophyll absorbierte Licht treibt die Übertragung von Protonen und Elektronen vom Wasser auf den Akzeptor NADP</w:t>
      </w:r>
      <w:r>
        <w:rPr>
          <w:vertAlign w:val="superscript"/>
        </w:rPr>
        <w:t>+</w:t>
      </w:r>
      <w:r>
        <w:t xml:space="preserve"> an, bei diesem Vorgang wird Wasser gespalten. Zusätzlich erzeugen die Licht-Reaktionen ATP. Im Calvin-Zyklus wird Kohlenstoffdioxid zum Kohlehydrat umgesetzt, wobei ATP und NADPH aus den Licht-Reaktionen benötigt wird. Photosystem I kann anstatt Ferredoxin Fd auch </w:t>
      </w:r>
      <w:proofErr w:type="spellStart"/>
      <w:r>
        <w:t>Paraquatdichlorid</w:t>
      </w:r>
      <w:proofErr w:type="spellEnd"/>
      <w:r>
        <w:t xml:space="preserve"> reduzieren (siehe </w:t>
      </w:r>
      <w:r w:rsidR="007D770A">
        <w:rPr>
          <w:color w:val="FF00FF" w:themeColor="accent4"/>
        </w:rPr>
        <w:fldChar w:fldCharType="begin"/>
      </w:r>
      <w:r w:rsidR="007D770A">
        <w:instrText xml:space="preserve"> REF _Ref42585705 \h </w:instrText>
      </w:r>
      <w:r w:rsidR="007D770A">
        <w:rPr>
          <w:color w:val="FF00FF" w:themeColor="accent4"/>
        </w:rPr>
      </w:r>
      <w:r w:rsidR="007D770A">
        <w:rPr>
          <w:color w:val="FF00FF" w:themeColor="accent4"/>
        </w:rPr>
        <w:fldChar w:fldCharType="separate"/>
      </w:r>
      <w:r w:rsidR="0063558B">
        <w:t xml:space="preserve">Abb. </w:t>
      </w:r>
      <w:r w:rsidR="0063558B">
        <w:rPr>
          <w:noProof/>
        </w:rPr>
        <w:t>3</w:t>
      </w:r>
      <w:r w:rsidR="007D770A">
        <w:rPr>
          <w:color w:val="FF00FF" w:themeColor="accent4"/>
        </w:rPr>
        <w:fldChar w:fldCharType="end"/>
      </w:r>
      <w:r>
        <w:t>).</w:t>
      </w:r>
    </w:p>
    <w:p w:rsidR="007D770A" w:rsidRDefault="00B357CE" w:rsidP="007D770A">
      <w:pPr>
        <w:pStyle w:val="Bilder"/>
      </w:pPr>
      <w:r>
        <w:rPr>
          <w:lang w:eastAsia="de-DE"/>
        </w:rPr>
        <w:lastRenderedPageBreak/>
        <w:drawing>
          <wp:inline distT="0" distB="0" distL="0" distR="0" wp14:anchorId="63BCCD6F">
            <wp:extent cx="4725836" cy="36000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836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70A" w:rsidRDefault="007D770A" w:rsidP="007D770A">
      <w:pPr>
        <w:pStyle w:val="Beschriftung"/>
      </w:pPr>
      <w:bookmarkStart w:id="10" w:name="_Ref42585705"/>
      <w:r>
        <w:t xml:space="preserve">Abb. </w:t>
      </w:r>
      <w:fldSimple w:instr=" SEQ Abb. \* ARABIC ">
        <w:r w:rsidR="0063558B">
          <w:rPr>
            <w:noProof/>
          </w:rPr>
          <w:t>3</w:t>
        </w:r>
      </w:fldSimple>
      <w:bookmarkEnd w:id="10"/>
      <w:r>
        <w:t xml:space="preserve">: Die Licht-Reaktion der Photosynthese und der Angriffspunkt von </w:t>
      </w:r>
      <w:proofErr w:type="spellStart"/>
      <w:r>
        <w:t>Paraquat</w:t>
      </w:r>
      <w:proofErr w:type="spellEnd"/>
      <w:r w:rsidR="00A17ECA">
        <w:t>.</w:t>
      </w:r>
    </w:p>
    <w:p w:rsidR="00B357CE" w:rsidRDefault="007D770A" w:rsidP="007D770A">
      <w:r w:rsidRPr="00B357CE">
        <w:rPr>
          <w:rStyle w:val="Fett"/>
        </w:rPr>
        <w:t>Legende</w:t>
      </w:r>
      <w:r>
        <w:t>:</w:t>
      </w:r>
    </w:p>
    <w:p w:rsidR="00B357CE" w:rsidRDefault="00B357CE" w:rsidP="007D770A"/>
    <w:p w:rsidR="00B357CE" w:rsidRDefault="00B357CE" w:rsidP="00B357CE">
      <w:pPr>
        <w:pStyle w:val="Liste1Aufzhlung"/>
        <w:sectPr w:rsidR="00B357CE" w:rsidSect="00931B30">
          <w:footerReference w:type="default" r:id="rId15"/>
          <w:pgSz w:w="11906" w:h="16838"/>
          <w:pgMar w:top="851" w:right="1134" w:bottom="1134" w:left="1418" w:header="0" w:footer="0" w:gutter="0"/>
          <w:cols w:space="708"/>
          <w:titlePg/>
          <w:docGrid w:linePitch="360"/>
        </w:sectPr>
      </w:pPr>
    </w:p>
    <w:p w:rsidR="00B357CE" w:rsidRDefault="00B357CE" w:rsidP="00B357CE">
      <w:pPr>
        <w:pStyle w:val="Liste1Aufzhlung"/>
      </w:pPr>
      <w:r>
        <w:t>P</w:t>
      </w:r>
      <w:r>
        <w:rPr>
          <w:vertAlign w:val="subscript"/>
        </w:rPr>
        <w:t>680</w:t>
      </w:r>
      <w:r>
        <w:t>: Reaktionszentrum von Photosystem II</w:t>
      </w:r>
    </w:p>
    <w:p w:rsidR="00B357CE" w:rsidRDefault="00B357CE" w:rsidP="00B357CE">
      <w:pPr>
        <w:pStyle w:val="Liste1Aufzhlung"/>
      </w:pPr>
      <w:r>
        <w:t>Z: primärer Elektronen-Donator</w:t>
      </w:r>
    </w:p>
    <w:p w:rsidR="00B357CE" w:rsidRDefault="00B357CE" w:rsidP="00B357CE">
      <w:pPr>
        <w:pStyle w:val="Liste1Aufzhlung"/>
      </w:pPr>
      <w:r>
        <w:t>Q: primärer Elektronen-Akzeptor</w:t>
      </w:r>
    </w:p>
    <w:p w:rsidR="00B357CE" w:rsidRDefault="00B357CE" w:rsidP="00B357CE">
      <w:pPr>
        <w:pStyle w:val="Liste1Aufzhlung"/>
      </w:pPr>
      <w:r>
        <w:t>PQ: Plastochinon-Pool</w:t>
      </w:r>
    </w:p>
    <w:p w:rsidR="00B357CE" w:rsidRDefault="00B357CE" w:rsidP="00B357CE">
      <w:pPr>
        <w:pStyle w:val="Liste1Aufzhlung"/>
      </w:pPr>
      <w:r>
        <w:t>PCy: Platocyanin</w:t>
      </w:r>
    </w:p>
    <w:p w:rsidR="00B357CE" w:rsidRDefault="00B357CE" w:rsidP="00B357CE">
      <w:pPr>
        <w:pStyle w:val="Liste1Aufzhlung"/>
      </w:pPr>
      <w:r>
        <w:t>P</w:t>
      </w:r>
      <w:r>
        <w:rPr>
          <w:vertAlign w:val="subscript"/>
        </w:rPr>
        <w:t>700</w:t>
      </w:r>
      <w:r>
        <w:t>: Reaktionszentrum von Photosystem I</w:t>
      </w:r>
    </w:p>
    <w:p w:rsidR="00B357CE" w:rsidRDefault="00B357CE" w:rsidP="00B357CE">
      <w:pPr>
        <w:pStyle w:val="Liste1Aufzhlung"/>
      </w:pPr>
      <w:r>
        <w:t>X: primärer Elektronen-Akzeptor von Photosystem I</w:t>
      </w:r>
    </w:p>
    <w:p w:rsidR="00B357CE" w:rsidRDefault="00B357CE" w:rsidP="00B357CE">
      <w:pPr>
        <w:pStyle w:val="Liste1Aufzhlung"/>
      </w:pPr>
      <w:r>
        <w:t>Fd: Ferredoxin</w:t>
      </w:r>
    </w:p>
    <w:p w:rsidR="00B357CE" w:rsidRDefault="00B357CE" w:rsidP="00B357CE">
      <w:pPr>
        <w:pStyle w:val="Liste1Aufzhlung"/>
      </w:pPr>
      <w:r>
        <w:t>Cyt: Cytochrome</w:t>
      </w:r>
    </w:p>
    <w:p w:rsidR="00B357CE" w:rsidRDefault="00B357CE" w:rsidP="00B357CE">
      <w:pPr>
        <w:sectPr w:rsidR="00B357CE" w:rsidSect="00B357CE">
          <w:type w:val="continuous"/>
          <w:pgSz w:w="11906" w:h="16838"/>
          <w:pgMar w:top="851" w:right="1134" w:bottom="1134" w:left="1418" w:header="0" w:footer="0" w:gutter="0"/>
          <w:cols w:num="2" w:space="708"/>
          <w:titlePg/>
          <w:docGrid w:linePitch="360"/>
        </w:sectPr>
      </w:pPr>
    </w:p>
    <w:p w:rsidR="00B357CE" w:rsidRPr="00B357CE" w:rsidRDefault="00B357CE" w:rsidP="00B357CE">
      <w:r>
        <w:t>Die entstehende radikalische Substanz überträgt das Elektron auf Sauerstoff unter Bildung des chemisch aggressiven Hyperoxid-Radikals O</w:t>
      </w:r>
      <w:r w:rsidRPr="0095732F">
        <w:rPr>
          <w:vertAlign w:val="subscript"/>
        </w:rPr>
        <w:t>2</w:t>
      </w:r>
      <w:r>
        <w:rPr>
          <w:vertAlign w:val="superscript"/>
        </w:rPr>
        <w:t>-</w:t>
      </w:r>
      <w:r>
        <w:t xml:space="preserve"> (siehe </w:t>
      </w:r>
      <w:r w:rsidR="0095732F">
        <w:rPr>
          <w:color w:val="FF00FF" w:themeColor="accent4"/>
        </w:rPr>
        <w:fldChar w:fldCharType="begin"/>
      </w:r>
      <w:r w:rsidR="0095732F">
        <w:instrText xml:space="preserve"> REF _Ref42586949 \h </w:instrText>
      </w:r>
      <w:r w:rsidR="0095732F">
        <w:rPr>
          <w:color w:val="FF00FF" w:themeColor="accent4"/>
        </w:rPr>
      </w:r>
      <w:r w:rsidR="0095732F">
        <w:rPr>
          <w:color w:val="FF00FF" w:themeColor="accent4"/>
        </w:rPr>
        <w:fldChar w:fldCharType="separate"/>
      </w:r>
      <w:r w:rsidR="0063558B">
        <w:t xml:space="preserve">Abb. </w:t>
      </w:r>
      <w:r w:rsidR="0063558B">
        <w:rPr>
          <w:noProof/>
        </w:rPr>
        <w:t>4</w:t>
      </w:r>
      <w:r w:rsidR="0095732F">
        <w:rPr>
          <w:color w:val="FF00FF" w:themeColor="accent4"/>
        </w:rPr>
        <w:fldChar w:fldCharType="end"/>
      </w:r>
      <w:r>
        <w:t>)</w:t>
      </w:r>
    </w:p>
    <w:p w:rsidR="00B357CE" w:rsidRDefault="0095732F" w:rsidP="0095732F">
      <w:pPr>
        <w:pStyle w:val="Bilder"/>
      </w:pPr>
      <w:r>
        <w:rPr>
          <w:lang w:eastAsia="de-DE"/>
        </w:rPr>
        <w:drawing>
          <wp:inline distT="0" distB="0" distL="0" distR="0">
            <wp:extent cx="5534025" cy="2524125"/>
            <wp:effectExtent l="0" t="0" r="9525" b="952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32F" w:rsidRDefault="0095732F" w:rsidP="0095732F">
      <w:pPr>
        <w:pStyle w:val="Beschriftung"/>
      </w:pPr>
      <w:bookmarkStart w:id="11" w:name="_Ref42586949"/>
      <w:r>
        <w:t xml:space="preserve">Abb. </w:t>
      </w:r>
      <w:fldSimple w:instr=" SEQ Abb. \* ARABIC ">
        <w:r w:rsidR="0063558B">
          <w:rPr>
            <w:noProof/>
          </w:rPr>
          <w:t>4</w:t>
        </w:r>
      </w:fldSimple>
      <w:bookmarkEnd w:id="11"/>
      <w:r>
        <w:t>: Entstehung des Hyperoxid-Anions</w:t>
      </w:r>
      <w:r w:rsidR="00A17ECA">
        <w:t>.</w:t>
      </w:r>
    </w:p>
    <w:p w:rsidR="0095732F" w:rsidRDefault="0095732F" w:rsidP="0095732F">
      <w:r>
        <w:lastRenderedPageBreak/>
        <w:t xml:space="preserve">„ASF“ (= aktive Sauerstoff-Formen) werden in der Pflanze zwar </w:t>
      </w:r>
      <w:r w:rsidR="000E0396">
        <w:t>abgefangen</w:t>
      </w:r>
      <w:r>
        <w:t xml:space="preserve">; in diesem Falle jedoch ist die Kapazität der Abfang-Reaktionen nicht mehr ausreichend (Radikal-Fänger: v. a. </w:t>
      </w:r>
      <w:r>
        <w:rPr>
          <w:rFonts w:cs="Arial"/>
        </w:rPr>
        <w:t>α</w:t>
      </w:r>
      <w:r>
        <w:t>-Tocopherol (Vitamin E</w:t>
      </w:r>
      <w:r w:rsidR="000E0396">
        <w:t>), Vitamin C). Allerdings besteht das „wirkliche Kunststück“ darin, Herbizide herzustellen, die selektiv arbeiten, wie z. B Atrazin und seine Derivate:</w:t>
      </w:r>
    </w:p>
    <w:p w:rsidR="000E0396" w:rsidRDefault="000E0396" w:rsidP="000E0396">
      <w:pPr>
        <w:pStyle w:val="berschrift1"/>
      </w:pPr>
      <w:bookmarkStart w:id="12" w:name="_Toc43385302"/>
      <w:r>
        <w:t>Wirkungsweise von Atrazin</w:t>
      </w:r>
      <w:bookmarkEnd w:id="12"/>
    </w:p>
    <w:p w:rsidR="000E0396" w:rsidRDefault="000E0396" w:rsidP="000E0396">
      <w:r>
        <w:t xml:space="preserve">Sie Selektivität hat unterschiedliche Ursachen (siehe auch </w:t>
      </w:r>
      <w:r>
        <w:fldChar w:fldCharType="begin"/>
      </w:r>
      <w:r>
        <w:instrText xml:space="preserve"> REF _Ref42587160 \r \h </w:instrText>
      </w:r>
      <w:r>
        <w:fldChar w:fldCharType="separate"/>
      </w:r>
      <w:r w:rsidR="0063558B">
        <w:t>1</w:t>
      </w:r>
      <w:r>
        <w:fldChar w:fldCharType="end"/>
      </w:r>
      <w:r>
        <w:t>).</w:t>
      </w:r>
    </w:p>
    <w:p w:rsidR="000E0396" w:rsidRDefault="000E0396" w:rsidP="000E0396">
      <w:r>
        <w:t>Beispiel: Resistenz von Mais gegen Atrazin. Atrazin ist ein Photosynthese-Hemmer. Das Herbizid wird von Mais-Pflanzen zwar gut aufgenommen, erreicht seinen Wirkungsort jedoch nicht, sondern wird vorher unschädlich gemacht und „entsorgt“. Atrazin ist seit 10 Jahren in Deutschland verboten, allerdings werden ähnliche Triazin-Derivate weiterhin verwendet (z. B. Terbutylazin, Simazin). Bei der Entgiftung spielen ich folgende Vorgänge in der Pflanze ab:</w:t>
      </w:r>
    </w:p>
    <w:p w:rsidR="000E0396" w:rsidRDefault="000E0396" w:rsidP="000E0396">
      <w:pPr>
        <w:pStyle w:val="Bilder"/>
      </w:pPr>
      <w:r>
        <w:rPr>
          <w:lang w:eastAsia="de-DE"/>
        </w:rPr>
        <w:drawing>
          <wp:inline distT="0" distB="0" distL="0" distR="0" wp14:anchorId="1D0287C1">
            <wp:extent cx="3849706" cy="3600000"/>
            <wp:effectExtent l="0" t="0" r="0" b="63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706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396" w:rsidRDefault="000E0396" w:rsidP="000E0396">
      <w:pPr>
        <w:pStyle w:val="Beschriftung"/>
      </w:pPr>
      <w:r>
        <w:t xml:space="preserve">Abb. </w:t>
      </w:r>
      <w:fldSimple w:instr=" SEQ Abb. \* ARABIC ">
        <w:r w:rsidR="0063558B">
          <w:rPr>
            <w:noProof/>
          </w:rPr>
          <w:t>5</w:t>
        </w:r>
      </w:fldSimple>
      <w:r>
        <w:t>: Entgiftung in der Pflanze</w:t>
      </w:r>
      <w:r w:rsidR="00A17ECA">
        <w:t>.</w:t>
      </w:r>
    </w:p>
    <w:p w:rsidR="000E0396" w:rsidRDefault="00852CF5" w:rsidP="000E0396">
      <w:r>
        <w:t>Bei Glutathion handelt es sich um ein Tripeptid, bestehend aus Glutaminsäure, Cystein (SH-Gruppierung) und Glycin. Bei der Glutathion-Konjugation handelt es sich bei Pflanzen um einen weit verbreiteten Entgiftungsmechanismus für Xenobiotika. Mais enthält besonders viel Glutathion in den Zellen (50 – 300 mg je g Frisch-Gewicht) und ein besonders aktives konjugierendes Enzym (Glutathion-S-Transferase GTS). Erforderlich für die GSH-Konjugation ist die Gegenwart einer „leaving group“, die in der GST-Reaktion durch GS</w:t>
      </w:r>
      <w:r>
        <w:rPr>
          <w:vertAlign w:val="superscript"/>
        </w:rPr>
        <w:t>-</w:t>
      </w:r>
      <w:r>
        <w:t xml:space="preserve"> ersetzt wird (in Terbutylazin ist dies Cl</w:t>
      </w:r>
      <w:r>
        <w:rPr>
          <w:vertAlign w:val="superscript"/>
        </w:rPr>
        <w:t>-</w:t>
      </w:r>
      <w:r>
        <w:t>).</w:t>
      </w:r>
    </w:p>
    <w:p w:rsidR="00CB2563" w:rsidRPr="00852CF5" w:rsidRDefault="00852CF5" w:rsidP="00852CF5">
      <w:pPr>
        <w:pStyle w:val="Zusammenfassung"/>
        <w:spacing w:before="0"/>
        <w:jc w:val="left"/>
        <w:rPr>
          <w:b/>
          <w:bCs/>
        </w:rPr>
      </w:pPr>
      <w:r w:rsidRPr="00852CF5">
        <w:rPr>
          <w:rStyle w:val="Fett"/>
        </w:rPr>
        <w:t>Abschluss</w:t>
      </w:r>
      <w:r>
        <w:t>: Wie sieht es mit umwelt-freundlicheren Methoden zur Unkraut-Bekämpfung aus? Diese gibt es sehr wohl (man denke hierbei nur an das mühsame Unkraut-Jäten!) – sie sind allerdings nicht so wirksam bzw. oft zu umständlich.</w:t>
      </w:r>
    </w:p>
    <w:p w:rsidR="00A17ECA" w:rsidRDefault="00A17ECA">
      <w:pPr>
        <w:spacing w:before="0"/>
        <w:jc w:val="left"/>
        <w:rPr>
          <w:b/>
          <w:bCs/>
        </w:rPr>
      </w:pPr>
      <w:r>
        <w:rPr>
          <w:b/>
          <w:bCs/>
        </w:rPr>
        <w:br w:type="page"/>
      </w:r>
    </w:p>
    <w:p w:rsidR="00931B30" w:rsidRPr="000E61E0" w:rsidRDefault="00931B30" w:rsidP="00931B30">
      <w:pPr>
        <w:rPr>
          <w:b/>
          <w:bCs/>
        </w:rPr>
      </w:pPr>
      <w:r w:rsidRPr="000E61E0">
        <w:rPr>
          <w:b/>
          <w:bCs/>
        </w:rPr>
        <w:lastRenderedPageBreak/>
        <w:t>Quellen:</w:t>
      </w:r>
    </w:p>
    <w:p w:rsidR="00931B30" w:rsidRPr="00CB2563" w:rsidRDefault="00CB2563" w:rsidP="00CB2563">
      <w:pPr>
        <w:pStyle w:val="AufzhlungStandard"/>
        <w:rPr>
          <w:rStyle w:val="Fett"/>
          <w:b w:val="0"/>
          <w:bCs w:val="0"/>
        </w:rPr>
      </w:pPr>
      <w:r w:rsidRPr="00CB2563">
        <w:t xml:space="preserve">Pflanzenschutzmittel-Verzeichnis Teil 1 (Biologische Bundesanstalt für Land- und Forstwirtschaft Bundesrepublik Deutschland), Saphir Verlag Ribbesbüttel, 48. Auflage, </w:t>
      </w:r>
      <w:r w:rsidRPr="00CB2563">
        <w:rPr>
          <w:rStyle w:val="Fett"/>
          <w:b w:val="0"/>
          <w:bCs w:val="0"/>
        </w:rPr>
        <w:t>2000</w:t>
      </w:r>
    </w:p>
    <w:p w:rsidR="00CB2563" w:rsidRPr="00CB2563" w:rsidRDefault="00CB2563" w:rsidP="00CB2563">
      <w:pPr>
        <w:pStyle w:val="AufzhlungStandard"/>
        <w:rPr>
          <w:rStyle w:val="Fett"/>
          <w:b w:val="0"/>
          <w:bCs w:val="0"/>
        </w:rPr>
      </w:pPr>
      <w:r w:rsidRPr="00CB2563">
        <w:t xml:space="preserve">Schopfer, Brennicke, </w:t>
      </w:r>
      <w:r w:rsidRPr="00CB2563">
        <w:rPr>
          <w:rStyle w:val="Hervorhebung"/>
          <w:i w:val="0"/>
          <w:iCs w:val="0"/>
        </w:rPr>
        <w:t>Pflanzenphysiologie</w:t>
      </w:r>
      <w:r w:rsidRPr="00CB2563">
        <w:t xml:space="preserve">, Springer-Verlag Berlin, 5. Auflage, </w:t>
      </w:r>
      <w:r w:rsidRPr="00CB2563">
        <w:rPr>
          <w:rStyle w:val="Fett"/>
          <w:b w:val="0"/>
          <w:bCs w:val="0"/>
        </w:rPr>
        <w:t>1999</w:t>
      </w:r>
    </w:p>
    <w:p w:rsidR="00CB2563" w:rsidRPr="00CB2563" w:rsidRDefault="00CB2563" w:rsidP="00CB2563">
      <w:pPr>
        <w:pStyle w:val="AufzhlungStandard"/>
        <w:rPr>
          <w:rStyle w:val="Fett"/>
          <w:b w:val="0"/>
          <w:bCs w:val="0"/>
        </w:rPr>
      </w:pPr>
      <w:r w:rsidRPr="00CB2563">
        <w:t>Heldt,</w:t>
      </w:r>
      <w:r w:rsidRPr="00CB2563">
        <w:rPr>
          <w:rStyle w:val="Hervorhebung"/>
          <w:i w:val="0"/>
          <w:iCs w:val="0"/>
        </w:rPr>
        <w:t xml:space="preserve"> Pflanzenbiochemie</w:t>
      </w:r>
      <w:r w:rsidRPr="00CB2563">
        <w:t xml:space="preserve">, Spektrum Akademischer Verlag Heidelberg, 2. Auflage, </w:t>
      </w:r>
      <w:r w:rsidRPr="00CB2563">
        <w:rPr>
          <w:rStyle w:val="Fett"/>
          <w:b w:val="0"/>
          <w:bCs w:val="0"/>
        </w:rPr>
        <w:t>1999</w:t>
      </w:r>
    </w:p>
    <w:p w:rsidR="00CB2563" w:rsidRPr="00CB2563" w:rsidRDefault="00CB2563" w:rsidP="00CB2563">
      <w:pPr>
        <w:pStyle w:val="AufzhlungStandard"/>
        <w:rPr>
          <w:rStyle w:val="Fett"/>
          <w:b w:val="0"/>
          <w:bCs w:val="0"/>
        </w:rPr>
      </w:pPr>
      <w:r w:rsidRPr="00CB2563">
        <w:t xml:space="preserve">Hock, Fedtke, Schmidt, </w:t>
      </w:r>
      <w:r w:rsidRPr="00CB2563">
        <w:rPr>
          <w:rStyle w:val="Hervorhebung"/>
          <w:i w:val="0"/>
          <w:iCs w:val="0"/>
        </w:rPr>
        <w:t>Herbizide</w:t>
      </w:r>
      <w:r w:rsidRPr="00CB2563">
        <w:t xml:space="preserve">, Georg Thieme Verlag Stuttgart, </w:t>
      </w:r>
      <w:r w:rsidRPr="00CB2563">
        <w:rPr>
          <w:rStyle w:val="Fett"/>
          <w:b w:val="0"/>
          <w:bCs w:val="0"/>
        </w:rPr>
        <w:t>1995</w:t>
      </w:r>
    </w:p>
    <w:p w:rsidR="00CB2563" w:rsidRPr="00CB2563" w:rsidRDefault="00CB2563" w:rsidP="00CB2563">
      <w:pPr>
        <w:pStyle w:val="AufzhlungStandard"/>
        <w:rPr>
          <w:rStyle w:val="Fett"/>
          <w:b w:val="0"/>
          <w:bCs w:val="0"/>
        </w:rPr>
      </w:pPr>
      <w:r w:rsidRPr="00CB2563">
        <w:rPr>
          <w:rStyle w:val="Hervorhebung"/>
          <w:i w:val="0"/>
          <w:iCs w:val="0"/>
        </w:rPr>
        <w:t>CD Römpp Chemie Lexikon</w:t>
      </w:r>
      <w:r w:rsidRPr="00CB2563">
        <w:t xml:space="preserve">, Georg Thieme Verlag Stuttgart, 9. Auflage, </w:t>
      </w:r>
      <w:r w:rsidRPr="00CB2563">
        <w:rPr>
          <w:rStyle w:val="Fett"/>
          <w:b w:val="0"/>
          <w:bCs w:val="0"/>
        </w:rPr>
        <w:t>1995</w:t>
      </w:r>
    </w:p>
    <w:p w:rsidR="00CB2563" w:rsidRPr="00CB2563" w:rsidRDefault="00CB2563" w:rsidP="00CB2563">
      <w:pPr>
        <w:pStyle w:val="AufzhlungStandard"/>
        <w:rPr>
          <w:rStyle w:val="Fett"/>
          <w:b w:val="0"/>
          <w:bCs w:val="0"/>
        </w:rPr>
      </w:pPr>
      <w:r w:rsidRPr="00CB2563">
        <w:t xml:space="preserve">Campbell, </w:t>
      </w:r>
      <w:r w:rsidRPr="00CB2563">
        <w:rPr>
          <w:rStyle w:val="Hervorhebung"/>
          <w:i w:val="0"/>
          <w:iCs w:val="0"/>
        </w:rPr>
        <w:t>Biologie</w:t>
      </w:r>
      <w:r w:rsidRPr="00CB2563">
        <w:t xml:space="preserve">, Spektrum Akademischer Verlag Heidelberg, </w:t>
      </w:r>
      <w:r w:rsidRPr="00CB2563">
        <w:rPr>
          <w:rStyle w:val="Fett"/>
          <w:b w:val="0"/>
          <w:bCs w:val="0"/>
        </w:rPr>
        <w:t>1997</w:t>
      </w:r>
    </w:p>
    <w:p w:rsidR="00CB2563" w:rsidRPr="00CB2563" w:rsidRDefault="00CB2563" w:rsidP="00CB2563">
      <w:pPr>
        <w:pStyle w:val="AufzhlungStandard"/>
      </w:pPr>
      <w:r w:rsidRPr="00CB2563">
        <w:t>Lüttge, Kluge, Bauer, Botanik, VCH Verlagsgesellschaft Weinheim, 2. Auflage, 1997</w:t>
      </w:r>
    </w:p>
    <w:sectPr w:rsidR="00CB2563" w:rsidRPr="00CB2563" w:rsidSect="00B357CE">
      <w:type w:val="continuous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58" w:rsidRDefault="00AF5558" w:rsidP="005A7DCE">
      <w:pPr>
        <w:spacing w:before="0"/>
      </w:pPr>
      <w:r>
        <w:separator/>
      </w:r>
    </w:p>
  </w:endnote>
  <w:endnote w:type="continuationSeparator" w:id="0">
    <w:p w:rsidR="00AF5558" w:rsidRDefault="00AF5558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:rsidR="005A7DCE" w:rsidRDefault="005A7DCE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8506A2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A7DCE" w:rsidRDefault="005A7DC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3558B">
          <w:rPr>
            <w:noProof/>
          </w:rPr>
          <w:t>7</w:t>
        </w:r>
        <w:r>
          <w:fldChar w:fldCharType="end"/>
        </w:r>
      </w:p>
    </w:sdtContent>
  </w:sdt>
  <w:p w:rsidR="005A7DCE" w:rsidRDefault="005A7D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58" w:rsidRDefault="00AF5558" w:rsidP="005A7DCE">
      <w:pPr>
        <w:spacing w:before="0"/>
      </w:pPr>
      <w:r>
        <w:separator/>
      </w:r>
    </w:p>
  </w:footnote>
  <w:footnote w:type="continuationSeparator" w:id="0">
    <w:p w:rsidR="00AF5558" w:rsidRDefault="00AF5558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C52E1EFA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240560B"/>
    <w:multiLevelType w:val="multilevel"/>
    <w:tmpl w:val="5A7499A4"/>
    <w:lvl w:ilvl="0">
      <w:start w:val="1"/>
      <w:numFmt w:val="bullet"/>
      <w:pStyle w:val="Liste1Aufzhlung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5" w15:restartNumberingAfterBreak="0">
    <w:nsid w:val="17780FA5"/>
    <w:multiLevelType w:val="hybridMultilevel"/>
    <w:tmpl w:val="B46071FA"/>
    <w:lvl w:ilvl="0" w:tplc="C890C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7" w15:restartNumberingAfterBreak="0">
    <w:nsid w:val="31276AE2"/>
    <w:multiLevelType w:val="multilevel"/>
    <w:tmpl w:val="34E80934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%9"/>
      <w:lvlJc w:val="left"/>
      <w:pPr>
        <w:ind w:left="454" w:hanging="454"/>
      </w:pPr>
      <w:rPr>
        <w:rFonts w:hint="default"/>
      </w:rPr>
    </w:lvl>
  </w:abstractNum>
  <w:abstractNum w:abstractNumId="8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7D36"/>
    <w:multiLevelType w:val="multilevel"/>
    <w:tmpl w:val="3118D57E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10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F62EB"/>
    <w:multiLevelType w:val="multilevel"/>
    <w:tmpl w:val="D682CF1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%5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652F12AD"/>
    <w:multiLevelType w:val="multilevel"/>
    <w:tmpl w:val="314455D2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3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0"/>
  </w:num>
  <w:num w:numId="7">
    <w:abstractNumId w:val="6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9"/>
  </w:num>
  <w:num w:numId="13">
    <w:abstractNumId w:val="8"/>
  </w:num>
  <w:num w:numId="14">
    <w:abstractNumId w:val="0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07F76"/>
    <w:rsid w:val="000256A8"/>
    <w:rsid w:val="000332A7"/>
    <w:rsid w:val="00045EDE"/>
    <w:rsid w:val="000712A2"/>
    <w:rsid w:val="00074491"/>
    <w:rsid w:val="000D09F5"/>
    <w:rsid w:val="000D4A1C"/>
    <w:rsid w:val="000E0396"/>
    <w:rsid w:val="000E61E0"/>
    <w:rsid w:val="001D6942"/>
    <w:rsid w:val="002005EF"/>
    <w:rsid w:val="00215923"/>
    <w:rsid w:val="0033663A"/>
    <w:rsid w:val="0036111E"/>
    <w:rsid w:val="00366829"/>
    <w:rsid w:val="004464DC"/>
    <w:rsid w:val="004A7FC7"/>
    <w:rsid w:val="004D0FAE"/>
    <w:rsid w:val="005633FE"/>
    <w:rsid w:val="0058690D"/>
    <w:rsid w:val="005A7DCE"/>
    <w:rsid w:val="0063558B"/>
    <w:rsid w:val="006C46BC"/>
    <w:rsid w:val="007161D1"/>
    <w:rsid w:val="00783295"/>
    <w:rsid w:val="007B2C80"/>
    <w:rsid w:val="007D770A"/>
    <w:rsid w:val="007F18E1"/>
    <w:rsid w:val="008117E4"/>
    <w:rsid w:val="00814863"/>
    <w:rsid w:val="00825BFE"/>
    <w:rsid w:val="00850560"/>
    <w:rsid w:val="00852CF5"/>
    <w:rsid w:val="00883728"/>
    <w:rsid w:val="008A524D"/>
    <w:rsid w:val="00931B30"/>
    <w:rsid w:val="00945ED7"/>
    <w:rsid w:val="0095732F"/>
    <w:rsid w:val="009710A6"/>
    <w:rsid w:val="00A17ECA"/>
    <w:rsid w:val="00A21130"/>
    <w:rsid w:val="00A5383F"/>
    <w:rsid w:val="00AA5678"/>
    <w:rsid w:val="00AA5D66"/>
    <w:rsid w:val="00AB7E4B"/>
    <w:rsid w:val="00AE53F0"/>
    <w:rsid w:val="00AF5558"/>
    <w:rsid w:val="00AF7672"/>
    <w:rsid w:val="00B357CE"/>
    <w:rsid w:val="00CB2563"/>
    <w:rsid w:val="00D97908"/>
    <w:rsid w:val="00DB7964"/>
    <w:rsid w:val="00E14DE1"/>
    <w:rsid w:val="00E20AF3"/>
    <w:rsid w:val="00E50ACC"/>
    <w:rsid w:val="00E54A99"/>
    <w:rsid w:val="00E8473B"/>
    <w:rsid w:val="00F76D18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EB65E4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215923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4A7FC7"/>
    <w:pPr>
      <w:numPr>
        <w:numId w:val="20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215923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215923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215923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CB2563"/>
    <w:pPr>
      <w:numPr>
        <w:numId w:val="17"/>
      </w:numPr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4A7FC7"/>
  </w:style>
  <w:style w:type="character" w:customStyle="1" w:styleId="AufzhlungStandardZchn">
    <w:name w:val="Aufzählung Standard Zchn"/>
    <w:basedOn w:val="ListenabsatzZchn"/>
    <w:link w:val="AufzhlungStandard"/>
    <w:rsid w:val="00CB2563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1Aufzhlung"/>
    <w:qFormat/>
    <w:rsid w:val="004A7FC7"/>
    <w:pPr>
      <w:numPr>
        <w:numId w:val="1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DB7964"/>
    <w:rPr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CB2563"/>
    <w:rPr>
      <w:b/>
      <w:bCs/>
    </w:rPr>
  </w:style>
  <w:style w:type="character" w:styleId="Hervorhebung">
    <w:name w:val="Emphasis"/>
    <w:basedOn w:val="Absatz-Standardschriftart"/>
    <w:uiPriority w:val="20"/>
    <w:qFormat/>
    <w:rsid w:val="00CB2563"/>
    <w:rPr>
      <w:i/>
      <w:iCs/>
    </w:rPr>
  </w:style>
  <w:style w:type="table" w:styleId="Tabellenraster">
    <w:name w:val="Table Grid"/>
    <w:basedOn w:val="NormaleTabelle"/>
    <w:uiPriority w:val="39"/>
    <w:rsid w:val="000D0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B52DB-95A5-47F7-9BE5-F7119C5C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FF897CAE.dotm</Template>
  <TotalTime>0</TotalTime>
  <Pages>7</Pages>
  <Words>1135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6</cp:revision>
  <cp:lastPrinted>2020-06-18T13:08:00Z</cp:lastPrinted>
  <dcterms:created xsi:type="dcterms:W3CDTF">2020-06-09T05:21:00Z</dcterms:created>
  <dcterms:modified xsi:type="dcterms:W3CDTF">2020-06-18T13:08:00Z</dcterms:modified>
</cp:coreProperties>
</file>