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E0D" w:rsidRDefault="00D43E0D"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D43E0D" w:rsidRDefault="00D43E0D"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757DE7" w:rsidRDefault="00E8473B" w:rsidP="00757DE7">
      <w:pPr>
        <w:pStyle w:val="Seminar"/>
      </w:pPr>
      <w:r w:rsidRPr="00757DE7">
        <w:t>Seminar</w:t>
      </w:r>
      <w:r w:rsidR="00FD7888" w:rsidRPr="00757DE7">
        <w:t xml:space="preserve"> „Übungen im Vortragen –</w:t>
      </w:r>
      <w:r w:rsidR="00757DE7" w:rsidRPr="00757DE7">
        <w:t xml:space="preserve"> </w:t>
      </w:r>
      <w:r w:rsidR="00FD7888" w:rsidRPr="00757DE7">
        <w:t>PC“</w:t>
      </w:r>
    </w:p>
    <w:p w:rsidR="00E8473B" w:rsidRDefault="00757DE7" w:rsidP="005633FE">
      <w:pPr>
        <w:pStyle w:val="Titel"/>
      </w:pPr>
      <w:proofErr w:type="spellStart"/>
      <w:r>
        <w:t>Donnan</w:t>
      </w:r>
      <w:proofErr w:type="spellEnd"/>
      <w:r>
        <w:t>-Gleichgewicht</w:t>
      </w:r>
    </w:p>
    <w:p w:rsidR="00E8473B" w:rsidRDefault="00757DE7" w:rsidP="00E8473B">
      <w:pPr>
        <w:pStyle w:val="Autor"/>
      </w:pPr>
      <w:r>
        <w:t xml:space="preserve">Sissy </w:t>
      </w:r>
      <w:proofErr w:type="spellStart"/>
      <w:r>
        <w:t>Löhner</w:t>
      </w:r>
      <w:proofErr w:type="spellEnd"/>
      <w:r>
        <w:t>, WS 10/11</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rsidR="006C46BC" w:rsidRPr="006C46BC" w:rsidRDefault="006C46BC" w:rsidP="006C46BC">
          <w:pPr>
            <w:pStyle w:val="Inhaltsverzeichnisberschrift"/>
          </w:pPr>
          <w:r>
            <w:t>Gliederung</w:t>
          </w:r>
        </w:p>
        <w:p w:rsidR="00F76B3E"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47082671" w:history="1">
            <w:r w:rsidR="00F76B3E" w:rsidRPr="00D32D4F">
              <w:rPr>
                <w:rStyle w:val="Hyperlink"/>
                <w:noProof/>
              </w:rPr>
              <w:t>1</w:t>
            </w:r>
            <w:r w:rsidR="00F76B3E">
              <w:rPr>
                <w:rFonts w:asciiTheme="minorHAnsi" w:eastAsiaTheme="minorEastAsia" w:hAnsiTheme="minorHAnsi"/>
                <w:noProof/>
                <w:sz w:val="22"/>
                <w:lang w:eastAsia="de-DE"/>
              </w:rPr>
              <w:tab/>
            </w:r>
            <w:r w:rsidR="00F76B3E" w:rsidRPr="00D32D4F">
              <w:rPr>
                <w:rStyle w:val="Hyperlink"/>
                <w:noProof/>
              </w:rPr>
              <w:t>Osmose-Regulation</w:t>
            </w:r>
            <w:r w:rsidR="00F76B3E">
              <w:rPr>
                <w:noProof/>
                <w:webHidden/>
              </w:rPr>
              <w:tab/>
            </w:r>
            <w:r w:rsidR="00F76B3E">
              <w:rPr>
                <w:noProof/>
                <w:webHidden/>
              </w:rPr>
              <w:fldChar w:fldCharType="begin"/>
            </w:r>
            <w:r w:rsidR="00F76B3E">
              <w:rPr>
                <w:noProof/>
                <w:webHidden/>
              </w:rPr>
              <w:instrText xml:space="preserve"> PAGEREF _Toc47082671 \h </w:instrText>
            </w:r>
            <w:r w:rsidR="00F76B3E">
              <w:rPr>
                <w:noProof/>
                <w:webHidden/>
              </w:rPr>
            </w:r>
            <w:r w:rsidR="00F76B3E">
              <w:rPr>
                <w:noProof/>
                <w:webHidden/>
              </w:rPr>
              <w:fldChar w:fldCharType="separate"/>
            </w:r>
            <w:r w:rsidR="00833334">
              <w:rPr>
                <w:noProof/>
                <w:webHidden/>
              </w:rPr>
              <w:t>1</w:t>
            </w:r>
            <w:r w:rsidR="00F76B3E">
              <w:rPr>
                <w:noProof/>
                <w:webHidden/>
              </w:rPr>
              <w:fldChar w:fldCharType="end"/>
            </w:r>
          </w:hyperlink>
        </w:p>
        <w:p w:rsidR="00F76B3E" w:rsidRDefault="00833334">
          <w:pPr>
            <w:pStyle w:val="Verzeichnis2"/>
            <w:tabs>
              <w:tab w:val="left" w:pos="880"/>
              <w:tab w:val="right" w:leader="dot" w:pos="9344"/>
            </w:tabs>
            <w:rPr>
              <w:rFonts w:asciiTheme="minorHAnsi" w:eastAsiaTheme="minorEastAsia" w:hAnsiTheme="minorHAnsi"/>
              <w:noProof/>
              <w:sz w:val="22"/>
              <w:lang w:eastAsia="de-DE"/>
            </w:rPr>
          </w:pPr>
          <w:hyperlink w:anchor="_Toc47082672" w:history="1">
            <w:r w:rsidR="00F76B3E" w:rsidRPr="00D32D4F">
              <w:rPr>
                <w:rStyle w:val="Hyperlink"/>
                <w:noProof/>
              </w:rPr>
              <w:t>1.1</w:t>
            </w:r>
            <w:r w:rsidR="00F76B3E">
              <w:rPr>
                <w:rFonts w:asciiTheme="minorHAnsi" w:eastAsiaTheme="minorEastAsia" w:hAnsiTheme="minorHAnsi"/>
                <w:noProof/>
                <w:sz w:val="22"/>
                <w:lang w:eastAsia="de-DE"/>
              </w:rPr>
              <w:tab/>
            </w:r>
            <w:r w:rsidR="00F76B3E" w:rsidRPr="00D32D4F">
              <w:rPr>
                <w:rStyle w:val="Hyperlink"/>
                <w:noProof/>
              </w:rPr>
              <w:t>Pfeffer’sche Zelle</w:t>
            </w:r>
            <w:r w:rsidR="00F76B3E">
              <w:rPr>
                <w:noProof/>
                <w:webHidden/>
              </w:rPr>
              <w:tab/>
            </w:r>
            <w:r w:rsidR="00F76B3E">
              <w:rPr>
                <w:noProof/>
                <w:webHidden/>
              </w:rPr>
              <w:fldChar w:fldCharType="begin"/>
            </w:r>
            <w:r w:rsidR="00F76B3E">
              <w:rPr>
                <w:noProof/>
                <w:webHidden/>
              </w:rPr>
              <w:instrText xml:space="preserve"> PAGEREF _Toc47082672 \h </w:instrText>
            </w:r>
            <w:r w:rsidR="00F76B3E">
              <w:rPr>
                <w:noProof/>
                <w:webHidden/>
              </w:rPr>
            </w:r>
            <w:r w:rsidR="00F76B3E">
              <w:rPr>
                <w:noProof/>
                <w:webHidden/>
              </w:rPr>
              <w:fldChar w:fldCharType="separate"/>
            </w:r>
            <w:r>
              <w:rPr>
                <w:noProof/>
                <w:webHidden/>
              </w:rPr>
              <w:t>1</w:t>
            </w:r>
            <w:r w:rsidR="00F76B3E">
              <w:rPr>
                <w:noProof/>
                <w:webHidden/>
              </w:rPr>
              <w:fldChar w:fldCharType="end"/>
            </w:r>
          </w:hyperlink>
        </w:p>
        <w:p w:rsidR="00F76B3E" w:rsidRDefault="00833334">
          <w:pPr>
            <w:pStyle w:val="Verzeichnis2"/>
            <w:tabs>
              <w:tab w:val="left" w:pos="880"/>
              <w:tab w:val="right" w:leader="dot" w:pos="9344"/>
            </w:tabs>
            <w:rPr>
              <w:rFonts w:asciiTheme="minorHAnsi" w:eastAsiaTheme="minorEastAsia" w:hAnsiTheme="minorHAnsi"/>
              <w:noProof/>
              <w:sz w:val="22"/>
              <w:lang w:eastAsia="de-DE"/>
            </w:rPr>
          </w:pPr>
          <w:hyperlink w:anchor="_Toc47082673" w:history="1">
            <w:r w:rsidR="00F76B3E" w:rsidRPr="00D32D4F">
              <w:rPr>
                <w:rStyle w:val="Hyperlink"/>
                <w:noProof/>
              </w:rPr>
              <w:t>1.2</w:t>
            </w:r>
            <w:r w:rsidR="00F76B3E">
              <w:rPr>
                <w:rFonts w:asciiTheme="minorHAnsi" w:eastAsiaTheme="minorEastAsia" w:hAnsiTheme="minorHAnsi"/>
                <w:noProof/>
                <w:sz w:val="22"/>
                <w:lang w:eastAsia="de-DE"/>
              </w:rPr>
              <w:tab/>
            </w:r>
            <w:r w:rsidR="00F76B3E" w:rsidRPr="00D32D4F">
              <w:rPr>
                <w:rStyle w:val="Hyperlink"/>
                <w:noProof/>
              </w:rPr>
              <w:t>Salz-Konzentration im Blut</w:t>
            </w:r>
            <w:r w:rsidR="00F76B3E">
              <w:rPr>
                <w:noProof/>
                <w:webHidden/>
              </w:rPr>
              <w:tab/>
            </w:r>
            <w:r w:rsidR="00F76B3E">
              <w:rPr>
                <w:noProof/>
                <w:webHidden/>
              </w:rPr>
              <w:fldChar w:fldCharType="begin"/>
            </w:r>
            <w:r w:rsidR="00F76B3E">
              <w:rPr>
                <w:noProof/>
                <w:webHidden/>
              </w:rPr>
              <w:instrText xml:space="preserve"> PAGEREF _Toc47082673 \h </w:instrText>
            </w:r>
            <w:r w:rsidR="00F76B3E">
              <w:rPr>
                <w:noProof/>
                <w:webHidden/>
              </w:rPr>
            </w:r>
            <w:r w:rsidR="00F76B3E">
              <w:rPr>
                <w:noProof/>
                <w:webHidden/>
              </w:rPr>
              <w:fldChar w:fldCharType="separate"/>
            </w:r>
            <w:r>
              <w:rPr>
                <w:noProof/>
                <w:webHidden/>
              </w:rPr>
              <w:t>2</w:t>
            </w:r>
            <w:r w:rsidR="00F76B3E">
              <w:rPr>
                <w:noProof/>
                <w:webHidden/>
              </w:rPr>
              <w:fldChar w:fldCharType="end"/>
            </w:r>
          </w:hyperlink>
        </w:p>
        <w:p w:rsidR="00F76B3E" w:rsidRDefault="00833334">
          <w:pPr>
            <w:pStyle w:val="Verzeichnis1"/>
            <w:tabs>
              <w:tab w:val="left" w:pos="480"/>
              <w:tab w:val="right" w:leader="dot" w:pos="9344"/>
            </w:tabs>
            <w:rPr>
              <w:rFonts w:asciiTheme="minorHAnsi" w:eastAsiaTheme="minorEastAsia" w:hAnsiTheme="minorHAnsi"/>
              <w:noProof/>
              <w:sz w:val="22"/>
              <w:lang w:eastAsia="de-DE"/>
            </w:rPr>
          </w:pPr>
          <w:hyperlink w:anchor="_Toc47082674" w:history="1">
            <w:r w:rsidR="00F76B3E" w:rsidRPr="00D32D4F">
              <w:rPr>
                <w:rStyle w:val="Hyperlink"/>
                <w:noProof/>
              </w:rPr>
              <w:t>2</w:t>
            </w:r>
            <w:r w:rsidR="00F76B3E">
              <w:rPr>
                <w:rFonts w:asciiTheme="minorHAnsi" w:eastAsiaTheme="minorEastAsia" w:hAnsiTheme="minorHAnsi"/>
                <w:noProof/>
                <w:sz w:val="22"/>
                <w:lang w:eastAsia="de-DE"/>
              </w:rPr>
              <w:tab/>
            </w:r>
            <w:r w:rsidR="00F76B3E" w:rsidRPr="00D32D4F">
              <w:rPr>
                <w:rStyle w:val="Hyperlink"/>
                <w:noProof/>
              </w:rPr>
              <w:t>Donnan-Gleichgewicht</w:t>
            </w:r>
            <w:r w:rsidR="00F76B3E">
              <w:rPr>
                <w:noProof/>
                <w:webHidden/>
              </w:rPr>
              <w:tab/>
            </w:r>
            <w:r w:rsidR="00F76B3E">
              <w:rPr>
                <w:noProof/>
                <w:webHidden/>
              </w:rPr>
              <w:fldChar w:fldCharType="begin"/>
            </w:r>
            <w:r w:rsidR="00F76B3E">
              <w:rPr>
                <w:noProof/>
                <w:webHidden/>
              </w:rPr>
              <w:instrText xml:space="preserve"> PAGEREF _Toc47082674 \h </w:instrText>
            </w:r>
            <w:r w:rsidR="00F76B3E">
              <w:rPr>
                <w:noProof/>
                <w:webHidden/>
              </w:rPr>
            </w:r>
            <w:r w:rsidR="00F76B3E">
              <w:rPr>
                <w:noProof/>
                <w:webHidden/>
              </w:rPr>
              <w:fldChar w:fldCharType="separate"/>
            </w:r>
            <w:r>
              <w:rPr>
                <w:noProof/>
                <w:webHidden/>
              </w:rPr>
              <w:t>3</w:t>
            </w:r>
            <w:r w:rsidR="00F76B3E">
              <w:rPr>
                <w:noProof/>
                <w:webHidden/>
              </w:rPr>
              <w:fldChar w:fldCharType="end"/>
            </w:r>
          </w:hyperlink>
        </w:p>
        <w:p w:rsidR="00F76B3E" w:rsidRDefault="00833334">
          <w:pPr>
            <w:pStyle w:val="Verzeichnis2"/>
            <w:tabs>
              <w:tab w:val="left" w:pos="880"/>
              <w:tab w:val="right" w:leader="dot" w:pos="9344"/>
            </w:tabs>
            <w:rPr>
              <w:rFonts w:asciiTheme="minorHAnsi" w:eastAsiaTheme="minorEastAsia" w:hAnsiTheme="minorHAnsi"/>
              <w:noProof/>
              <w:sz w:val="22"/>
              <w:lang w:eastAsia="de-DE"/>
            </w:rPr>
          </w:pPr>
          <w:hyperlink w:anchor="_Toc47082675" w:history="1">
            <w:r w:rsidR="00F76B3E" w:rsidRPr="00D32D4F">
              <w:rPr>
                <w:rStyle w:val="Hyperlink"/>
                <w:noProof/>
              </w:rPr>
              <w:t>2.1</w:t>
            </w:r>
            <w:r w:rsidR="00F76B3E">
              <w:rPr>
                <w:rFonts w:asciiTheme="minorHAnsi" w:eastAsiaTheme="minorEastAsia" w:hAnsiTheme="minorHAnsi"/>
                <w:noProof/>
                <w:sz w:val="22"/>
                <w:lang w:eastAsia="de-DE"/>
              </w:rPr>
              <w:tab/>
            </w:r>
            <w:r w:rsidR="00F76B3E" w:rsidRPr="00D32D4F">
              <w:rPr>
                <w:rStyle w:val="Hyperlink"/>
                <w:noProof/>
              </w:rPr>
              <w:t>Ionen-Konzentration bei permeablen Membranen</w:t>
            </w:r>
            <w:r w:rsidR="00F76B3E">
              <w:rPr>
                <w:noProof/>
                <w:webHidden/>
              </w:rPr>
              <w:tab/>
            </w:r>
            <w:r w:rsidR="00F76B3E">
              <w:rPr>
                <w:noProof/>
                <w:webHidden/>
              </w:rPr>
              <w:fldChar w:fldCharType="begin"/>
            </w:r>
            <w:r w:rsidR="00F76B3E">
              <w:rPr>
                <w:noProof/>
                <w:webHidden/>
              </w:rPr>
              <w:instrText xml:space="preserve"> PAGEREF _Toc47082675 \h </w:instrText>
            </w:r>
            <w:r w:rsidR="00F76B3E">
              <w:rPr>
                <w:noProof/>
                <w:webHidden/>
              </w:rPr>
            </w:r>
            <w:r w:rsidR="00F76B3E">
              <w:rPr>
                <w:noProof/>
                <w:webHidden/>
              </w:rPr>
              <w:fldChar w:fldCharType="separate"/>
            </w:r>
            <w:r>
              <w:rPr>
                <w:noProof/>
                <w:webHidden/>
              </w:rPr>
              <w:t>3</w:t>
            </w:r>
            <w:r w:rsidR="00F76B3E">
              <w:rPr>
                <w:noProof/>
                <w:webHidden/>
              </w:rPr>
              <w:fldChar w:fldCharType="end"/>
            </w:r>
          </w:hyperlink>
        </w:p>
        <w:p w:rsidR="00F76B3E" w:rsidRDefault="00833334">
          <w:pPr>
            <w:pStyle w:val="Verzeichnis2"/>
            <w:tabs>
              <w:tab w:val="left" w:pos="880"/>
              <w:tab w:val="right" w:leader="dot" w:pos="9344"/>
            </w:tabs>
            <w:rPr>
              <w:rFonts w:asciiTheme="minorHAnsi" w:eastAsiaTheme="minorEastAsia" w:hAnsiTheme="minorHAnsi"/>
              <w:noProof/>
              <w:sz w:val="22"/>
              <w:lang w:eastAsia="de-DE"/>
            </w:rPr>
          </w:pPr>
          <w:hyperlink w:anchor="_Toc47082676" w:history="1">
            <w:r w:rsidR="00F76B3E" w:rsidRPr="00D32D4F">
              <w:rPr>
                <w:rStyle w:val="Hyperlink"/>
                <w:noProof/>
              </w:rPr>
              <w:t>2.2</w:t>
            </w:r>
            <w:r w:rsidR="00F76B3E">
              <w:rPr>
                <w:rFonts w:asciiTheme="minorHAnsi" w:eastAsiaTheme="minorEastAsia" w:hAnsiTheme="minorHAnsi"/>
                <w:noProof/>
                <w:sz w:val="22"/>
                <w:lang w:eastAsia="de-DE"/>
              </w:rPr>
              <w:tab/>
            </w:r>
            <w:r w:rsidR="00F76B3E" w:rsidRPr="00D32D4F">
              <w:rPr>
                <w:rStyle w:val="Hyperlink"/>
                <w:noProof/>
              </w:rPr>
              <w:t>Ionen-Konzentration bei semipermeablen Membranen</w:t>
            </w:r>
            <w:r w:rsidR="00F76B3E">
              <w:rPr>
                <w:noProof/>
                <w:webHidden/>
              </w:rPr>
              <w:tab/>
            </w:r>
            <w:r w:rsidR="00F76B3E">
              <w:rPr>
                <w:noProof/>
                <w:webHidden/>
              </w:rPr>
              <w:fldChar w:fldCharType="begin"/>
            </w:r>
            <w:r w:rsidR="00F76B3E">
              <w:rPr>
                <w:noProof/>
                <w:webHidden/>
              </w:rPr>
              <w:instrText xml:space="preserve"> PAGEREF _Toc47082676 \h </w:instrText>
            </w:r>
            <w:r w:rsidR="00F76B3E">
              <w:rPr>
                <w:noProof/>
                <w:webHidden/>
              </w:rPr>
            </w:r>
            <w:r w:rsidR="00F76B3E">
              <w:rPr>
                <w:noProof/>
                <w:webHidden/>
              </w:rPr>
              <w:fldChar w:fldCharType="separate"/>
            </w:r>
            <w:r>
              <w:rPr>
                <w:noProof/>
                <w:webHidden/>
              </w:rPr>
              <w:t>4</w:t>
            </w:r>
            <w:r w:rsidR="00F76B3E">
              <w:rPr>
                <w:noProof/>
                <w:webHidden/>
              </w:rPr>
              <w:fldChar w:fldCharType="end"/>
            </w:r>
          </w:hyperlink>
        </w:p>
        <w:p w:rsidR="006C46BC" w:rsidRDefault="006C46BC">
          <w:r>
            <w:rPr>
              <w:b/>
              <w:bCs/>
            </w:rPr>
            <w:fldChar w:fldCharType="end"/>
          </w:r>
        </w:p>
      </w:sdtContent>
    </w:sdt>
    <w:p w:rsidR="00FD7888" w:rsidRDefault="00FD7888" w:rsidP="00FD7888">
      <w:pPr>
        <w:pStyle w:val="EinstiegAbschluss"/>
      </w:pPr>
      <w:bookmarkStart w:id="0" w:name="_Überschrift_1"/>
      <w:bookmarkEnd w:id="0"/>
      <w:r w:rsidRPr="00C47CC6">
        <w:rPr>
          <w:rStyle w:val="Fett"/>
        </w:rPr>
        <w:t>Einstieg</w:t>
      </w:r>
      <w:r>
        <w:t>:</w:t>
      </w:r>
      <w:r w:rsidR="00C47CC6">
        <w:t xml:space="preserve"> </w:t>
      </w:r>
      <w:r w:rsidR="00757DE7">
        <w:rPr>
          <w:rFonts w:cs="Arial"/>
        </w:rPr>
        <w:t xml:space="preserve">Jedem ist Natriumchlorid als Speisesalz bekannt und in fast jedem Haushalt als Gewürz zu finden. Ein Artikel mit dem Titel: "Kind musste Salzpudding essen und starb" beschrieb, dass ein Kind einen Pudding kochen wollte. Anstelle von Zucker mischte es Salz bei und das Kind starb, nachdem die Mutter es gezwungen hatte, ihren "Fehler" aufzuessen. Ist unser herkömmliches Speisesalz </w:t>
      </w:r>
      <w:r w:rsidR="00833334">
        <w:rPr>
          <w:rFonts w:cs="Arial"/>
        </w:rPr>
        <w:t xml:space="preserve">also </w:t>
      </w:r>
      <w:r w:rsidR="00757DE7">
        <w:rPr>
          <w:rFonts w:cs="Arial"/>
        </w:rPr>
        <w:t>giftig? [</w:t>
      </w:r>
      <w:r w:rsidR="00F76B3E">
        <w:rPr>
          <w:rFonts w:cs="Arial"/>
        </w:rPr>
        <w:fldChar w:fldCharType="begin"/>
      </w:r>
      <w:r w:rsidR="00F76B3E">
        <w:rPr>
          <w:rFonts w:cs="Arial"/>
        </w:rPr>
        <w:instrText xml:space="preserve"> REF _Ref47082772 \r \h </w:instrText>
      </w:r>
      <w:r w:rsidR="00F76B3E">
        <w:rPr>
          <w:rFonts w:cs="Arial"/>
        </w:rPr>
      </w:r>
      <w:r w:rsidR="00F76B3E">
        <w:rPr>
          <w:rFonts w:cs="Arial"/>
        </w:rPr>
        <w:fldChar w:fldCharType="separate"/>
      </w:r>
      <w:r w:rsidR="00833334">
        <w:rPr>
          <w:rFonts w:cs="Arial"/>
        </w:rPr>
        <w:t>1</w:t>
      </w:r>
      <w:r w:rsidR="00F76B3E">
        <w:rPr>
          <w:rFonts w:cs="Arial"/>
        </w:rPr>
        <w:fldChar w:fldCharType="end"/>
      </w:r>
      <w:r w:rsidR="00757DE7">
        <w:rPr>
          <w:rFonts w:cs="Arial"/>
        </w:rPr>
        <w:t>]</w:t>
      </w:r>
    </w:p>
    <w:p w:rsidR="00E8473B" w:rsidRDefault="00757DE7" w:rsidP="008A524D">
      <w:pPr>
        <w:pStyle w:val="berschrift1"/>
      </w:pPr>
      <w:bookmarkStart w:id="1" w:name="_Toc47082671"/>
      <w:r>
        <w:t>Osmose-Regulation</w:t>
      </w:r>
      <w:bookmarkEnd w:id="1"/>
    </w:p>
    <w:p w:rsidR="00757DE7" w:rsidRDefault="00757DE7" w:rsidP="00757DE7">
      <w:r>
        <w:t>Der Mensch nimmt durchschnittlich über die Nahrung 12 bis 20 Gramm Salz (NaCl) täglich zu sich. Die Nieren verarbeiten jedoch nur 5 bis 7 Gramm Kochsalz. Die restlichen 10 bis 5 Gramm verbleiben im Körper, genauer gesagt im Blut. [</w:t>
      </w:r>
      <w:r>
        <w:fldChar w:fldCharType="begin"/>
      </w:r>
      <w:r>
        <w:instrText xml:space="preserve"> REF _Ref47080563 \r \h </w:instrText>
      </w:r>
      <w:r>
        <w:fldChar w:fldCharType="separate"/>
      </w:r>
      <w:r w:rsidR="00833334">
        <w:t>2</w:t>
      </w:r>
      <w:r>
        <w:fldChar w:fldCharType="end"/>
      </w:r>
      <w:r>
        <w:t xml:space="preserve">] Welche Folgen eine zu hohe Salz-Konzentration im Blut haben kann, wird experimentell anhand der </w:t>
      </w:r>
      <w:proofErr w:type="spellStart"/>
      <w:r>
        <w:t>Pfeffer´schen</w:t>
      </w:r>
      <w:proofErr w:type="spellEnd"/>
      <w:r>
        <w:t xml:space="preserve"> Zelle gezeigt.</w:t>
      </w:r>
    </w:p>
    <w:p w:rsidR="00757DE7" w:rsidRDefault="00757DE7" w:rsidP="00757DE7">
      <w:pPr>
        <w:pStyle w:val="berschrift2"/>
      </w:pPr>
      <w:bookmarkStart w:id="2" w:name="_Toc47082672"/>
      <w:proofErr w:type="spellStart"/>
      <w:r>
        <w:t>Pfeffer’sche</w:t>
      </w:r>
      <w:proofErr w:type="spellEnd"/>
      <w:r>
        <w:t xml:space="preserve"> Zelle</w:t>
      </w:r>
      <w:bookmarkEnd w:id="2"/>
    </w:p>
    <w:p w:rsidR="00757DE7" w:rsidRPr="00757DE7" w:rsidRDefault="00757DE7" w:rsidP="00757DE7">
      <w:r w:rsidRPr="00757DE7">
        <w:t xml:space="preserve">In der </w:t>
      </w:r>
      <w:proofErr w:type="spellStart"/>
      <w:r w:rsidRPr="00757DE7">
        <w:t>Pfeffer‘schen</w:t>
      </w:r>
      <w:proofErr w:type="spellEnd"/>
      <w:r w:rsidRPr="00757DE7">
        <w:t xml:space="preserve"> Zelle ist das reine Lösemittel (destilliertes Wasser) durch eine semipermeable Membran von der Zucker-Lösung (Glucose-Lösung) getrennt. [</w:t>
      </w:r>
      <w:r w:rsidRPr="00757DE7">
        <w:fldChar w:fldCharType="begin"/>
      </w:r>
      <w:r w:rsidRPr="00757DE7">
        <w:instrText xml:space="preserve"> REF _Ref47080619 \r \h </w:instrText>
      </w:r>
      <w:r>
        <w:instrText xml:space="preserve"> \* MERGEFORMAT </w:instrText>
      </w:r>
      <w:r w:rsidRPr="00757DE7">
        <w:fldChar w:fldCharType="separate"/>
      </w:r>
      <w:r w:rsidR="00833334">
        <w:t>3</w:t>
      </w:r>
      <w:r w:rsidRPr="00757DE7">
        <w:fldChar w:fldCharType="end"/>
      </w:r>
      <w:r w:rsidRPr="00757DE7">
        <w:t>] An der Öffnung der mit der Zucker-Lösung befüllten Zelle, ist eine Mess-Skala mit Kapillar-Rohr befestigt, um den Anstieg der Lösung ablesen zu können. An der Öffnung der mit dem Lösemittel befüllten Zelle taucht ein Glasrohr in ein Becherglas mit reinem Lösemittel ein. Das Glasrohr muss ebenfalls mit dem Lösemittel gefüllt sein.</w:t>
      </w:r>
    </w:p>
    <w:p w:rsidR="00757DE7" w:rsidRDefault="00757DE7" w:rsidP="00757DE7">
      <w:pPr>
        <w:pStyle w:val="Bilder"/>
      </w:pPr>
      <w:r>
        <w:rPr>
          <w:lang w:eastAsia="de-DE"/>
        </w:rPr>
        <w:lastRenderedPageBreak/>
        <w:drawing>
          <wp:inline distT="0" distB="0" distL="0" distR="0">
            <wp:extent cx="3305496" cy="28800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496" cy="2880000"/>
                    </a:xfrm>
                    <a:prstGeom prst="rect">
                      <a:avLst/>
                    </a:prstGeom>
                    <a:noFill/>
                    <a:ln>
                      <a:noFill/>
                    </a:ln>
                  </pic:spPr>
                </pic:pic>
              </a:graphicData>
            </a:graphic>
          </wp:inline>
        </w:drawing>
      </w:r>
    </w:p>
    <w:p w:rsidR="00757DE7" w:rsidRDefault="00757DE7" w:rsidP="00757DE7">
      <w:pPr>
        <w:pStyle w:val="Beschriftung"/>
      </w:pPr>
      <w:r>
        <w:t xml:space="preserve">Abb. </w:t>
      </w:r>
      <w:fldSimple w:instr=" SEQ Abb. \* ARABIC ">
        <w:r w:rsidR="00833334">
          <w:rPr>
            <w:noProof/>
          </w:rPr>
          <w:t>1</w:t>
        </w:r>
      </w:fldSimple>
      <w:r>
        <w:t xml:space="preserve">: Aufbau der </w:t>
      </w:r>
      <w:proofErr w:type="spellStart"/>
      <w:r>
        <w:t>Pfeffer’schen</w:t>
      </w:r>
      <w:proofErr w:type="spellEnd"/>
      <w:r>
        <w:t xml:space="preserve"> Zelle</w:t>
      </w:r>
    </w:p>
    <w:p w:rsidR="00757DE7" w:rsidRDefault="00757DE7" w:rsidP="00757DE7">
      <w:r w:rsidRPr="00757DE7">
        <w:rPr>
          <w:rStyle w:val="Fett"/>
        </w:rPr>
        <w:t>Experiment</w:t>
      </w:r>
      <w:r>
        <w:t>: Diffusion an einer semipermeablen Membran</w:t>
      </w:r>
    </w:p>
    <w:p w:rsidR="00757DE7" w:rsidRDefault="00757DE7" w:rsidP="00757DE7">
      <w:r w:rsidRPr="00757DE7">
        <w:rPr>
          <w:rStyle w:val="Fett"/>
        </w:rPr>
        <w:t>Material</w:t>
      </w:r>
      <w:r>
        <w:t>:</w:t>
      </w:r>
    </w:p>
    <w:p w:rsidR="00757DE7" w:rsidRDefault="00757DE7" w:rsidP="00757DE7">
      <w:pPr>
        <w:pStyle w:val="Liste1Aufzhlung"/>
      </w:pPr>
      <w:proofErr w:type="spellStart"/>
      <w:r>
        <w:t>Pfeffer’sche</w:t>
      </w:r>
      <w:proofErr w:type="spellEnd"/>
      <w:r>
        <w:t xml:space="preserve"> Zelle</w:t>
      </w:r>
    </w:p>
    <w:p w:rsidR="00757DE7" w:rsidRDefault="00757DE7" w:rsidP="00757DE7">
      <w:r w:rsidRPr="00757DE7">
        <w:rPr>
          <w:rStyle w:val="Fett"/>
        </w:rPr>
        <w:t>Chemikalien</w:t>
      </w:r>
      <w:r>
        <w:t>:</w:t>
      </w:r>
    </w:p>
    <w:p w:rsidR="00F76B3E" w:rsidRDefault="00F76B3E" w:rsidP="00757DE7">
      <w:pPr>
        <w:pStyle w:val="Rot"/>
        <w:numPr>
          <w:ilvl w:val="2"/>
          <w:numId w:val="10"/>
        </w:numPr>
        <w:ind w:left="426" w:hanging="426"/>
        <w:sectPr w:rsidR="00F76B3E" w:rsidSect="00931B30">
          <w:footerReference w:type="default" r:id="rId10"/>
          <w:pgSz w:w="11906" w:h="16838"/>
          <w:pgMar w:top="851" w:right="1134" w:bottom="1134" w:left="1418" w:header="0" w:footer="0" w:gutter="0"/>
          <w:cols w:space="708"/>
          <w:titlePg/>
          <w:docGrid w:linePitch="360"/>
        </w:sectPr>
      </w:pPr>
    </w:p>
    <w:p w:rsidR="00757DE7" w:rsidRPr="00757DE7" w:rsidRDefault="00757DE7" w:rsidP="00757DE7">
      <w:pPr>
        <w:pStyle w:val="Rot"/>
        <w:numPr>
          <w:ilvl w:val="2"/>
          <w:numId w:val="10"/>
        </w:numPr>
        <w:ind w:left="426" w:hanging="426"/>
        <w:rPr>
          <w:rStyle w:val="Liste1AufzhlungZchn"/>
          <w:color w:val="auto"/>
        </w:rPr>
      </w:pPr>
      <w:r>
        <w:t>Glucose</w:t>
      </w:r>
      <w:r w:rsidRPr="00757DE7">
        <w:rPr>
          <w:rStyle w:val="Liste1AufzhlungZchn"/>
          <w:color w:val="auto"/>
        </w:rPr>
        <w:t>-Lösung</w:t>
      </w:r>
    </w:p>
    <w:p w:rsidR="00757DE7" w:rsidRDefault="00757DE7" w:rsidP="00757DE7">
      <w:pPr>
        <w:pStyle w:val="Rot"/>
        <w:numPr>
          <w:ilvl w:val="2"/>
          <w:numId w:val="10"/>
        </w:numPr>
        <w:ind w:left="426" w:hanging="426"/>
      </w:pPr>
      <w:r>
        <w:t>Wasser</w:t>
      </w:r>
    </w:p>
    <w:p w:rsidR="00F76B3E" w:rsidRDefault="00F76B3E" w:rsidP="00757DE7">
      <w:pPr>
        <w:rPr>
          <w:rStyle w:val="Fett"/>
        </w:rPr>
        <w:sectPr w:rsidR="00F76B3E" w:rsidSect="00F76B3E">
          <w:type w:val="continuous"/>
          <w:pgSz w:w="11906" w:h="16838"/>
          <w:pgMar w:top="851" w:right="1134" w:bottom="1134" w:left="1418" w:header="0" w:footer="0" w:gutter="0"/>
          <w:cols w:num="2" w:space="708"/>
          <w:titlePg/>
          <w:docGrid w:linePitch="360"/>
        </w:sectPr>
      </w:pPr>
    </w:p>
    <w:p w:rsidR="00757DE7" w:rsidRDefault="00757DE7" w:rsidP="00757DE7">
      <w:pPr>
        <w:rPr>
          <w:rFonts w:cs="Arial"/>
        </w:rPr>
      </w:pPr>
      <w:r w:rsidRPr="00757DE7">
        <w:rPr>
          <w:rStyle w:val="Fett"/>
        </w:rPr>
        <w:t>Durchführung</w:t>
      </w:r>
      <w:r>
        <w:t xml:space="preserve">: </w:t>
      </w:r>
      <w:r>
        <w:rPr>
          <w:rFonts w:cs="Arial"/>
        </w:rPr>
        <w:t>Die eine Zelle der Apparatur wird vollständig mit Wasser (Lösemittel) gefüllt. An der Öffnung der Zelle wird ein Glasrohr eingesteckt, welches man in ein mit Wasser gefülltes Becherglas taucht. Es muss darauf geachtet werden, dass sich keine Luft in der Zelle und im Glasrohr befindet. In die andere Zelle wird die Glucose</w:t>
      </w:r>
      <w:r w:rsidR="00FB297C">
        <w:rPr>
          <w:rFonts w:cs="Arial"/>
        </w:rPr>
        <w:t>-L</w:t>
      </w:r>
      <w:r>
        <w:rPr>
          <w:rFonts w:cs="Arial"/>
        </w:rPr>
        <w:t>ösung gefüllt. An der Öffnung der Zelle wird ein Kapillar</w:t>
      </w:r>
      <w:r w:rsidR="00FB297C">
        <w:rPr>
          <w:rFonts w:cs="Arial"/>
        </w:rPr>
        <w:t>-R</w:t>
      </w:r>
      <w:r>
        <w:rPr>
          <w:rFonts w:cs="Arial"/>
        </w:rPr>
        <w:t>ohr mit einer Skala befestigt. Der Flüssigkeitsstand im Kapillar</w:t>
      </w:r>
      <w:r w:rsidR="00FB297C">
        <w:rPr>
          <w:rFonts w:cs="Arial"/>
        </w:rPr>
        <w:t>-R</w:t>
      </w:r>
      <w:r>
        <w:rPr>
          <w:rFonts w:cs="Arial"/>
        </w:rPr>
        <w:t>ohr wird zu Beginn des Experimentes und nach 10</w:t>
      </w:r>
      <w:r w:rsidR="00FB297C">
        <w:rPr>
          <w:rFonts w:cs="Arial"/>
        </w:rPr>
        <w:t> </w:t>
      </w:r>
      <w:r>
        <w:rPr>
          <w:rFonts w:cs="Arial"/>
        </w:rPr>
        <w:t>Minuten markiert.</w:t>
      </w:r>
    </w:p>
    <w:p w:rsidR="00FB297C" w:rsidRDefault="00FB297C" w:rsidP="00757DE7">
      <w:pPr>
        <w:rPr>
          <w:rFonts w:cs="Arial"/>
        </w:rPr>
      </w:pPr>
      <w:r w:rsidRPr="00FB297C">
        <w:rPr>
          <w:rStyle w:val="Fett"/>
        </w:rPr>
        <w:t>Beobachtung</w:t>
      </w:r>
      <w:r>
        <w:rPr>
          <w:rFonts w:cs="Arial"/>
        </w:rPr>
        <w:t>: Der Flüssigkeitsstand im Kapillar-Rohr ist angestiegen.</w:t>
      </w:r>
    </w:p>
    <w:p w:rsidR="00FB297C" w:rsidRDefault="00FB297C" w:rsidP="00757DE7">
      <w:pPr>
        <w:rPr>
          <w:rFonts w:cs="Arial"/>
        </w:rPr>
      </w:pPr>
      <w:r w:rsidRPr="00FB297C">
        <w:rPr>
          <w:rStyle w:val="Fett"/>
        </w:rPr>
        <w:t>Interpretation</w:t>
      </w:r>
      <w:r>
        <w:rPr>
          <w:rFonts w:cs="Arial"/>
        </w:rPr>
        <w:t>: Die Wasser-Moleküle diffundieren aus dem reinen Lösemittel durch die semipermeable Membran in die Glucose-Lösung, da sich in beiden Zellen unterschiedliche Konzentrationen befinden. Die Glucose-Lösung hat eine höhere Konzentration als die des Lösemittels Wasser. Das System ist nun bestrebt einen Konzentrationsausgleich durchzuführen. Da die Glucose-Moleküle impermeabel (nicht diffusionsfähig) sind, können sie nicht in die mit reinem Wasser gefüllten Zelle diffundieren. Somit diffundieren nur die Wasser-Moleküle in die mit der Glucose-Lösung gefüllten Zelle. Dabei verdünnt sich die Konzentration dieser Zelle. Die Diffusion findet solange statt, bis der vom Kapillar-Rohr ausgeübte Druck dem des osmotischen Druckes der Lösung entspricht. Durch die Skala ist nun durch die Differenz der Höhe der Flüssigkeitssäule der osmotische Druck bestimmbar. [</w:t>
      </w:r>
      <w:r>
        <w:rPr>
          <w:rFonts w:cs="Arial"/>
        </w:rPr>
        <w:fldChar w:fldCharType="begin"/>
      </w:r>
      <w:r>
        <w:rPr>
          <w:rFonts w:cs="Arial"/>
        </w:rPr>
        <w:instrText xml:space="preserve"> REF _Ref47080619 \r \h </w:instrText>
      </w:r>
      <w:r>
        <w:rPr>
          <w:rFonts w:cs="Arial"/>
        </w:rPr>
      </w:r>
      <w:r>
        <w:rPr>
          <w:rFonts w:cs="Arial"/>
        </w:rPr>
        <w:fldChar w:fldCharType="separate"/>
      </w:r>
      <w:r w:rsidR="00833334">
        <w:rPr>
          <w:rFonts w:cs="Arial"/>
        </w:rPr>
        <w:t>3</w:t>
      </w:r>
      <w:r>
        <w:rPr>
          <w:rFonts w:cs="Arial"/>
        </w:rPr>
        <w:fldChar w:fldCharType="end"/>
      </w:r>
      <w:r>
        <w:rPr>
          <w:rFonts w:cs="Arial"/>
        </w:rPr>
        <w:t xml:space="preserve">, </w:t>
      </w:r>
      <w:r>
        <w:rPr>
          <w:rFonts w:cs="Arial"/>
        </w:rPr>
        <w:fldChar w:fldCharType="begin"/>
      </w:r>
      <w:r>
        <w:rPr>
          <w:rFonts w:cs="Arial"/>
        </w:rPr>
        <w:instrText xml:space="preserve"> REF _Ref47080948 \r \h </w:instrText>
      </w:r>
      <w:r>
        <w:rPr>
          <w:rFonts w:cs="Arial"/>
        </w:rPr>
      </w:r>
      <w:r>
        <w:rPr>
          <w:rFonts w:cs="Arial"/>
        </w:rPr>
        <w:fldChar w:fldCharType="separate"/>
      </w:r>
      <w:r w:rsidR="00833334">
        <w:rPr>
          <w:rFonts w:cs="Arial"/>
        </w:rPr>
        <w:t>8</w:t>
      </w:r>
      <w:r>
        <w:rPr>
          <w:rFonts w:cs="Arial"/>
        </w:rPr>
        <w:fldChar w:fldCharType="end"/>
      </w:r>
      <w:r>
        <w:rPr>
          <w:rFonts w:cs="Arial"/>
        </w:rPr>
        <w:t>]</w:t>
      </w:r>
    </w:p>
    <w:p w:rsidR="00FB297C" w:rsidRDefault="00FB297C" w:rsidP="00FB297C">
      <w:pPr>
        <w:pStyle w:val="berschrift2"/>
      </w:pPr>
      <w:bookmarkStart w:id="3" w:name="_Toc47082673"/>
      <w:r>
        <w:t>Salz-Konzentration im Blut</w:t>
      </w:r>
      <w:bookmarkEnd w:id="3"/>
    </w:p>
    <w:p w:rsidR="00FB297C" w:rsidRPr="00FB297C" w:rsidRDefault="00FB297C" w:rsidP="00FB297C">
      <w:r w:rsidRPr="00FB297C">
        <w:t>Für jedes Gramm NaCl benötigt der Körper Zell</w:t>
      </w:r>
      <w:r>
        <w:t>-W</w:t>
      </w:r>
      <w:r w:rsidRPr="00FB297C">
        <w:t>asser, um es zu binden. Bei einem hohen Verzehr von Kochsalz befindet sich außerhalb der Blut</w:t>
      </w:r>
      <w:r>
        <w:t>-Z</w:t>
      </w:r>
      <w:r w:rsidRPr="00FB297C">
        <w:t>ellen eine hohe Konzentration an NaCl. Innerhalb der Blut</w:t>
      </w:r>
      <w:r>
        <w:t>-Z</w:t>
      </w:r>
      <w:r w:rsidRPr="00FB297C">
        <w:t>ellen befindet sich eine geringe Konzentration an NaCl. Aufgrund des Konzentrationsunterschiedes diffundiert das Zell</w:t>
      </w:r>
      <w:r>
        <w:t>-W</w:t>
      </w:r>
      <w:r w:rsidRPr="00FB297C">
        <w:t>asser aus den Blut</w:t>
      </w:r>
      <w:r>
        <w:t>-Z</w:t>
      </w:r>
      <w:r w:rsidRPr="00FB297C">
        <w:t>ellen heraus. Dies hat zur Folge</w:t>
      </w:r>
      <w:r>
        <w:t>,</w:t>
      </w:r>
      <w:r w:rsidRPr="00FB297C">
        <w:t xml:space="preserve"> dass die Zellen schrumpfen und absterben. Der Mensch empfindet ein Durst</w:t>
      </w:r>
      <w:r>
        <w:t>-G</w:t>
      </w:r>
      <w:r w:rsidRPr="00FB297C">
        <w:t xml:space="preserve">efühl. </w:t>
      </w:r>
    </w:p>
    <w:p w:rsidR="00FB297C" w:rsidRDefault="00FB297C" w:rsidP="00FB297C">
      <w:r w:rsidRPr="00FB297C">
        <w:lastRenderedPageBreak/>
        <w:t>Jedoch sollte man auf den Salz</w:t>
      </w:r>
      <w:r>
        <w:t>-V</w:t>
      </w:r>
      <w:r w:rsidRPr="00FB297C">
        <w:t>erzehr nicht verzichten, da dies ebenfalls dem Körper schadet. Bei einem geringen Verzehr von NaCl befindet sich im Extra</w:t>
      </w:r>
      <w:r>
        <w:t>-Z</w:t>
      </w:r>
      <w:r w:rsidRPr="00FB297C">
        <w:t xml:space="preserve">ellularraum eine geringere </w:t>
      </w:r>
      <w:r w:rsidR="00F76B3E" w:rsidRPr="00FB297C">
        <w:t>Konzentration</w:t>
      </w:r>
      <w:r w:rsidRPr="00FB297C">
        <w:t xml:space="preserve"> als im Intra</w:t>
      </w:r>
      <w:r>
        <w:t>-Z</w:t>
      </w:r>
      <w:r w:rsidRPr="00FB297C">
        <w:t>ellularraum. Dies hat zur Folge, dass aufgrund des Konzentrationsunterschiedes Wasser</w:t>
      </w:r>
      <w:r>
        <w:t>-M</w:t>
      </w:r>
      <w:r w:rsidRPr="00FB297C">
        <w:t>oleküle in die Blut</w:t>
      </w:r>
      <w:r>
        <w:t>-Z</w:t>
      </w:r>
      <w:r w:rsidRPr="00FB297C">
        <w:t>ellen diffundieren und die Zelle aufquillt und platzen kann. Der Salz</w:t>
      </w:r>
      <w:r>
        <w:t>-G</w:t>
      </w:r>
      <w:r w:rsidRPr="00FB297C">
        <w:t>ehalt im Körper muss in einer bestimmten Konzentration vorliegen, damit kein Konzentrationsgradient entsteht. [</w:t>
      </w:r>
      <w:r>
        <w:fldChar w:fldCharType="begin"/>
      </w:r>
      <w:r>
        <w:instrText xml:space="preserve"> REF _Ref47081064 \r \h </w:instrText>
      </w:r>
      <w:r>
        <w:fldChar w:fldCharType="separate"/>
      </w:r>
      <w:r w:rsidR="00833334">
        <w:t>5</w:t>
      </w:r>
      <w:r>
        <w:fldChar w:fldCharType="end"/>
      </w:r>
      <w:r>
        <w:t xml:space="preserve">, </w:t>
      </w:r>
      <w:r>
        <w:fldChar w:fldCharType="begin"/>
      </w:r>
      <w:r>
        <w:instrText xml:space="preserve"> REF _Ref47081076 \r \h </w:instrText>
      </w:r>
      <w:r>
        <w:fldChar w:fldCharType="separate"/>
      </w:r>
      <w:r w:rsidR="00833334">
        <w:t>10</w:t>
      </w:r>
      <w:r>
        <w:fldChar w:fldCharType="end"/>
      </w:r>
      <w:r w:rsidRPr="00FB297C">
        <w:t>]</w:t>
      </w:r>
    </w:p>
    <w:p w:rsidR="00FB297C" w:rsidRDefault="00454953" w:rsidP="00454953">
      <w:pPr>
        <w:pStyle w:val="Bilder"/>
      </w:pPr>
      <w:r>
        <w:rPr>
          <w:lang w:eastAsia="de-DE"/>
        </w:rPr>
        <w:drawing>
          <wp:inline distT="0" distB="0" distL="0" distR="0" wp14:anchorId="25CB9EEB">
            <wp:extent cx="4070021" cy="288000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0021" cy="2880000"/>
                    </a:xfrm>
                    <a:prstGeom prst="rect">
                      <a:avLst/>
                    </a:prstGeom>
                    <a:noFill/>
                  </pic:spPr>
                </pic:pic>
              </a:graphicData>
            </a:graphic>
          </wp:inline>
        </w:drawing>
      </w:r>
    </w:p>
    <w:p w:rsidR="00454953" w:rsidRDefault="00454953" w:rsidP="00454953">
      <w:pPr>
        <w:pStyle w:val="Beschriftung"/>
      </w:pPr>
      <w:r>
        <w:t xml:space="preserve">Abb. </w:t>
      </w:r>
      <w:fldSimple w:instr=" SEQ Abb. \* ARABIC ">
        <w:r w:rsidR="00833334">
          <w:rPr>
            <w:noProof/>
          </w:rPr>
          <w:t>2</w:t>
        </w:r>
      </w:fldSimple>
      <w:r>
        <w:t>: Zellen in Umgebung unterschiedlicher Salz-Konzentrationen</w:t>
      </w:r>
    </w:p>
    <w:p w:rsidR="00454953" w:rsidRDefault="00D43E0D" w:rsidP="00D43E0D">
      <w:pPr>
        <w:pStyle w:val="berschrift1"/>
      </w:pPr>
      <w:bookmarkStart w:id="4" w:name="_Toc47082674"/>
      <w:proofErr w:type="spellStart"/>
      <w:r>
        <w:t>Donnan</w:t>
      </w:r>
      <w:proofErr w:type="spellEnd"/>
      <w:r>
        <w:t>-Gleichgewicht</w:t>
      </w:r>
      <w:bookmarkEnd w:id="4"/>
    </w:p>
    <w:p w:rsidR="00D43E0D" w:rsidRDefault="00D43E0D" w:rsidP="00D43E0D">
      <w:pPr>
        <w:pStyle w:val="berschrift2"/>
      </w:pPr>
      <w:bookmarkStart w:id="5" w:name="_Toc47082675"/>
      <w:r>
        <w:t>Ionen-Konzentration bei permeablen Membranen</w:t>
      </w:r>
      <w:bookmarkEnd w:id="5"/>
    </w:p>
    <w:p w:rsidR="00D43E0D" w:rsidRPr="00D43E0D" w:rsidRDefault="00D43E0D" w:rsidP="00D43E0D">
      <w:r w:rsidRPr="00D43E0D">
        <w:t>Nun wird die Ionen</w:t>
      </w:r>
      <w:r>
        <w:t>-K</w:t>
      </w:r>
      <w:r w:rsidRPr="00D43E0D">
        <w:t>onzentration nach Lösen von Natriumchlorid im Intra- und Extra</w:t>
      </w:r>
      <w:r>
        <w:t>-</w:t>
      </w:r>
      <w:proofErr w:type="spellStart"/>
      <w:r>
        <w:t>Z</w:t>
      </w:r>
      <w:r w:rsidRPr="00D43E0D">
        <w:t>ellulärraum</w:t>
      </w:r>
      <w:proofErr w:type="spellEnd"/>
      <w:r w:rsidRPr="00D43E0D">
        <w:t xml:space="preserve"> beim Ablauf der Diffusion genau betrachtet: </w:t>
      </w:r>
    </w:p>
    <w:p w:rsidR="00D43E0D" w:rsidRDefault="00D43E0D" w:rsidP="00D43E0D">
      <w:r w:rsidRPr="00D43E0D">
        <w:t>Bei einer Membran, bei der alle Moleküle und Ionen diffusionsfähig sind und ein unterschiedliches chemisches Potential auf beiden Seiten der Membran vorliegt, diffundieren die Ionen und Moleküle solange, bis sich auf beiden Seiten die gleiche Konzentration eingestellt hat und Elektro</w:t>
      </w:r>
      <w:r>
        <w:t>-N</w:t>
      </w:r>
      <w:r w:rsidRPr="00D43E0D">
        <w:t>eutralität herrscht. Im Intra</w:t>
      </w:r>
      <w:r>
        <w:t>-</w:t>
      </w:r>
      <w:proofErr w:type="spellStart"/>
      <w:r>
        <w:t>Z</w:t>
      </w:r>
      <w:r w:rsidRPr="00D43E0D">
        <w:t>ellulärraum</w:t>
      </w:r>
      <w:proofErr w:type="spellEnd"/>
      <w:r w:rsidRPr="00D43E0D">
        <w:t xml:space="preserve"> befindet sich die gleiche Konzentration an Natrium-Kationen und Chlorid-Anionen, wie im Extra</w:t>
      </w:r>
      <w:r>
        <w:t>-</w:t>
      </w:r>
      <w:proofErr w:type="spellStart"/>
      <w:r>
        <w:t>Z</w:t>
      </w:r>
      <w:r w:rsidRPr="00D43E0D">
        <w:t>ellulärraum</w:t>
      </w:r>
      <w:proofErr w:type="spellEnd"/>
      <w:r w:rsidRPr="00D43E0D">
        <w:t>. Das elektrochemische Potential ist jetzt gleich 0. [</w:t>
      </w:r>
      <w:r>
        <w:fldChar w:fldCharType="begin"/>
      </w:r>
      <w:r>
        <w:instrText xml:space="preserve"> REF _Ref47081064 \r \h </w:instrText>
      </w:r>
      <w:r>
        <w:fldChar w:fldCharType="separate"/>
      </w:r>
      <w:r w:rsidR="00833334">
        <w:t>5</w:t>
      </w:r>
      <w:r>
        <w:fldChar w:fldCharType="end"/>
      </w:r>
      <w:r>
        <w:t xml:space="preserve">, </w:t>
      </w:r>
      <w:r>
        <w:fldChar w:fldCharType="begin"/>
      </w:r>
      <w:r>
        <w:instrText xml:space="preserve"> REF _Ref47081594 \r \h </w:instrText>
      </w:r>
      <w:r>
        <w:fldChar w:fldCharType="separate"/>
      </w:r>
      <w:r w:rsidR="00833334">
        <w:t>7</w:t>
      </w:r>
      <w:r>
        <w:fldChar w:fldCharType="end"/>
      </w:r>
      <w:r w:rsidRPr="00D43E0D">
        <w:t>]</w:t>
      </w:r>
    </w:p>
    <w:p w:rsidR="00D43E0D" w:rsidRPr="00D43E0D" w:rsidRDefault="00D43E0D" w:rsidP="00D43E0D">
      <w:pPr>
        <w:pStyle w:val="Formeln"/>
      </w:pPr>
      <m:oMathPara>
        <m:oMath>
          <m:r>
            <m:rPr>
              <m:nor/>
            </m:rPr>
            <m:t>c</m:t>
          </m:r>
          <m:sSub>
            <m:sSubPr>
              <m:ctrlPr>
                <w:rPr>
                  <w:rFonts w:ascii="Cambria Math" w:hAnsi="Cambria Math"/>
                </w:rPr>
              </m:ctrlPr>
            </m:sSubPr>
            <m:e>
              <m:d>
                <m:dPr>
                  <m:ctrlPr>
                    <w:rPr>
                      <w:rFonts w:ascii="Cambria Math" w:hAnsi="Cambria Math"/>
                    </w:rPr>
                  </m:ctrlPr>
                </m:dPr>
                <m:e>
                  <m:sSup>
                    <m:sSupPr>
                      <m:ctrlPr>
                        <w:rPr>
                          <w:rFonts w:ascii="Cambria Math" w:hAnsi="Cambria Math"/>
                        </w:rPr>
                      </m:ctrlPr>
                    </m:sSupPr>
                    <m:e>
                      <m:r>
                        <m:rPr>
                          <m:nor/>
                        </m:rPr>
                        <m:t>Na</m:t>
                      </m:r>
                    </m:e>
                    <m:sup>
                      <m:r>
                        <m:rPr>
                          <m:nor/>
                        </m:rPr>
                        <m:t>+</m:t>
                      </m:r>
                    </m:sup>
                  </m:sSup>
                </m:e>
              </m:d>
            </m:e>
            <m:sub>
              <m:r>
                <m:rPr>
                  <m:nor/>
                </m:rPr>
                <m:t>i</m:t>
              </m:r>
            </m:sub>
          </m:sSub>
          <m:r>
            <m:rPr>
              <m:nor/>
            </m:rPr>
            <m:t xml:space="preserve"> * c</m:t>
          </m:r>
          <m:sSub>
            <m:sSubPr>
              <m:ctrlPr>
                <w:rPr>
                  <w:rFonts w:ascii="Cambria Math" w:hAnsi="Cambria Math"/>
                </w:rPr>
              </m:ctrlPr>
            </m:sSubPr>
            <m:e>
              <m:d>
                <m:dPr>
                  <m:ctrlPr>
                    <w:rPr>
                      <w:rFonts w:ascii="Cambria Math" w:hAnsi="Cambria Math"/>
                    </w:rPr>
                  </m:ctrlPr>
                </m:dPr>
                <m:e>
                  <m:sSup>
                    <m:sSupPr>
                      <m:ctrlPr>
                        <w:rPr>
                          <w:rFonts w:ascii="Cambria Math" w:hAnsi="Cambria Math"/>
                        </w:rPr>
                      </m:ctrlPr>
                    </m:sSupPr>
                    <m:e>
                      <m:r>
                        <m:rPr>
                          <m:nor/>
                        </m:rPr>
                        <m:t>Cl</m:t>
                      </m:r>
                    </m:e>
                    <m:sup>
                      <m:r>
                        <m:rPr>
                          <m:nor/>
                        </m:rPr>
                        <m:t>-</m:t>
                      </m:r>
                    </m:sup>
                  </m:sSup>
                </m:e>
              </m:d>
            </m:e>
            <m:sub>
              <m:r>
                <m:rPr>
                  <m:nor/>
                </m:rPr>
                <m:t>i</m:t>
              </m:r>
            </m:sub>
          </m:sSub>
          <m:r>
            <m:rPr>
              <m:nor/>
            </m:rPr>
            <m:t xml:space="preserve"> = c</m:t>
          </m:r>
          <m:sSub>
            <m:sSubPr>
              <m:ctrlPr>
                <w:rPr>
                  <w:rFonts w:ascii="Cambria Math" w:hAnsi="Cambria Math"/>
                </w:rPr>
              </m:ctrlPr>
            </m:sSubPr>
            <m:e>
              <m:d>
                <m:dPr>
                  <m:ctrlPr>
                    <w:rPr>
                      <w:rFonts w:ascii="Cambria Math" w:hAnsi="Cambria Math"/>
                    </w:rPr>
                  </m:ctrlPr>
                </m:dPr>
                <m:e>
                  <m:sSup>
                    <m:sSupPr>
                      <m:ctrlPr>
                        <w:rPr>
                          <w:rFonts w:ascii="Cambria Math" w:hAnsi="Cambria Math"/>
                        </w:rPr>
                      </m:ctrlPr>
                    </m:sSupPr>
                    <m:e>
                      <m:r>
                        <m:rPr>
                          <m:nor/>
                        </m:rPr>
                        <m:t>Na</m:t>
                      </m:r>
                    </m:e>
                    <m:sup>
                      <m:r>
                        <m:rPr>
                          <m:nor/>
                        </m:rPr>
                        <m:t>+</m:t>
                      </m:r>
                    </m:sup>
                  </m:sSup>
                </m:e>
              </m:d>
            </m:e>
            <m:sub>
              <m:r>
                <m:rPr>
                  <m:nor/>
                </m:rPr>
                <m:t>a</m:t>
              </m:r>
            </m:sub>
          </m:sSub>
          <m:r>
            <m:rPr>
              <m:nor/>
            </m:rPr>
            <m:t xml:space="preserve"> * c</m:t>
          </m:r>
          <m:sSub>
            <m:sSubPr>
              <m:ctrlPr>
                <w:rPr>
                  <w:rFonts w:ascii="Cambria Math" w:hAnsi="Cambria Math"/>
                </w:rPr>
              </m:ctrlPr>
            </m:sSubPr>
            <m:e>
              <m:d>
                <m:dPr>
                  <m:ctrlPr>
                    <w:rPr>
                      <w:rFonts w:ascii="Cambria Math" w:hAnsi="Cambria Math"/>
                    </w:rPr>
                  </m:ctrlPr>
                </m:dPr>
                <m:e>
                  <m:sSup>
                    <m:sSupPr>
                      <m:ctrlPr>
                        <w:rPr>
                          <w:rFonts w:ascii="Cambria Math" w:hAnsi="Cambria Math"/>
                        </w:rPr>
                      </m:ctrlPr>
                    </m:sSupPr>
                    <m:e>
                      <m:r>
                        <m:rPr>
                          <m:nor/>
                        </m:rPr>
                        <m:t>Cl</m:t>
                      </m:r>
                    </m:e>
                    <m:sup>
                      <m:r>
                        <m:rPr>
                          <m:nor/>
                        </m:rPr>
                        <m:t>-</m:t>
                      </m:r>
                    </m:sup>
                  </m:sSup>
                </m:e>
              </m:d>
            </m:e>
            <m:sub>
              <m:r>
                <m:rPr>
                  <m:nor/>
                </m:rPr>
                <m:t>a</m:t>
              </m:r>
            </m:sub>
          </m:sSub>
        </m:oMath>
      </m:oMathPara>
    </w:p>
    <w:p w:rsidR="00D43E0D" w:rsidRDefault="00D43E0D" w:rsidP="00D43E0D">
      <w:pPr>
        <w:pStyle w:val="Bilder"/>
      </w:pPr>
      <w:r>
        <w:rPr>
          <w:lang w:eastAsia="de-DE"/>
        </w:rPr>
        <w:lastRenderedPageBreak/>
        <w:drawing>
          <wp:inline distT="0" distB="0" distL="0" distR="0" wp14:anchorId="089507BC">
            <wp:extent cx="4811844" cy="2880000"/>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1844" cy="2880000"/>
                    </a:xfrm>
                    <a:prstGeom prst="rect">
                      <a:avLst/>
                    </a:prstGeom>
                    <a:noFill/>
                  </pic:spPr>
                </pic:pic>
              </a:graphicData>
            </a:graphic>
          </wp:inline>
        </w:drawing>
      </w:r>
    </w:p>
    <w:p w:rsidR="00D43E0D" w:rsidRPr="00D43E0D" w:rsidRDefault="00D43E0D" w:rsidP="00D43E0D">
      <w:pPr>
        <w:pStyle w:val="Beschriftung"/>
        <w:rPr>
          <w:vertAlign w:val="superscript"/>
        </w:rPr>
      </w:pPr>
      <w:r>
        <w:t xml:space="preserve">Abb. </w:t>
      </w:r>
      <w:fldSimple w:instr=" SEQ Abb. \* ARABIC ">
        <w:r w:rsidR="00833334">
          <w:rPr>
            <w:noProof/>
          </w:rPr>
          <w:t>3</w:t>
        </w:r>
      </w:fldSimple>
      <w:r>
        <w:t>: Ionen-Konzentration im Intra- und Extra-</w:t>
      </w:r>
      <w:proofErr w:type="spellStart"/>
      <w:r>
        <w:t>Zellulärraum</w:t>
      </w:r>
      <w:proofErr w:type="spellEnd"/>
      <w:r>
        <w:t xml:space="preserve"> bei permeabler Membran [nach </w:t>
      </w:r>
      <w:r>
        <w:fldChar w:fldCharType="begin"/>
      </w:r>
      <w:r>
        <w:instrText xml:space="preserve"> REF _Ref47081064 \r \h </w:instrText>
      </w:r>
      <w:r>
        <w:fldChar w:fldCharType="separate"/>
      </w:r>
      <w:r w:rsidR="00833334">
        <w:t>5</w:t>
      </w:r>
      <w:r>
        <w:fldChar w:fldCharType="end"/>
      </w:r>
      <w:r>
        <w:t>]</w:t>
      </w:r>
      <w:r>
        <w:br/>
        <w:t>rot: Na</w:t>
      </w:r>
      <w:r>
        <w:rPr>
          <w:vertAlign w:val="superscript"/>
        </w:rPr>
        <w:t>+</w:t>
      </w:r>
      <w:r>
        <w:t>; grün: Cl</w:t>
      </w:r>
      <w:r>
        <w:rPr>
          <w:vertAlign w:val="superscript"/>
        </w:rPr>
        <w:t>-</w:t>
      </w:r>
    </w:p>
    <w:p w:rsidR="00D43E0D" w:rsidRDefault="00D43E0D" w:rsidP="00D43E0D">
      <w:pPr>
        <w:pStyle w:val="berschrift2"/>
      </w:pPr>
      <w:bookmarkStart w:id="6" w:name="_Toc47082676"/>
      <w:r>
        <w:t>Ionen-Konzentration bei semipermeablen Membranen</w:t>
      </w:r>
      <w:bookmarkEnd w:id="6"/>
    </w:p>
    <w:p w:rsidR="00D43E0D" w:rsidRPr="00D43E0D" w:rsidRDefault="00D43E0D" w:rsidP="00D43E0D">
      <w:r>
        <w:t xml:space="preserve">In der Realität beinhalten Zellen jedoch Moleküle, die nicht durch die Membran diffundieren können, da eine semipermeable Membran vorliegt. Solche impermeablen Makromoleküle sind beispielsweise Proteine, die in diesem Beispiel einen überwiegend negativen Ladungsschwerpunkt besitzen. Um die chemische Potentiale auszugleichen und Elektro-Neutralität zu schaffen, müssen sich nun die Ionen neu Umverteilen. Es stellt sich ein neues Gleichgewicht ein – das </w:t>
      </w:r>
      <w:proofErr w:type="spellStart"/>
      <w:r>
        <w:rPr>
          <w:b/>
          <w:bCs/>
        </w:rPr>
        <w:t>Donnan</w:t>
      </w:r>
      <w:proofErr w:type="spellEnd"/>
      <w:r>
        <w:rPr>
          <w:b/>
          <w:bCs/>
        </w:rPr>
        <w:t>-Gleichgewicht</w:t>
      </w:r>
      <w:r>
        <w:t>.</w:t>
      </w:r>
    </w:p>
    <w:p w:rsidR="00FB297C" w:rsidRDefault="00D43E0D" w:rsidP="00D43E0D">
      <w:pPr>
        <w:pStyle w:val="Bilder"/>
      </w:pPr>
      <w:r>
        <w:rPr>
          <w:lang w:eastAsia="de-DE"/>
        </w:rPr>
        <w:drawing>
          <wp:inline distT="0" distB="0" distL="0" distR="0" wp14:anchorId="6130D53D">
            <wp:extent cx="4523956" cy="288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3956" cy="2880000"/>
                    </a:xfrm>
                    <a:prstGeom prst="rect">
                      <a:avLst/>
                    </a:prstGeom>
                    <a:noFill/>
                  </pic:spPr>
                </pic:pic>
              </a:graphicData>
            </a:graphic>
          </wp:inline>
        </w:drawing>
      </w:r>
    </w:p>
    <w:p w:rsidR="00461D71" w:rsidRDefault="00D43E0D" w:rsidP="00461D71">
      <w:pPr>
        <w:pStyle w:val="Beschriftung"/>
      </w:pPr>
      <w:r>
        <w:t xml:space="preserve">Abb. </w:t>
      </w:r>
      <w:fldSimple w:instr=" SEQ Abb. \* ARABIC ">
        <w:r w:rsidR="00833334">
          <w:rPr>
            <w:noProof/>
          </w:rPr>
          <w:t>4</w:t>
        </w:r>
      </w:fldSimple>
      <w:r>
        <w:t>: Ionen-Konzentration im Intra- und Extra-</w:t>
      </w:r>
      <w:proofErr w:type="spellStart"/>
      <w:r>
        <w:t>Zellulärraum</w:t>
      </w:r>
      <w:proofErr w:type="spellEnd"/>
      <w:r>
        <w:t xml:space="preserve"> bei </w:t>
      </w:r>
      <w:r w:rsidR="00461D71">
        <w:t xml:space="preserve">einer </w:t>
      </w:r>
      <w:r>
        <w:t>semipermeable</w:t>
      </w:r>
      <w:r w:rsidR="00461D71">
        <w:t xml:space="preserve">n Membran [nach </w:t>
      </w:r>
      <w:r w:rsidR="00461D71">
        <w:fldChar w:fldCharType="begin"/>
      </w:r>
      <w:r w:rsidR="00461D71">
        <w:instrText xml:space="preserve"> REF _Ref47081062 \r \h </w:instrText>
      </w:r>
      <w:r w:rsidR="00461D71">
        <w:fldChar w:fldCharType="separate"/>
      </w:r>
      <w:r w:rsidR="00833334">
        <w:t>4</w:t>
      </w:r>
      <w:r w:rsidR="00461D71">
        <w:fldChar w:fldCharType="end"/>
      </w:r>
      <w:r w:rsidR="00461D71">
        <w:t>]; rot: Na</w:t>
      </w:r>
      <w:r w:rsidR="00461D71">
        <w:rPr>
          <w:vertAlign w:val="superscript"/>
        </w:rPr>
        <w:t>+</w:t>
      </w:r>
      <w:r w:rsidR="00461D71">
        <w:t>; grün: Cl</w:t>
      </w:r>
      <w:r w:rsidR="00461D71">
        <w:rPr>
          <w:vertAlign w:val="superscript"/>
        </w:rPr>
        <w:t>-</w:t>
      </w:r>
      <w:r w:rsidR="00461D71">
        <w:t>; orange: Protein</w:t>
      </w:r>
    </w:p>
    <w:p w:rsidR="00461D71" w:rsidRDefault="00461D71" w:rsidP="00461D71">
      <w:pPr>
        <w:rPr>
          <w:rFonts w:cs="Arial"/>
        </w:rPr>
      </w:pPr>
      <w:r>
        <w:rPr>
          <w:rFonts w:cs="Arial"/>
        </w:rPr>
        <w:t>In diesem Beispiel müssen nun Natrium-Kationen als Gegen-Ionen in den Intra-</w:t>
      </w:r>
      <w:proofErr w:type="spellStart"/>
      <w:r>
        <w:rPr>
          <w:rFonts w:cs="Arial"/>
        </w:rPr>
        <w:t>Zellulärraum</w:t>
      </w:r>
      <w:proofErr w:type="spellEnd"/>
      <w:r>
        <w:rPr>
          <w:rFonts w:cs="Arial"/>
        </w:rPr>
        <w:t xml:space="preserve"> </w:t>
      </w:r>
      <w:r w:rsidR="00F76B3E">
        <w:rPr>
          <w:rFonts w:cs="Arial"/>
        </w:rPr>
        <w:t>diffundieren,</w:t>
      </w:r>
      <w:r>
        <w:rPr>
          <w:rFonts w:cs="Arial"/>
        </w:rPr>
        <w:t xml:space="preserve"> um einen Ladungsausgleich zu schaffen. Die Ionen sind nun ungleich innerhalb und außerhalb der Zellen verteilt. Wie stark die tatsächliche Ionen-Verteilung von der Gleich-Verteilung abweicht, ist abhängig von der Anwesenheit impermeabler Moleküle. Je mehr diffusionsunfähige Moleküle mit negativen Ladungsschwerpunkten, desto mehr Gegen-Ionen diffundieren in die Zelle als Ladungsausgleich.</w:t>
      </w:r>
    </w:p>
    <w:p w:rsidR="00461D71" w:rsidRPr="00833334" w:rsidRDefault="00461D71" w:rsidP="00461D71">
      <w:pPr>
        <w:pStyle w:val="Formeln"/>
        <w:rPr>
          <w:rFonts w:eastAsiaTheme="minorEastAsia"/>
          <w:lang w:val="en-US"/>
        </w:rPr>
      </w:pPr>
      <m:oMathPara>
        <m:oMath>
          <m:r>
            <m:rPr>
              <m:nor/>
            </m:rPr>
            <w:rPr>
              <w:lang w:val="en-US"/>
            </w:rPr>
            <m:t>c</m:t>
          </m:r>
          <m:sSub>
            <m:sSubPr>
              <m:ctrlPr>
                <w:rPr>
                  <w:rFonts w:ascii="Cambria Math" w:hAnsi="Cambria Math"/>
                </w:rPr>
              </m:ctrlPr>
            </m:sSubPr>
            <m:e>
              <m:d>
                <m:dPr>
                  <m:ctrlPr>
                    <w:rPr>
                      <w:rFonts w:ascii="Cambria Math" w:hAnsi="Cambria Math"/>
                    </w:rPr>
                  </m:ctrlPr>
                </m:dPr>
                <m:e>
                  <m:sSup>
                    <m:sSupPr>
                      <m:ctrlPr>
                        <w:rPr>
                          <w:rFonts w:ascii="Cambria Math" w:hAnsi="Cambria Math"/>
                        </w:rPr>
                      </m:ctrlPr>
                    </m:sSupPr>
                    <m:e>
                      <m:r>
                        <m:rPr>
                          <m:nor/>
                        </m:rPr>
                        <w:rPr>
                          <w:lang w:val="en-US"/>
                        </w:rPr>
                        <m:t>Na</m:t>
                      </m:r>
                    </m:e>
                    <m:sup>
                      <m:r>
                        <m:rPr>
                          <m:nor/>
                        </m:rPr>
                        <w:rPr>
                          <w:lang w:val="en-US"/>
                        </w:rPr>
                        <m:t>+</m:t>
                      </m:r>
                    </m:sup>
                  </m:sSup>
                </m:e>
              </m:d>
            </m:e>
            <m:sub>
              <w:proofErr w:type="spellStart"/>
              <m:r>
                <m:rPr>
                  <m:nor/>
                </m:rPr>
                <w:rPr>
                  <w:lang w:val="en-US"/>
                </w:rPr>
                <m:t>i</m:t>
              </m:r>
              <w:proofErr w:type="spellEnd"/>
            </m:sub>
          </m:sSub>
          <m:r>
            <m:rPr>
              <m:nor/>
            </m:rPr>
            <w:rPr>
              <w:lang w:val="en-US"/>
            </w:rPr>
            <m:t xml:space="preserve"> * c</m:t>
          </m:r>
          <m:sSub>
            <m:sSubPr>
              <m:ctrlPr>
                <w:rPr>
                  <w:rFonts w:ascii="Cambria Math" w:hAnsi="Cambria Math"/>
                </w:rPr>
              </m:ctrlPr>
            </m:sSubPr>
            <m:e>
              <m:d>
                <m:dPr>
                  <m:ctrlPr>
                    <w:rPr>
                      <w:rFonts w:ascii="Cambria Math" w:hAnsi="Cambria Math"/>
                    </w:rPr>
                  </m:ctrlPr>
                </m:dPr>
                <m:e>
                  <m:sSup>
                    <m:sSupPr>
                      <m:ctrlPr>
                        <w:rPr>
                          <w:rFonts w:ascii="Cambria Math" w:hAnsi="Cambria Math"/>
                        </w:rPr>
                      </m:ctrlPr>
                    </m:sSupPr>
                    <m:e>
                      <m:r>
                        <m:rPr>
                          <m:nor/>
                        </m:rPr>
                        <w:rPr>
                          <w:lang w:val="en-US"/>
                        </w:rPr>
                        <m:t>Cl</m:t>
                      </m:r>
                    </m:e>
                    <m:sup>
                      <m:r>
                        <m:rPr>
                          <m:nor/>
                        </m:rPr>
                        <w:rPr>
                          <w:lang w:val="en-US"/>
                        </w:rPr>
                        <m:t>-</m:t>
                      </m:r>
                    </m:sup>
                  </m:sSup>
                </m:e>
              </m:d>
            </m:e>
            <m:sub>
              <w:proofErr w:type="spellStart"/>
              <m:r>
                <m:rPr>
                  <m:nor/>
                </m:rPr>
                <w:rPr>
                  <w:lang w:val="en-US"/>
                </w:rPr>
                <m:t>i</m:t>
              </m:r>
              <w:proofErr w:type="spellEnd"/>
            </m:sub>
          </m:sSub>
          <m:r>
            <m:rPr>
              <m:nor/>
            </m:rPr>
            <w:rPr>
              <w:lang w:val="en-US"/>
            </w:rPr>
            <m:t xml:space="preserve"> = c</m:t>
          </m:r>
          <m:sSub>
            <m:sSubPr>
              <m:ctrlPr>
                <w:rPr>
                  <w:rFonts w:ascii="Cambria Math" w:hAnsi="Cambria Math"/>
                </w:rPr>
              </m:ctrlPr>
            </m:sSubPr>
            <m:e>
              <m:d>
                <m:dPr>
                  <m:ctrlPr>
                    <w:rPr>
                      <w:rFonts w:ascii="Cambria Math" w:hAnsi="Cambria Math"/>
                    </w:rPr>
                  </m:ctrlPr>
                </m:dPr>
                <m:e>
                  <m:sSup>
                    <m:sSupPr>
                      <m:ctrlPr>
                        <w:rPr>
                          <w:rFonts w:ascii="Cambria Math" w:hAnsi="Cambria Math"/>
                        </w:rPr>
                      </m:ctrlPr>
                    </m:sSupPr>
                    <m:e>
                      <m:r>
                        <m:rPr>
                          <m:nor/>
                        </m:rPr>
                        <w:rPr>
                          <w:lang w:val="en-US"/>
                        </w:rPr>
                        <m:t>Na</m:t>
                      </m:r>
                    </m:e>
                    <m:sup>
                      <m:r>
                        <m:rPr>
                          <m:nor/>
                        </m:rPr>
                        <w:rPr>
                          <w:lang w:val="en-US"/>
                        </w:rPr>
                        <m:t>+</m:t>
                      </m:r>
                    </m:sup>
                  </m:sSup>
                </m:e>
              </m:d>
            </m:e>
            <m:sub>
              <m:r>
                <m:rPr>
                  <m:nor/>
                </m:rPr>
                <w:rPr>
                  <w:lang w:val="en-US"/>
                </w:rPr>
                <m:t>a</m:t>
              </m:r>
            </m:sub>
          </m:sSub>
          <m:r>
            <m:rPr>
              <m:nor/>
            </m:rPr>
            <w:rPr>
              <w:lang w:val="en-US"/>
            </w:rPr>
            <m:t xml:space="preserve"> * c</m:t>
          </m:r>
          <m:sSub>
            <m:sSubPr>
              <m:ctrlPr>
                <w:rPr>
                  <w:rFonts w:ascii="Cambria Math" w:hAnsi="Cambria Math"/>
                </w:rPr>
              </m:ctrlPr>
            </m:sSubPr>
            <m:e>
              <m:d>
                <m:dPr>
                  <m:ctrlPr>
                    <w:rPr>
                      <w:rFonts w:ascii="Cambria Math" w:hAnsi="Cambria Math"/>
                    </w:rPr>
                  </m:ctrlPr>
                </m:dPr>
                <m:e>
                  <m:sSup>
                    <m:sSupPr>
                      <m:ctrlPr>
                        <w:rPr>
                          <w:rFonts w:ascii="Cambria Math" w:hAnsi="Cambria Math"/>
                        </w:rPr>
                      </m:ctrlPr>
                    </m:sSupPr>
                    <m:e>
                      <m:r>
                        <m:rPr>
                          <m:nor/>
                        </m:rPr>
                        <w:rPr>
                          <w:lang w:val="en-US"/>
                        </w:rPr>
                        <m:t>Cl</m:t>
                      </m:r>
                    </m:e>
                    <m:sup>
                      <m:r>
                        <m:rPr>
                          <m:nor/>
                        </m:rPr>
                        <w:rPr>
                          <w:lang w:val="en-US"/>
                        </w:rPr>
                        <m:t>-</m:t>
                      </m:r>
                    </m:sup>
                  </m:sSup>
                </m:e>
              </m:d>
            </m:e>
            <m:sub>
              <m:r>
                <m:rPr>
                  <m:nor/>
                </m:rPr>
                <w:rPr>
                  <w:lang w:val="en-US"/>
                </w:rPr>
                <m:t>a</m:t>
              </m:r>
            </m:sub>
          </m:sSub>
        </m:oMath>
      </m:oMathPara>
    </w:p>
    <w:p w:rsidR="00461D71" w:rsidRPr="00461D71" w:rsidRDefault="00461D71" w:rsidP="00461D71">
      <w:pPr>
        <w:pStyle w:val="Formeln"/>
        <w:rPr>
          <w:rFonts w:eastAsiaTheme="minorEastAsia"/>
        </w:rPr>
      </w:pPr>
      <m:oMathPara>
        <m:oMath>
          <m:r>
            <m:rPr>
              <m:nor/>
            </m:rPr>
            <m:t>9 * 4 = 6 * 6</m:t>
          </m:r>
        </m:oMath>
      </m:oMathPara>
    </w:p>
    <w:p w:rsidR="00461D71" w:rsidRDefault="00461D71" w:rsidP="00461D71">
      <w:r>
        <w:t>Die Konzentration an Natrium-Ionen ist nun innerhalb der Zell größer als die Konzentration der Natrium-Ionen außerhalb der Zelle, während sich bei den Chlorid-Ionen die größere Konzentration im Extra-Zellularraum befindet. In der Zelle befindet sich nun eine höhere Konzentration an Ionen und Molekülen als außerhalb der Zelle.</w:t>
      </w:r>
    </w:p>
    <w:p w:rsidR="00461D71" w:rsidRPr="00833334" w:rsidRDefault="00461D71" w:rsidP="00461D71">
      <w:pPr>
        <w:pStyle w:val="Formeln"/>
        <w:rPr>
          <w:rFonts w:eastAsiaTheme="minorEastAsia"/>
          <w:lang w:val="en-US"/>
        </w:rPr>
      </w:pPr>
      <m:oMathPara>
        <m:oMath>
          <m:r>
            <m:rPr>
              <m:nor/>
            </m:rPr>
            <w:rPr>
              <w:lang w:val="en-US"/>
            </w:rPr>
            <m:t>c</m:t>
          </m:r>
          <m:sSub>
            <m:sSubPr>
              <m:ctrlPr>
                <w:rPr>
                  <w:rFonts w:ascii="Cambria Math" w:hAnsi="Cambria Math"/>
                </w:rPr>
              </m:ctrlPr>
            </m:sSubPr>
            <m:e>
              <m:d>
                <m:dPr>
                  <m:ctrlPr>
                    <w:rPr>
                      <w:rFonts w:ascii="Cambria Math" w:hAnsi="Cambria Math"/>
                    </w:rPr>
                  </m:ctrlPr>
                </m:dPr>
                <m:e>
                  <m:sSup>
                    <m:sSupPr>
                      <m:ctrlPr>
                        <w:rPr>
                          <w:rFonts w:ascii="Cambria Math" w:hAnsi="Cambria Math"/>
                        </w:rPr>
                      </m:ctrlPr>
                    </m:sSupPr>
                    <m:e>
                      <m:r>
                        <m:rPr>
                          <m:nor/>
                        </m:rPr>
                        <w:rPr>
                          <w:lang w:val="en-US"/>
                        </w:rPr>
                        <m:t>Na</m:t>
                      </m:r>
                    </m:e>
                    <m:sup>
                      <m:r>
                        <m:rPr>
                          <m:nor/>
                        </m:rPr>
                        <w:rPr>
                          <w:lang w:val="en-US"/>
                        </w:rPr>
                        <m:t>+</m:t>
                      </m:r>
                    </m:sup>
                  </m:sSup>
                </m:e>
              </m:d>
            </m:e>
            <m:sub>
              <w:proofErr w:type="spellStart"/>
              <m:r>
                <m:rPr>
                  <m:nor/>
                </m:rPr>
                <w:rPr>
                  <w:lang w:val="en-US"/>
                </w:rPr>
                <m:t>i</m:t>
              </m:r>
              <w:proofErr w:type="spellEnd"/>
            </m:sub>
          </m:sSub>
          <m:r>
            <m:rPr>
              <m:nor/>
            </m:rPr>
            <w:rPr>
              <w:lang w:val="en-US"/>
            </w:rPr>
            <m:t xml:space="preserve"> &gt; c</m:t>
          </m:r>
          <m:sSub>
            <m:sSubPr>
              <m:ctrlPr>
                <w:rPr>
                  <w:rFonts w:ascii="Cambria Math" w:hAnsi="Cambria Math"/>
                </w:rPr>
              </m:ctrlPr>
            </m:sSubPr>
            <m:e>
              <m:d>
                <m:dPr>
                  <m:ctrlPr>
                    <w:rPr>
                      <w:rFonts w:ascii="Cambria Math" w:hAnsi="Cambria Math"/>
                    </w:rPr>
                  </m:ctrlPr>
                </m:dPr>
                <m:e>
                  <m:sSup>
                    <m:sSupPr>
                      <m:ctrlPr>
                        <w:rPr>
                          <w:rFonts w:ascii="Cambria Math" w:hAnsi="Cambria Math"/>
                        </w:rPr>
                      </m:ctrlPr>
                    </m:sSupPr>
                    <m:e>
                      <m:r>
                        <m:rPr>
                          <m:nor/>
                        </m:rPr>
                        <w:rPr>
                          <w:lang w:val="en-US"/>
                        </w:rPr>
                        <m:t>Na</m:t>
                      </m:r>
                    </m:e>
                    <m:sup>
                      <m:r>
                        <m:rPr>
                          <m:nor/>
                        </m:rPr>
                        <w:rPr>
                          <w:lang w:val="en-US"/>
                        </w:rPr>
                        <m:t>+</m:t>
                      </m:r>
                    </m:sup>
                  </m:sSup>
                </m:e>
              </m:d>
            </m:e>
            <m:sub>
              <m:r>
                <m:rPr>
                  <m:nor/>
                </m:rPr>
                <w:rPr>
                  <w:lang w:val="en-US"/>
                </w:rPr>
                <m:t>a</m:t>
              </m:r>
            </m:sub>
          </m:sSub>
        </m:oMath>
      </m:oMathPara>
    </w:p>
    <w:p w:rsidR="00461D71" w:rsidRPr="00833334" w:rsidRDefault="00461D71" w:rsidP="00461D71">
      <w:pPr>
        <w:pStyle w:val="Formeln"/>
        <w:rPr>
          <w:rFonts w:eastAsiaTheme="minorEastAsia"/>
          <w:lang w:val="en-US"/>
        </w:rPr>
      </w:pPr>
      <m:oMathPara>
        <m:oMath>
          <m:r>
            <m:rPr>
              <m:nor/>
            </m:rPr>
            <w:rPr>
              <w:lang w:val="en-US"/>
            </w:rPr>
            <m:t>c</m:t>
          </m:r>
          <m:sSub>
            <m:sSubPr>
              <m:ctrlPr>
                <w:rPr>
                  <w:rFonts w:ascii="Cambria Math" w:hAnsi="Cambria Math"/>
                </w:rPr>
              </m:ctrlPr>
            </m:sSubPr>
            <m:e>
              <m:d>
                <m:dPr>
                  <m:ctrlPr>
                    <w:rPr>
                      <w:rFonts w:ascii="Cambria Math" w:hAnsi="Cambria Math"/>
                    </w:rPr>
                  </m:ctrlPr>
                </m:dPr>
                <m:e>
                  <m:sSup>
                    <m:sSupPr>
                      <m:ctrlPr>
                        <w:rPr>
                          <w:rFonts w:ascii="Cambria Math" w:hAnsi="Cambria Math"/>
                        </w:rPr>
                      </m:ctrlPr>
                    </m:sSupPr>
                    <m:e>
                      <m:r>
                        <m:rPr>
                          <m:nor/>
                        </m:rPr>
                        <w:rPr>
                          <w:lang w:val="en-US"/>
                        </w:rPr>
                        <m:t>Cl</m:t>
                      </m:r>
                    </m:e>
                    <m:sup>
                      <m:r>
                        <m:rPr>
                          <m:nor/>
                        </m:rPr>
                        <w:rPr>
                          <w:lang w:val="en-US"/>
                        </w:rPr>
                        <m:t>-</m:t>
                      </m:r>
                    </m:sup>
                  </m:sSup>
                </m:e>
              </m:d>
            </m:e>
            <m:sub>
              <w:proofErr w:type="spellStart"/>
              <m:r>
                <m:rPr>
                  <m:nor/>
                </m:rPr>
                <w:rPr>
                  <w:lang w:val="en-US"/>
                </w:rPr>
                <m:t>i</m:t>
              </m:r>
              <w:proofErr w:type="spellEnd"/>
            </m:sub>
          </m:sSub>
          <m:r>
            <m:rPr>
              <m:nor/>
            </m:rPr>
            <w:rPr>
              <w:lang w:val="en-US"/>
            </w:rPr>
            <m:t xml:space="preserve"> &lt; c</m:t>
          </m:r>
          <m:sSub>
            <m:sSubPr>
              <m:ctrlPr>
                <w:rPr>
                  <w:rFonts w:ascii="Cambria Math" w:hAnsi="Cambria Math"/>
                </w:rPr>
              </m:ctrlPr>
            </m:sSubPr>
            <m:e>
              <m:d>
                <m:dPr>
                  <m:ctrlPr>
                    <w:rPr>
                      <w:rFonts w:ascii="Cambria Math" w:hAnsi="Cambria Math"/>
                    </w:rPr>
                  </m:ctrlPr>
                </m:dPr>
                <m:e>
                  <m:sSup>
                    <m:sSupPr>
                      <m:ctrlPr>
                        <w:rPr>
                          <w:rFonts w:ascii="Cambria Math" w:hAnsi="Cambria Math"/>
                        </w:rPr>
                      </m:ctrlPr>
                    </m:sSupPr>
                    <m:e>
                      <m:r>
                        <m:rPr>
                          <m:nor/>
                        </m:rPr>
                        <w:rPr>
                          <w:lang w:val="en-US"/>
                        </w:rPr>
                        <m:t>Cl</m:t>
                      </m:r>
                    </m:e>
                    <m:sup>
                      <m:r>
                        <m:rPr>
                          <m:nor/>
                        </m:rPr>
                        <w:rPr>
                          <w:lang w:val="en-US"/>
                        </w:rPr>
                        <m:t>-</m:t>
                      </m:r>
                    </m:sup>
                  </m:sSup>
                </m:e>
              </m:d>
            </m:e>
            <m:sub>
              <m:r>
                <m:rPr>
                  <m:nor/>
                </m:rPr>
                <w:rPr>
                  <w:lang w:val="en-US"/>
                </w:rPr>
                <m:t>a</m:t>
              </m:r>
            </m:sub>
          </m:sSub>
        </m:oMath>
      </m:oMathPara>
    </w:p>
    <w:p w:rsidR="00461D71" w:rsidRPr="00461D71" w:rsidRDefault="00461D71" w:rsidP="00461D71">
      <w:r>
        <w:t>Um den Konzentrationsgradienten auszugleichen, diffundieren Wasser-Moleküle in die Zelle, welche dann aufquillt und platzen kann. [</w:t>
      </w:r>
      <w:r>
        <w:fldChar w:fldCharType="begin"/>
      </w:r>
      <w:r>
        <w:instrText xml:space="preserve"> REF _Ref47081064 \r \h </w:instrText>
      </w:r>
      <w:r>
        <w:fldChar w:fldCharType="separate"/>
      </w:r>
      <w:r w:rsidR="00833334">
        <w:t>5</w:t>
      </w:r>
      <w:r>
        <w:fldChar w:fldCharType="end"/>
      </w:r>
      <w:r>
        <w:t xml:space="preserve">, </w:t>
      </w:r>
      <w:r>
        <w:fldChar w:fldCharType="begin"/>
      </w:r>
      <w:r>
        <w:instrText xml:space="preserve"> REF _Ref47082577 \r \h </w:instrText>
      </w:r>
      <w:r>
        <w:fldChar w:fldCharType="separate"/>
      </w:r>
      <w:r w:rsidR="00833334">
        <w:t>6</w:t>
      </w:r>
      <w:r>
        <w:fldChar w:fldCharType="end"/>
      </w:r>
      <w:r>
        <w:t xml:space="preserve">, </w:t>
      </w:r>
      <w:r>
        <w:fldChar w:fldCharType="begin"/>
      </w:r>
      <w:r>
        <w:instrText xml:space="preserve"> REF _Ref47082585 \r \h </w:instrText>
      </w:r>
      <w:r>
        <w:fldChar w:fldCharType="separate"/>
      </w:r>
      <w:r w:rsidR="00833334">
        <w:t>9</w:t>
      </w:r>
      <w:r>
        <w:fldChar w:fldCharType="end"/>
      </w:r>
      <w:r>
        <w:t>]</w:t>
      </w:r>
    </w:p>
    <w:p w:rsidR="00461D71" w:rsidRDefault="00461D71" w:rsidP="00461D71">
      <w:pPr>
        <w:pStyle w:val="Zusammenfassung"/>
      </w:pPr>
      <w:r w:rsidRPr="00461D71">
        <w:rPr>
          <w:rStyle w:val="Fett"/>
        </w:rPr>
        <w:t>Zusammenfassung</w:t>
      </w:r>
      <w:r>
        <w:t xml:space="preserve">: Salze sind für den menschlichen Organismus notwendig, aber nur in einer bestimmten Konzentration, da sonst Zellen aufplatzen oder schrumpfen können. Demzufolge muss die Salz-Lösung im Gleichgewicht mit dem Lösemittel stehen. Bei nichtdiffusionsfähigen Molekülen innerhalb von Zellen müssen Gegen-Ionen für einen Ladungsausgleich sorgen, um das Elektroneutralitätsprinzip zu erfüllen. Diese neue Einstellung des Gleichgewichtes ist das so genannte </w:t>
      </w:r>
      <w:proofErr w:type="spellStart"/>
      <w:r>
        <w:t>Donnan</w:t>
      </w:r>
      <w:proofErr w:type="spellEnd"/>
      <w:r>
        <w:t xml:space="preserve">-Gleichgewicht. In der Natur sollte die Einstellung dieses Gleichgewichtes verhindert werden, da es ebenfalls zum Zell-Tod führen kann. Der menschliche Körper wirkt dem </w:t>
      </w:r>
      <w:proofErr w:type="spellStart"/>
      <w:r>
        <w:t>Donnan</w:t>
      </w:r>
      <w:proofErr w:type="spellEnd"/>
      <w:r>
        <w:t>-Gleichgewicht mit Hilfe von Ionentransport-Systemen, wie der Natrium-Kalium-Pumpe, entgegen.</w:t>
      </w:r>
    </w:p>
    <w:p w:rsidR="00833334" w:rsidRDefault="00833334" w:rsidP="00833334"/>
    <w:p w:rsidR="00833334" w:rsidRPr="00461D71" w:rsidRDefault="00833334" w:rsidP="00833334">
      <w:pPr>
        <w:pStyle w:val="EinstiegAbschluss"/>
      </w:pPr>
      <w:r w:rsidRPr="00833334">
        <w:rPr>
          <w:b/>
        </w:rPr>
        <w:t>Abschluss</w:t>
      </w:r>
      <w:r>
        <w:t>: fehlt.</w:t>
      </w:r>
    </w:p>
    <w:p w:rsidR="00931B30" w:rsidRPr="000E61E0" w:rsidRDefault="00931B30" w:rsidP="00931B30">
      <w:pPr>
        <w:rPr>
          <w:b/>
          <w:bCs/>
        </w:rPr>
      </w:pPr>
      <w:r w:rsidRPr="000E61E0">
        <w:rPr>
          <w:b/>
          <w:bCs/>
        </w:rPr>
        <w:t>Quellen:</w:t>
      </w:r>
    </w:p>
    <w:bookmarkStart w:id="7" w:name="_Ref47082772"/>
    <w:p w:rsidR="00757DE7" w:rsidRDefault="00757DE7" w:rsidP="00757DE7">
      <w:pPr>
        <w:pStyle w:val="AufzhlungStandard"/>
      </w:pPr>
      <w:r>
        <w:fldChar w:fldCharType="begin"/>
      </w:r>
      <w:r>
        <w:instrText xml:space="preserve"> HYPERLINK "</w:instrText>
      </w:r>
      <w:r w:rsidRPr="00757DE7">
        <w:instrText>https://www.stern.de/panorama/stern-crime/prozess-fatale-salzpudding-vergiftung-3497450.html</w:instrText>
      </w:r>
      <w:r>
        <w:instrText xml:space="preserve">" </w:instrText>
      </w:r>
      <w:r>
        <w:fldChar w:fldCharType="separate"/>
      </w:r>
      <w:r w:rsidRPr="00C803F3">
        <w:rPr>
          <w:rStyle w:val="Hyperlink"/>
        </w:rPr>
        <w:t>https://www.stern.de/panorama/stern-crime/prozess-fatale-salzpudding-vergiftung-3497450.html</w:t>
      </w:r>
      <w:r>
        <w:fldChar w:fldCharType="end"/>
      </w:r>
      <w:r>
        <w:t>; 31.07.2020</w:t>
      </w:r>
      <w:bookmarkEnd w:id="7"/>
    </w:p>
    <w:bookmarkStart w:id="8" w:name="_Ref47080563"/>
    <w:p w:rsidR="00757DE7" w:rsidRDefault="00757DE7" w:rsidP="00757DE7">
      <w:pPr>
        <w:pStyle w:val="AufzhlungStandard"/>
      </w:pPr>
      <w:r>
        <w:fldChar w:fldCharType="begin"/>
      </w:r>
      <w:r>
        <w:instrText xml:space="preserve"> HYPERLINK "http://lichtstrahl-magazin.de/Artikel/Gesundheit/LSsalz2.html" </w:instrText>
      </w:r>
      <w:r>
        <w:fldChar w:fldCharType="separate"/>
      </w:r>
      <w:r>
        <w:rPr>
          <w:rStyle w:val="Hyperlink"/>
          <w:rFonts w:cs="Arial"/>
        </w:rPr>
        <w:t>http://lichtstrahl-magazin.de/Artikel/Gesundheit/LSsalz2.html</w:t>
      </w:r>
      <w:r>
        <w:fldChar w:fldCharType="end"/>
      </w:r>
      <w:r>
        <w:t>;. 24.10.2010 (</w:t>
      </w:r>
      <w:r w:rsidRPr="00833334">
        <w:t>Quelle verschollen, 31.07.2020</w:t>
      </w:r>
      <w:r>
        <w:t>)</w:t>
      </w:r>
      <w:bookmarkEnd w:id="8"/>
    </w:p>
    <w:p w:rsidR="00757DE7" w:rsidRDefault="00757DE7" w:rsidP="00757DE7">
      <w:pPr>
        <w:pStyle w:val="AufzhlungStandard"/>
      </w:pPr>
      <w:bookmarkStart w:id="9" w:name="_Ref47080619"/>
      <w:r>
        <w:t xml:space="preserve">Atkins, P., de Paula, J.: Kurzlehrbuch Physikalische Chemie. </w:t>
      </w:r>
      <w:proofErr w:type="spellStart"/>
      <w:r>
        <w:t>Wiley</w:t>
      </w:r>
      <w:proofErr w:type="spellEnd"/>
      <w:r>
        <w:t>-VCH Verlag. Weinheim, 2008.</w:t>
      </w:r>
      <w:bookmarkEnd w:id="9"/>
    </w:p>
    <w:bookmarkStart w:id="10" w:name="_Ref47081062"/>
    <w:p w:rsidR="00757DE7" w:rsidRDefault="00757DE7" w:rsidP="00757DE7">
      <w:pPr>
        <w:pStyle w:val="AufzhlungStandard"/>
      </w:pPr>
      <w:r>
        <w:fldChar w:fldCharType="begin"/>
      </w:r>
      <w:r>
        <w:instrText xml:space="preserve"> HYPERLINK "http://www2.chemie.uni-erlangen.de/projects/vsc/chemie-mediziner-neu/phasen/donnan.html" </w:instrText>
      </w:r>
      <w:r>
        <w:fldChar w:fldCharType="separate"/>
      </w:r>
      <w:r>
        <w:rPr>
          <w:rStyle w:val="Hyperlink"/>
          <w:rFonts w:cs="Arial"/>
        </w:rPr>
        <w:t>http://www2.chemie.uni-erlangen.de/projects/vsc/chemie-mediziner-neu/phasen/donnan.html</w:t>
      </w:r>
      <w:r>
        <w:fldChar w:fldCharType="end"/>
      </w:r>
      <w:r>
        <w:t>; 25.10.2010</w:t>
      </w:r>
      <w:bookmarkEnd w:id="10"/>
    </w:p>
    <w:p w:rsidR="00757DE7" w:rsidRDefault="00757DE7" w:rsidP="00757DE7">
      <w:pPr>
        <w:pStyle w:val="AufzhlungStandard"/>
      </w:pPr>
      <w:bookmarkStart w:id="11" w:name="_Ref47081064"/>
      <w:r>
        <w:t>Eckert, R.: Tierphysiologie. Georg Thieme Verlag, New York, 2002.</w:t>
      </w:r>
      <w:bookmarkEnd w:id="11"/>
    </w:p>
    <w:p w:rsidR="00757DE7" w:rsidRDefault="00757DE7" w:rsidP="00757DE7">
      <w:pPr>
        <w:pStyle w:val="AufzhlungStandard"/>
      </w:pPr>
      <w:bookmarkStart w:id="12" w:name="_Ref47082577"/>
      <w:r>
        <w:t>Klinke, R., Silbernagel, S.: Lehrbuch der Physiologie. Georg Thieme Verlag, Stuttgart, New York, 1996.</w:t>
      </w:r>
      <w:bookmarkEnd w:id="12"/>
    </w:p>
    <w:p w:rsidR="00757DE7" w:rsidRDefault="00757DE7" w:rsidP="00757DE7">
      <w:pPr>
        <w:pStyle w:val="AufzhlungStandard"/>
      </w:pPr>
      <w:bookmarkStart w:id="13" w:name="_Ref47081594"/>
      <w:r>
        <w:t xml:space="preserve">Moore, W.: Physikalische Chemie. Walter de </w:t>
      </w:r>
      <w:proofErr w:type="spellStart"/>
      <w:r>
        <w:t>Gruyter</w:t>
      </w:r>
      <w:proofErr w:type="spellEnd"/>
      <w:r>
        <w:t xml:space="preserve"> Verlag, Berlin, New York, 1986.</w:t>
      </w:r>
      <w:bookmarkEnd w:id="13"/>
    </w:p>
    <w:p w:rsidR="00757DE7" w:rsidRDefault="00757DE7" w:rsidP="00757DE7">
      <w:pPr>
        <w:pStyle w:val="AufzhlungStandard"/>
      </w:pPr>
      <w:bookmarkStart w:id="14" w:name="_Ref47080948"/>
      <w:proofErr w:type="spellStart"/>
      <w:r>
        <w:t>Penzlin</w:t>
      </w:r>
      <w:proofErr w:type="spellEnd"/>
      <w:r>
        <w:t xml:space="preserve">, H.: Lehrbuch der Tierphysiologie. Spektrum, </w:t>
      </w:r>
      <w:proofErr w:type="spellStart"/>
      <w:r>
        <w:t>Adad</w:t>
      </w:r>
      <w:proofErr w:type="spellEnd"/>
      <w:r>
        <w:t>. Verlag, Heidelberg, München, 2005.</w:t>
      </w:r>
      <w:bookmarkEnd w:id="14"/>
    </w:p>
    <w:bookmarkStart w:id="15" w:name="_Ref47082585"/>
    <w:p w:rsidR="00757DE7" w:rsidRDefault="00757DE7" w:rsidP="00757DE7">
      <w:pPr>
        <w:pStyle w:val="AufzhlungStandard"/>
      </w:pPr>
      <w:r>
        <w:fldChar w:fldCharType="begin"/>
      </w:r>
      <w:r>
        <w:instrText xml:space="preserve"> HYPERLINK "http://neuro.biologie.uni-freiburg.de/Skriptum/Box2.htm" </w:instrText>
      </w:r>
      <w:r>
        <w:fldChar w:fldCharType="separate"/>
      </w:r>
      <w:r>
        <w:rPr>
          <w:rStyle w:val="Hyperlink"/>
          <w:rFonts w:cs="Arial"/>
        </w:rPr>
        <w:t>http://neuro.biologie.uni-freiburg.de/Skriptum/Box2.htm</w:t>
      </w:r>
      <w:r>
        <w:fldChar w:fldCharType="end"/>
      </w:r>
      <w:r>
        <w:t>; 25.10.2010 (</w:t>
      </w:r>
      <w:r w:rsidRPr="00833334">
        <w:t>Quelle verschollen, 31.07.2020</w:t>
      </w:r>
      <w:r>
        <w:t>)</w:t>
      </w:r>
      <w:bookmarkEnd w:id="15"/>
    </w:p>
    <w:bookmarkStart w:id="16" w:name="_Ref47081076"/>
    <w:p w:rsidR="00757DE7" w:rsidRDefault="00757DE7" w:rsidP="00757DE7">
      <w:pPr>
        <w:pStyle w:val="AufzhlungStandard"/>
      </w:pPr>
      <w:r>
        <w:fldChar w:fldCharType="begin"/>
      </w:r>
      <w:r>
        <w:instrText xml:space="preserve"> HYPERLINK "http://www.bio.vobs.at/botanik/b-osmose.htm" </w:instrText>
      </w:r>
      <w:r>
        <w:fldChar w:fldCharType="separate"/>
      </w:r>
      <w:r>
        <w:rPr>
          <w:rStyle w:val="Hyperlink"/>
          <w:rFonts w:cs="Arial"/>
        </w:rPr>
        <w:t>http://www.bio.vobs.at/botanik/b-osmose.htm</w:t>
      </w:r>
      <w:r>
        <w:fldChar w:fldCharType="end"/>
      </w:r>
      <w:r>
        <w:t>; 24.10.2010 (</w:t>
      </w:r>
      <w:bookmarkStart w:id="17" w:name="_GoBack"/>
      <w:r w:rsidRPr="00833334">
        <w:t>Quelle verschollen, 31.07.2020</w:t>
      </w:r>
      <w:bookmarkEnd w:id="17"/>
      <w:r>
        <w:t>)</w:t>
      </w:r>
      <w:bookmarkEnd w:id="16"/>
    </w:p>
    <w:sectPr w:rsidR="00757DE7" w:rsidSect="00F76B3E">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E0D" w:rsidRDefault="00D43E0D" w:rsidP="005A7DCE">
      <w:pPr>
        <w:spacing w:before="0"/>
      </w:pPr>
      <w:r>
        <w:separator/>
      </w:r>
    </w:p>
  </w:endnote>
  <w:endnote w:type="continuationSeparator" w:id="0">
    <w:p w:rsidR="00D43E0D" w:rsidRDefault="00D43E0D"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D43E0D" w:rsidRDefault="00D43E0D">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D43E0D" w:rsidRDefault="00D43E0D">
        <w:pPr>
          <w:pStyle w:val="Fuzeile"/>
          <w:jc w:val="center"/>
        </w:pPr>
        <w:r>
          <w:fldChar w:fldCharType="begin"/>
        </w:r>
        <w:r>
          <w:instrText>PAGE    \* MERGEFORMAT</w:instrText>
        </w:r>
        <w:r>
          <w:fldChar w:fldCharType="separate"/>
        </w:r>
        <w:r w:rsidR="00833334">
          <w:rPr>
            <w:noProof/>
          </w:rPr>
          <w:t>4</w:t>
        </w:r>
        <w:r>
          <w:fldChar w:fldCharType="end"/>
        </w:r>
      </w:p>
    </w:sdtContent>
  </w:sdt>
  <w:p w:rsidR="00D43E0D" w:rsidRDefault="00D43E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E0D" w:rsidRDefault="00D43E0D" w:rsidP="005A7DCE">
      <w:pPr>
        <w:spacing w:before="0"/>
      </w:pPr>
      <w:r>
        <w:separator/>
      </w:r>
    </w:p>
  </w:footnote>
  <w:footnote w:type="continuationSeparator" w:id="0">
    <w:p w:rsidR="00D43E0D" w:rsidRDefault="00D43E0D"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1B6C7644"/>
    <w:lvl w:ilvl="0">
      <w:start w:val="1"/>
      <w:numFmt w:val="decimal"/>
      <w:pStyle w:val="AufzhlungStandard"/>
      <w:lvlText w:val="%1."/>
      <w:lvlJc w:val="left"/>
      <w:pPr>
        <w:ind w:left="454" w:hanging="454"/>
      </w:pPr>
      <w:rPr>
        <w:rFonts w:hint="default"/>
      </w:rPr>
    </w:lvl>
    <w:lvl w:ilvl="1">
      <w:start w:val="1"/>
      <w:numFmt w:val="decim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C081815"/>
    <w:multiLevelType w:val="multilevel"/>
    <w:tmpl w:val="8E8E4274"/>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2C8F1B47"/>
    <w:multiLevelType w:val="multilevel"/>
    <w:tmpl w:val="8A069CFE"/>
    <w:lvl w:ilvl="0">
      <w:start w:val="1"/>
      <w:numFmt w:val="bullet"/>
      <w:pStyle w:val="Liste2Aufzhlung"/>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6" w15:restartNumberingAfterBreak="0">
    <w:nsid w:val="2DB5369B"/>
    <w:multiLevelType w:val="multilevel"/>
    <w:tmpl w:val="22DCA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31276AE2"/>
    <w:multiLevelType w:val="multilevel"/>
    <w:tmpl w:val="8160A0E2"/>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color w:val="auto"/>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9"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D77D36"/>
    <w:multiLevelType w:val="multilevel"/>
    <w:tmpl w:val="92BEFC64"/>
    <w:lvl w:ilvl="0">
      <w:start w:val="1"/>
      <w:numFmt w:val="bullet"/>
      <w:pStyle w:val="Liste1Aufzhlung"/>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1"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3" w15:restartNumberingAfterBreak="0">
    <w:nsid w:val="749D0A51"/>
    <w:multiLevelType w:val="multilevel"/>
    <w:tmpl w:val="3A0071A0"/>
    <w:lvl w:ilvl="0">
      <w:start w:val="1"/>
      <w:numFmt w:val="bullet"/>
      <w:lvlText w:val=""/>
      <w:lvlJc w:val="left"/>
      <w:pPr>
        <w:ind w:left="425" w:hanging="425"/>
      </w:pPr>
      <w:rPr>
        <w:rFonts w:ascii="Symbol" w:hAnsi="Symbol" w:hint="default"/>
        <w:color w:val="auto"/>
        <w:sz w:val="24"/>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4"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4"/>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1"/>
  </w:num>
  <w:num w:numId="7">
    <w:abstractNumId w:val="7"/>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0"/>
  </w:num>
  <w:num w:numId="13">
    <w:abstractNumId w:val="9"/>
  </w:num>
  <w:num w:numId="14">
    <w:abstractNumId w:val="0"/>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5"/>
  </w:num>
  <w:num w:numId="20">
    <w:abstractNumId w:val="13"/>
    <w:lvlOverride w:ilvl="0">
      <w:lvl w:ilvl="0">
        <w:start w:val="1"/>
        <w:numFmt w:val="bullet"/>
        <w:lvlText w:val=""/>
        <w:lvlJc w:val="left"/>
        <w:pPr>
          <w:ind w:left="425" w:hanging="425"/>
        </w:pPr>
        <w:rPr>
          <w:rFonts w:ascii="Symbol" w:hAnsi="Symbol" w:hint="default"/>
          <w:b w:val="0"/>
          <w:bCs w:val="0"/>
          <w:i w:val="0"/>
          <w:iCs w:val="0"/>
          <w: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2."/>
        <w:lvlJc w:val="left"/>
        <w:pPr>
          <w:ind w:left="425" w:hanging="425"/>
        </w:pPr>
        <w:rPr>
          <w:rFonts w:hint="default"/>
          <w:color w:val="000000" w:themeColor="text1"/>
        </w:rPr>
      </w:lvl>
    </w:lvlOverride>
    <w:lvlOverride w:ilvl="2">
      <w:lvl w:ilvl="2">
        <w:start w:val="1"/>
        <w:numFmt w:val="lowerLetter"/>
        <w:lvlText w:val="%3)"/>
        <w:lvlJc w:val="left"/>
        <w:pPr>
          <w:ind w:left="425" w:hanging="425"/>
        </w:pPr>
        <w:rPr>
          <w:rFonts w:hint="default"/>
        </w:rPr>
      </w:lvl>
    </w:lvlOverride>
    <w:lvlOverride w:ilvl="3">
      <w:lvl w:ilvl="3">
        <w:start w:val="1"/>
        <w:numFmt w:val="decimal"/>
        <w:lvlText w:val="B%4"/>
        <w:lvlJc w:val="left"/>
        <w:pPr>
          <w:ind w:left="567" w:hanging="567"/>
        </w:pPr>
        <w:rPr>
          <w:rFonts w:ascii="Arial" w:hAnsi="Arial" w:hint="default"/>
          <w:b/>
          <w:i w:val="0"/>
          <w:color w:val="FF9600"/>
          <w:sz w:val="28"/>
        </w:rPr>
      </w:lvl>
    </w:lvlOverride>
    <w:lvlOverride w:ilvl="4">
      <w:lvl w:ilvl="4">
        <w:start w:val="1"/>
        <w:numFmt w:val="decimal"/>
        <w:lvlText w:val="E%5"/>
        <w:lvlJc w:val="left"/>
        <w:pPr>
          <w:ind w:left="567" w:hanging="567"/>
        </w:pPr>
        <w:rPr>
          <w:rFonts w:ascii="Arial" w:hAnsi="Arial" w:hint="default"/>
          <w:b/>
          <w:i w:val="0"/>
          <w:color w:val="FF9600"/>
          <w:sz w:val="32"/>
        </w:rPr>
      </w:lvl>
    </w:lvlOverride>
    <w:lvlOverride w:ilvl="5">
      <w:lvl w:ilvl="5">
        <w:start w:val="1"/>
        <w:numFmt w:val="bullet"/>
        <w:lvlText w:val=""/>
        <w:lvlJc w:val="left"/>
        <w:pPr>
          <w:ind w:left="709" w:hanging="425"/>
        </w:pPr>
        <w:rPr>
          <w:rFonts w:ascii="Wingdings" w:hAnsi="Wingdings" w:hint="default"/>
          <w:b/>
          <w:i w:val="0"/>
          <w:color w:val="FF9600"/>
          <w:sz w:val="28"/>
        </w:rPr>
      </w:lvl>
    </w:lvlOverride>
    <w:lvlOverride w:ilvl="6">
      <w:lvl w:ilvl="6">
        <w:start w:val="1"/>
        <w:numFmt w:val="none"/>
        <w:lvlText w:val=""/>
        <w:lvlJc w:val="left"/>
        <w:pPr>
          <w:ind w:left="425" w:hanging="425"/>
        </w:pPr>
        <w:rPr>
          <w:rFonts w:hint="default"/>
        </w:rPr>
      </w:lvl>
    </w:lvlOverride>
    <w:lvlOverride w:ilvl="7">
      <w:lvl w:ilvl="7">
        <w:start w:val="1"/>
        <w:numFmt w:val="none"/>
        <w:lvlText w:val=""/>
        <w:lvlJc w:val="left"/>
        <w:pPr>
          <w:ind w:left="425" w:hanging="425"/>
        </w:pPr>
        <w:rPr>
          <w:rFonts w:hint="default"/>
        </w:rPr>
      </w:lvl>
    </w:lvlOverride>
    <w:lvlOverride w:ilvl="8">
      <w:lvl w:ilvl="8">
        <w:start w:val="1"/>
        <w:numFmt w:val="none"/>
        <w:lvlText w:val=""/>
        <w:lvlJc w:val="left"/>
        <w:pPr>
          <w:ind w:left="425" w:hanging="425"/>
        </w:pPr>
        <w:rPr>
          <w:rFonts w:hint="default"/>
        </w:rPr>
      </w:lvl>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256A8"/>
    <w:rsid w:val="00045EDE"/>
    <w:rsid w:val="000712A2"/>
    <w:rsid w:val="00074491"/>
    <w:rsid w:val="000D4A1C"/>
    <w:rsid w:val="000E61E0"/>
    <w:rsid w:val="0015543D"/>
    <w:rsid w:val="001D6942"/>
    <w:rsid w:val="002005EF"/>
    <w:rsid w:val="0033663A"/>
    <w:rsid w:val="0036111E"/>
    <w:rsid w:val="00454953"/>
    <w:rsid w:val="00461D71"/>
    <w:rsid w:val="004D0FAE"/>
    <w:rsid w:val="005633FE"/>
    <w:rsid w:val="0058690D"/>
    <w:rsid w:val="005A7DCE"/>
    <w:rsid w:val="006C46BC"/>
    <w:rsid w:val="007161D1"/>
    <w:rsid w:val="00757DE7"/>
    <w:rsid w:val="00783295"/>
    <w:rsid w:val="007B2C80"/>
    <w:rsid w:val="007F18E1"/>
    <w:rsid w:val="007F60D5"/>
    <w:rsid w:val="008117E4"/>
    <w:rsid w:val="00825BFE"/>
    <w:rsid w:val="00833334"/>
    <w:rsid w:val="00850560"/>
    <w:rsid w:val="00883728"/>
    <w:rsid w:val="008A524D"/>
    <w:rsid w:val="00931B30"/>
    <w:rsid w:val="00945ED7"/>
    <w:rsid w:val="009710A6"/>
    <w:rsid w:val="00A21130"/>
    <w:rsid w:val="00A5383F"/>
    <w:rsid w:val="00AA5678"/>
    <w:rsid w:val="00AA5D66"/>
    <w:rsid w:val="00AB7E4B"/>
    <w:rsid w:val="00AE53F0"/>
    <w:rsid w:val="00AF7672"/>
    <w:rsid w:val="00C47CC6"/>
    <w:rsid w:val="00C6611D"/>
    <w:rsid w:val="00D43E0D"/>
    <w:rsid w:val="00D97908"/>
    <w:rsid w:val="00DB7964"/>
    <w:rsid w:val="00E14DE1"/>
    <w:rsid w:val="00E20AF3"/>
    <w:rsid w:val="00E37534"/>
    <w:rsid w:val="00E46BE8"/>
    <w:rsid w:val="00E54A99"/>
    <w:rsid w:val="00E8473B"/>
    <w:rsid w:val="00F0263F"/>
    <w:rsid w:val="00F76B3E"/>
    <w:rsid w:val="00F76D18"/>
    <w:rsid w:val="00FB297C"/>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25CFC3"/>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3E0D"/>
    <w:rPr>
      <w:color w:val="808080"/>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15543D"/>
    <w:pPr>
      <w:numPr>
        <w:numId w:val="12"/>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F0263F"/>
    <w:pPr>
      <w:numPr>
        <w:numId w:val="17"/>
      </w:numPr>
      <w:contextualSpacing w:val="0"/>
    </w:pPr>
  </w:style>
  <w:style w:type="character" w:customStyle="1" w:styleId="Liste1AufzhlungZchn">
    <w:name w:val="Liste 1 Aufzählung Zchn"/>
    <w:basedOn w:val="ListenabsatzZchn"/>
    <w:link w:val="Liste1Aufzhlung"/>
    <w:rsid w:val="0015543D"/>
  </w:style>
  <w:style w:type="character" w:customStyle="1" w:styleId="AufzhlungStandardZchn">
    <w:name w:val="Aufzählung Standard Zchn"/>
    <w:basedOn w:val="ListenabsatzZchn"/>
    <w:link w:val="AufzhlungStandard"/>
    <w:rsid w:val="00F0263F"/>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E46BE8"/>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rsid w:val="00C47CC6"/>
    <w:rPr>
      <w:b/>
      <w:bCs/>
    </w:rPr>
  </w:style>
  <w:style w:type="paragraph" w:styleId="Untertitel">
    <w:name w:val="Subtitle"/>
    <w:basedOn w:val="Standard"/>
    <w:next w:val="Standard"/>
    <w:link w:val="UntertitelZchn"/>
    <w:uiPriority w:val="11"/>
    <w:rsid w:val="00C6611D"/>
    <w:pPr>
      <w:numPr>
        <w:ilvl w:val="1"/>
      </w:numPr>
      <w:spacing w:after="160"/>
      <w:jc w:val="center"/>
    </w:pPr>
    <w:rPr>
      <w:rFonts w:asciiTheme="minorHAnsi" w:eastAsiaTheme="minorEastAsia" w:hAnsiTheme="minorHAnsi"/>
      <w:color w:val="000000" w:themeColor="text1"/>
      <w:spacing w:val="15"/>
      <w:sz w:val="36"/>
    </w:rPr>
  </w:style>
  <w:style w:type="character" w:customStyle="1" w:styleId="UntertitelZchn">
    <w:name w:val="Untertitel Zchn"/>
    <w:basedOn w:val="Absatz-Standardschriftart"/>
    <w:link w:val="Untertitel"/>
    <w:uiPriority w:val="11"/>
    <w:rsid w:val="00C6611D"/>
    <w:rPr>
      <w:rFonts w:asciiTheme="minorHAnsi" w:eastAsiaTheme="minorEastAsia" w:hAnsiTheme="minorHAnsi"/>
      <w:color w:val="000000" w:themeColor="text1"/>
      <w:spacing w:val="15"/>
      <w:sz w:val="36"/>
    </w:rPr>
  </w:style>
  <w:style w:type="paragraph" w:customStyle="1" w:styleId="CASNr">
    <w:name w:val="CASNr"/>
    <w:basedOn w:val="AufzhlungStandard"/>
    <w:link w:val="CASNrZchn"/>
    <w:qFormat/>
    <w:rsid w:val="00E37534"/>
    <w:pPr>
      <w:ind w:left="425" w:hanging="425"/>
    </w:pPr>
    <w:rPr>
      <w:sz w:val="20"/>
      <w:szCs w:val="20"/>
    </w:rPr>
  </w:style>
  <w:style w:type="character" w:customStyle="1" w:styleId="CASNrZchn">
    <w:name w:val="CASNr Zchn"/>
    <w:basedOn w:val="AufzhlungStandardZchn"/>
    <w:link w:val="CASNr"/>
    <w:rsid w:val="00E37534"/>
    <w:rPr>
      <w:sz w:val="20"/>
      <w:szCs w:val="20"/>
    </w:rPr>
  </w:style>
  <w:style w:type="paragraph" w:customStyle="1" w:styleId="Formeln">
    <w:name w:val="Formeln"/>
    <w:basedOn w:val="Standard"/>
    <w:qFormat/>
    <w:rsid w:val="00E37534"/>
    <w:pPr>
      <w:spacing w:before="240" w:after="240"/>
      <w:jc w:val="center"/>
    </w:pPr>
    <w:rPr>
      <w:iCs/>
      <w:sz w:val="28"/>
      <w:szCs w:val="32"/>
    </w:rPr>
  </w:style>
  <w:style w:type="character" w:styleId="BesuchterLink">
    <w:name w:val="FollowedHyperlink"/>
    <w:basedOn w:val="Absatz-Standardschriftart"/>
    <w:uiPriority w:val="99"/>
    <w:semiHidden/>
    <w:unhideWhenUsed/>
    <w:rsid w:val="00757DE7"/>
    <w:rPr>
      <w:color w:val="0000FF" w:themeColor="followedHyperlink"/>
      <w:u w:val="single"/>
    </w:rPr>
  </w:style>
  <w:style w:type="character" w:customStyle="1" w:styleId="UnresolvedMention">
    <w:name w:val="Unresolved Mention"/>
    <w:basedOn w:val="Absatz-Standardschriftart"/>
    <w:uiPriority w:val="99"/>
    <w:semiHidden/>
    <w:unhideWhenUsed/>
    <w:rsid w:val="00757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38453">
      <w:bodyDiv w:val="1"/>
      <w:marLeft w:val="0"/>
      <w:marRight w:val="0"/>
      <w:marTop w:val="0"/>
      <w:marBottom w:val="0"/>
      <w:divBdr>
        <w:top w:val="none" w:sz="0" w:space="0" w:color="auto"/>
        <w:left w:val="none" w:sz="0" w:space="0" w:color="auto"/>
        <w:bottom w:val="none" w:sz="0" w:space="0" w:color="auto"/>
        <w:right w:val="none" w:sz="0" w:space="0" w:color="auto"/>
      </w:divBdr>
    </w:div>
    <w:div w:id="927496890">
      <w:bodyDiv w:val="1"/>
      <w:marLeft w:val="0"/>
      <w:marRight w:val="0"/>
      <w:marTop w:val="0"/>
      <w:marBottom w:val="0"/>
      <w:divBdr>
        <w:top w:val="none" w:sz="0" w:space="0" w:color="auto"/>
        <w:left w:val="none" w:sz="0" w:space="0" w:color="auto"/>
        <w:bottom w:val="none" w:sz="0" w:space="0" w:color="auto"/>
        <w:right w:val="none" w:sz="0" w:space="0" w:color="auto"/>
      </w:divBdr>
    </w:div>
    <w:div w:id="1186023388">
      <w:bodyDiv w:val="1"/>
      <w:marLeft w:val="0"/>
      <w:marRight w:val="0"/>
      <w:marTop w:val="0"/>
      <w:marBottom w:val="0"/>
      <w:divBdr>
        <w:top w:val="none" w:sz="0" w:space="0" w:color="auto"/>
        <w:left w:val="none" w:sz="0" w:space="0" w:color="auto"/>
        <w:bottom w:val="none" w:sz="0" w:space="0" w:color="auto"/>
        <w:right w:val="none" w:sz="0" w:space="0" w:color="auto"/>
      </w:divBdr>
    </w:div>
    <w:div w:id="16068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A004E-9EC8-433B-8359-E78083CF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ADB153D1.dotm</Template>
  <TotalTime>0</TotalTime>
  <Pages>5</Pages>
  <Words>1373</Words>
  <Characters>8651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6</cp:revision>
  <cp:lastPrinted>2020-08-14T12:10:00Z</cp:lastPrinted>
  <dcterms:created xsi:type="dcterms:W3CDTF">2020-07-31T07:30:00Z</dcterms:created>
  <dcterms:modified xsi:type="dcterms:W3CDTF">2020-08-14T12:10:00Z</dcterms:modified>
</cp:coreProperties>
</file>