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38BA3E" w14:textId="77777777" w:rsidR="00E8473B" w:rsidRPr="003A518E" w:rsidRDefault="00E8473B" w:rsidP="00E8473B">
      <w:pPr>
        <w:pStyle w:val="Bilder"/>
      </w:pPr>
      <w:r w:rsidRPr="003A518E">
        <w:rPr>
          <w:lang w:eastAsia="de-DE"/>
        </w:rPr>
        <mc:AlternateContent>
          <mc:Choice Requires="wpg">
            <w:drawing>
              <wp:inline distT="0" distB="0" distL="0" distR="0" wp14:anchorId="3A498093" wp14:editId="30D65A0D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E6F75" w14:textId="77777777"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A518E">
        <w:t xml:space="preserve">                                                      </w:t>
      </w:r>
      <w:r w:rsidRPr="003A518E">
        <w:rPr>
          <w:lang w:eastAsia="de-DE"/>
        </w:rPr>
        <w:drawing>
          <wp:inline distT="0" distB="0" distL="0" distR="0" wp14:anchorId="2A49659D" wp14:editId="5CCBF70C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D982A" w14:textId="77777777" w:rsidR="00AE53F0" w:rsidRPr="003A518E" w:rsidRDefault="00E8473B" w:rsidP="003A518E">
      <w:pPr>
        <w:pStyle w:val="Seminar"/>
      </w:pPr>
      <w:r w:rsidRPr="003A518E">
        <w:t>Seminar</w:t>
      </w:r>
      <w:r w:rsidR="00FD7888" w:rsidRPr="003A518E">
        <w:t xml:space="preserve"> „Übungen im Vortragen – </w:t>
      </w:r>
      <w:r w:rsidR="003A518E" w:rsidRPr="003A518E">
        <w:t>OC</w:t>
      </w:r>
      <w:r w:rsidR="00FD7888" w:rsidRPr="003A518E">
        <w:t>“</w:t>
      </w:r>
    </w:p>
    <w:p w14:paraId="3ED37393" w14:textId="77777777" w:rsidR="003A518E" w:rsidRPr="003A518E" w:rsidRDefault="003A518E" w:rsidP="003A518E">
      <w:pPr>
        <w:pStyle w:val="Titel"/>
      </w:pPr>
      <w:r w:rsidRPr="003A518E">
        <w:t>Ca</w:t>
      </w:r>
      <w:r w:rsidRPr="003A518E">
        <w:rPr>
          <w:vertAlign w:val="superscript"/>
        </w:rPr>
        <w:t>2+</w:t>
      </w:r>
      <w:r w:rsidRPr="003A518E">
        <w:t>-Antagonisten:</w:t>
      </w:r>
      <w:r w:rsidRPr="003A518E">
        <w:br/>
        <w:t>Struktur und Bedeutung</w:t>
      </w:r>
    </w:p>
    <w:p w14:paraId="5105B2F5" w14:textId="77777777" w:rsidR="00E8473B" w:rsidRPr="003A518E" w:rsidRDefault="003A518E" w:rsidP="00E8473B">
      <w:pPr>
        <w:pStyle w:val="Autor"/>
      </w:pPr>
      <w:r w:rsidRPr="003A518E">
        <w:t>Annika Bohn, SS 11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620636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AF31B3" w14:textId="77777777" w:rsidR="00B115B2" w:rsidRPr="003A518E" w:rsidRDefault="00B115B2">
          <w:pPr>
            <w:pStyle w:val="Inhaltsverzeichnisberschrift"/>
          </w:pPr>
          <w:r w:rsidRPr="003A518E">
            <w:t>Gliederung</w:t>
          </w:r>
        </w:p>
        <w:p w14:paraId="761291EA" w14:textId="685F259E" w:rsidR="002460D3" w:rsidRDefault="00B115B2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3A518E">
            <w:fldChar w:fldCharType="begin"/>
          </w:r>
          <w:r w:rsidRPr="003A518E">
            <w:instrText xml:space="preserve"> TOC \o "1-3" \h \z \u </w:instrText>
          </w:r>
          <w:r w:rsidRPr="003A518E">
            <w:fldChar w:fldCharType="separate"/>
          </w:r>
          <w:hyperlink w:anchor="_Toc37847959" w:history="1">
            <w:r w:rsidR="002460D3" w:rsidRPr="00F32FA5">
              <w:rPr>
                <w:rStyle w:val="Hyperlink"/>
                <w:noProof/>
              </w:rPr>
              <w:t>1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Was sind Ca</w:t>
            </w:r>
            <w:r w:rsidR="002460D3" w:rsidRPr="00F32FA5">
              <w:rPr>
                <w:rStyle w:val="Hyperlink"/>
                <w:noProof/>
                <w:vertAlign w:val="superscript"/>
              </w:rPr>
              <w:t>2+</w:t>
            </w:r>
            <w:r w:rsidR="002460D3" w:rsidRPr="00F32FA5">
              <w:rPr>
                <w:rStyle w:val="Hyperlink"/>
                <w:noProof/>
              </w:rPr>
              <w:t>-Antagonisten?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_Toc37847959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 w:rsidR="00461512">
              <w:rPr>
                <w:noProof/>
                <w:webHidden/>
              </w:rPr>
              <w:t>2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4174C1CF" w14:textId="216BDCB2" w:rsidR="002460D3" w:rsidRDefault="00461512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0" w:history="1">
            <w:r w:rsidR="002460D3" w:rsidRPr="00F32FA5">
              <w:rPr>
                <w:rStyle w:val="Hyperlink"/>
                <w:noProof/>
              </w:rPr>
              <w:t>1.1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Ca</w:t>
            </w:r>
            <w:r w:rsidR="002460D3" w:rsidRPr="00F32FA5">
              <w:rPr>
                <w:rStyle w:val="Hyperlink"/>
                <w:noProof/>
                <w:vertAlign w:val="superscript"/>
              </w:rPr>
              <w:t>2+</w:t>
            </w:r>
            <w:r w:rsidR="002460D3" w:rsidRPr="00F32FA5">
              <w:rPr>
                <w:rStyle w:val="Hyperlink"/>
                <w:noProof/>
              </w:rPr>
              <w:t>-Ionen im menschlichen Körper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_Toc37847960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373BE928" w14:textId="58E61742" w:rsidR="002460D3" w:rsidRDefault="00461512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1" w:history="1">
            <w:r w:rsidR="002460D3" w:rsidRPr="00F32FA5">
              <w:rPr>
                <w:rStyle w:val="Hyperlink"/>
                <w:noProof/>
              </w:rPr>
              <w:t>1.2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Einteilung der Ca</w:t>
            </w:r>
            <w:r w:rsidR="002460D3" w:rsidRPr="00F32FA5">
              <w:rPr>
                <w:rStyle w:val="Hyperlink"/>
                <w:noProof/>
                <w:vertAlign w:val="superscript"/>
              </w:rPr>
              <w:t>2+</w:t>
            </w:r>
            <w:r w:rsidR="002460D3" w:rsidRPr="00F32FA5">
              <w:rPr>
                <w:rStyle w:val="Hyperlink"/>
                <w:noProof/>
              </w:rPr>
              <w:t>-Antagonisten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_Toc37847961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106C7DE6" w14:textId="2A6CF594" w:rsidR="002460D3" w:rsidRDefault="00461512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2" w:history="1">
            <w:r w:rsidR="002460D3" w:rsidRPr="00F32FA5">
              <w:rPr>
                <w:rStyle w:val="Hyperlink"/>
                <w:noProof/>
              </w:rPr>
              <w:t>1.2.1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Dihydropyridin(DHP)-Derivate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_Toc37847962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2D269648" w14:textId="31EB1B4C" w:rsidR="002460D3" w:rsidRDefault="00461512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3" w:history="1">
            <w:r w:rsidR="002460D3" w:rsidRPr="00F32FA5">
              <w:rPr>
                <w:rStyle w:val="Hyperlink"/>
                <w:noProof/>
              </w:rPr>
              <w:t>1.2.2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Nicht-DHP-Derivate: Diphenylalkylamin-Derivate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_Toc37847963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3C6004B3" w14:textId="737640FC" w:rsidR="002460D3" w:rsidRDefault="00461512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4" w:history="1">
            <w:r w:rsidR="002460D3" w:rsidRPr="00F32FA5">
              <w:rPr>
                <w:rStyle w:val="Hyperlink"/>
                <w:noProof/>
              </w:rPr>
              <w:t>1.2.3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Nicht-DHP-Derivate: Benzothiazepin-Derivate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_Toc37847964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4AA117E0" w14:textId="37FE4D05" w:rsidR="002460D3" w:rsidRDefault="00461512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5" w:history="1">
            <w:r w:rsidR="002460D3" w:rsidRPr="00F32FA5">
              <w:rPr>
                <w:rStyle w:val="Hyperlink"/>
                <w:noProof/>
              </w:rPr>
              <w:t>1.3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Ca</w:t>
            </w:r>
            <w:r w:rsidR="002460D3" w:rsidRPr="00F32FA5">
              <w:rPr>
                <w:rStyle w:val="Hyperlink"/>
                <w:noProof/>
                <w:vertAlign w:val="superscript"/>
              </w:rPr>
              <w:t>2+</w:t>
            </w:r>
            <w:r w:rsidR="002460D3" w:rsidRPr="00F32FA5">
              <w:rPr>
                <w:rStyle w:val="Hyperlink"/>
                <w:noProof/>
              </w:rPr>
              <w:t>-Einstrom und antagonistische Wirkung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_Toc37847965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211DC5D7" w14:textId="198FC864" w:rsidR="002460D3" w:rsidRDefault="00461512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6" w:history="1">
            <w:r w:rsidR="002460D3" w:rsidRPr="00F32FA5">
              <w:rPr>
                <w:rStyle w:val="Hyperlink"/>
                <w:noProof/>
              </w:rPr>
              <w:t>2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Wirkung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_Toc37847966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0E3B9E4D" w14:textId="02839735" w:rsidR="002460D3" w:rsidRDefault="00461512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7" w:history="1">
            <w:r w:rsidR="002460D3" w:rsidRPr="00F32FA5">
              <w:rPr>
                <w:rStyle w:val="Hyperlink"/>
                <w:noProof/>
              </w:rPr>
              <w:t>2.1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Wirkungserhöhung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_Toc37847967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2034B79B" w14:textId="4B821276" w:rsidR="002460D3" w:rsidRDefault="00461512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8" w:history="1">
            <w:r w:rsidR="002460D3" w:rsidRPr="00F32FA5">
              <w:rPr>
                <w:rStyle w:val="Hyperlink"/>
                <w:noProof/>
              </w:rPr>
              <w:t>2.2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Wirkungsumkehr (vom Antagonisten zum Agonisten)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_Toc37847968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217481AA" w14:textId="3AD0AB50" w:rsidR="002460D3" w:rsidRDefault="00461512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7847969" w:history="1">
            <w:r w:rsidR="002460D3" w:rsidRPr="00F32FA5">
              <w:rPr>
                <w:rStyle w:val="Hyperlink"/>
                <w:noProof/>
              </w:rPr>
              <w:t>3</w:t>
            </w:r>
            <w:r w:rsidR="002460D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60D3" w:rsidRPr="00F32FA5">
              <w:rPr>
                <w:rStyle w:val="Hyperlink"/>
                <w:noProof/>
              </w:rPr>
              <w:t>Einsatz und Bedeutung</w:t>
            </w:r>
            <w:r w:rsidR="002460D3">
              <w:rPr>
                <w:noProof/>
                <w:webHidden/>
              </w:rPr>
              <w:tab/>
            </w:r>
            <w:r w:rsidR="002460D3">
              <w:rPr>
                <w:noProof/>
                <w:webHidden/>
              </w:rPr>
              <w:fldChar w:fldCharType="begin"/>
            </w:r>
            <w:r w:rsidR="002460D3">
              <w:rPr>
                <w:noProof/>
                <w:webHidden/>
              </w:rPr>
              <w:instrText xml:space="preserve"> PAGEREF _Toc37847969 \h </w:instrText>
            </w:r>
            <w:r w:rsidR="002460D3">
              <w:rPr>
                <w:noProof/>
                <w:webHidden/>
              </w:rPr>
            </w:r>
            <w:r w:rsidR="002460D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460D3">
              <w:rPr>
                <w:noProof/>
                <w:webHidden/>
              </w:rPr>
              <w:fldChar w:fldCharType="end"/>
            </w:r>
          </w:hyperlink>
        </w:p>
        <w:p w14:paraId="0D9F0DC2" w14:textId="77777777" w:rsidR="00B115B2" w:rsidRPr="003A518E" w:rsidRDefault="00B115B2">
          <w:r w:rsidRPr="003A518E">
            <w:rPr>
              <w:b/>
              <w:bCs/>
            </w:rPr>
            <w:fldChar w:fldCharType="end"/>
          </w:r>
        </w:p>
      </w:sdtContent>
    </w:sdt>
    <w:p w14:paraId="29DF8B64" w14:textId="77777777" w:rsidR="00FD7888" w:rsidRPr="003A518E" w:rsidRDefault="00FD7888" w:rsidP="00FD7888">
      <w:pPr>
        <w:pStyle w:val="EinstiegAbschluss"/>
      </w:pPr>
      <w:bookmarkStart w:id="1" w:name="_Überschrift_1"/>
      <w:bookmarkEnd w:id="1"/>
      <w:r w:rsidRPr="003A518E">
        <w:t>Einstieg:</w:t>
      </w:r>
    </w:p>
    <w:p w14:paraId="7FF352D7" w14:textId="2D9DF11F" w:rsidR="003A518E" w:rsidRDefault="003A518E" w:rsidP="00FD7888">
      <w:pPr>
        <w:pStyle w:val="EinstiegAbschluss"/>
      </w:pPr>
      <w:r w:rsidRPr="003A518E">
        <w:t>Jeder kennt die Prozedur beim Arzt, vor jeder Behandlung wird der Blutdruck gemessen (</w:t>
      </w:r>
      <w:r w:rsidR="00DF1DBE">
        <w:rPr>
          <w:color w:val="FF0000" w:themeColor="accent2"/>
        </w:rPr>
        <w:fldChar w:fldCharType="begin"/>
      </w:r>
      <w:r w:rsidR="00DF1DBE">
        <w:instrText xml:space="preserve"> REF _Ref37840855 \h </w:instrText>
      </w:r>
      <w:r w:rsidR="00DF1DBE">
        <w:rPr>
          <w:color w:val="FF0000" w:themeColor="accent2"/>
        </w:rPr>
      </w:r>
      <w:r w:rsidR="00DF1DBE">
        <w:rPr>
          <w:color w:val="FF0000" w:themeColor="accent2"/>
        </w:rPr>
        <w:fldChar w:fldCharType="separate"/>
      </w:r>
      <w:r w:rsidR="00461512">
        <w:t xml:space="preserve">Abb. </w:t>
      </w:r>
      <w:r w:rsidR="00461512">
        <w:rPr>
          <w:noProof/>
        </w:rPr>
        <w:t>1</w:t>
      </w:r>
      <w:r w:rsidR="00DF1DBE">
        <w:rPr>
          <w:color w:val="FF0000" w:themeColor="accent2"/>
        </w:rPr>
        <w:fldChar w:fldCharType="end"/>
      </w:r>
      <w:r w:rsidRPr="003A518E">
        <w:t>). Dies ist von enormer Bedeutung, denn mehr als 16 Millionen Deutsche leiden unter Blut-Hochdruck und wissen es nicht einmal. Von Blut-Hochdruck spricht man ab einem systolischen Wert von 140 mmHg und einem diastolischen Wert von 90 </w:t>
      </w:r>
      <w:proofErr w:type="spellStart"/>
      <w:r w:rsidRPr="003A518E">
        <w:t>mmHg</w:t>
      </w:r>
      <w:proofErr w:type="spellEnd"/>
      <w:r w:rsidRPr="003A518E">
        <w:t xml:space="preserve"> (</w:t>
      </w:r>
      <w:r w:rsidR="00DF1DBE">
        <w:rPr>
          <w:color w:val="FF0000" w:themeColor="accent2"/>
        </w:rPr>
        <w:fldChar w:fldCharType="begin"/>
      </w:r>
      <w:r w:rsidR="00DF1DBE">
        <w:instrText xml:space="preserve"> REF _Ref37841199 \h </w:instrText>
      </w:r>
      <w:r w:rsidR="00DF1DBE">
        <w:rPr>
          <w:color w:val="FF0000" w:themeColor="accent2"/>
        </w:rPr>
      </w:r>
      <w:r w:rsidR="00DF1DBE">
        <w:rPr>
          <w:color w:val="FF0000" w:themeColor="accent2"/>
        </w:rPr>
        <w:fldChar w:fldCharType="separate"/>
      </w:r>
      <w:r w:rsidR="00461512">
        <w:t xml:space="preserve">Abb. </w:t>
      </w:r>
      <w:r w:rsidR="00461512">
        <w:rPr>
          <w:noProof/>
        </w:rPr>
        <w:t>2</w:t>
      </w:r>
      <w:r w:rsidR="00DF1DBE">
        <w:rPr>
          <w:color w:val="FF0000" w:themeColor="accent2"/>
        </w:rPr>
        <w:fldChar w:fldCharType="end"/>
      </w:r>
      <w:r w:rsidRPr="003A518E">
        <w:t>). Blut-Hochdruck kann zu Schlaganfällen und Herz-Erkrankungen führen. Deshalb war die Entdeckung von Ca2+-Antagonisten in der Medizin als Blutdruck-Senker von besonderer Bedeutung.</w:t>
      </w:r>
    </w:p>
    <w:p w14:paraId="34BE084E" w14:textId="77777777" w:rsidR="00620A0D" w:rsidRDefault="00DF1DBE" w:rsidP="00620A0D">
      <w:pPr>
        <w:pStyle w:val="Bilder"/>
      </w:pPr>
      <w:r>
        <w:drawing>
          <wp:inline distT="0" distB="0" distL="0" distR="0" wp14:anchorId="17D17E59" wp14:editId="5AE8E0E4">
            <wp:extent cx="1353600" cy="180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5819" w14:textId="3F66E179" w:rsidR="00620A0D" w:rsidRDefault="00620A0D" w:rsidP="00620A0D">
      <w:pPr>
        <w:pStyle w:val="Beschriftung"/>
      </w:pPr>
      <w:bookmarkStart w:id="2" w:name="_Ref37840855"/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1</w:t>
      </w:r>
      <w:r w:rsidR="00461512">
        <w:rPr>
          <w:noProof/>
        </w:rPr>
        <w:fldChar w:fldCharType="end"/>
      </w:r>
      <w:bookmarkEnd w:id="2"/>
      <w:r>
        <w:t xml:space="preserve">: </w:t>
      </w:r>
      <w:r w:rsidR="00DF1DBE">
        <w:t>Blutdruck messen</w:t>
      </w:r>
      <w:r>
        <w:t xml:space="preserve"> [</w:t>
      </w:r>
      <w:r w:rsidR="00DF1DBE">
        <w:fldChar w:fldCharType="begin"/>
      </w:r>
      <w:r w:rsidR="00DF1DBE">
        <w:instrText xml:space="preserve"> REF _Ref37840792 \r \h </w:instrText>
      </w:r>
      <w:r w:rsidR="00DF1DBE">
        <w:fldChar w:fldCharType="separate"/>
      </w:r>
      <w:r w:rsidR="00461512">
        <w:t>1</w:t>
      </w:r>
      <w:r w:rsidR="00DF1DBE">
        <w:fldChar w:fldCharType="end"/>
      </w:r>
      <w:r w:rsidR="00DF1DBE">
        <w:t>]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364"/>
        <w:gridCol w:w="2443"/>
      </w:tblGrid>
      <w:tr w:rsidR="00DF1DBE" w14:paraId="5ECAAFCE" w14:textId="77777777" w:rsidTr="00DF1DB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0ADA706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lastRenderedPageBreak/>
              <w:t>Blutdruck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0ED7967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systolisch [mmHg]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15757A9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diastolisch [mmHg]</w:t>
            </w:r>
          </w:p>
        </w:tc>
      </w:tr>
      <w:tr w:rsidR="00DF1DBE" w14:paraId="6F1FA963" w14:textId="77777777" w:rsidTr="00DF1DB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0C761A2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optimal</w:t>
            </w:r>
          </w:p>
        </w:tc>
        <w:tc>
          <w:tcPr>
            <w:tcW w:w="0" w:type="auto"/>
            <w:vAlign w:val="center"/>
          </w:tcPr>
          <w:p w14:paraId="1BF937A1" w14:textId="77777777" w:rsidR="00DF1DBE" w:rsidRDefault="00DF1DBE" w:rsidP="00DF1DBE">
            <w:pPr>
              <w:jc w:val="center"/>
            </w:pPr>
            <w:r>
              <w:t>&lt; 120</w:t>
            </w:r>
          </w:p>
        </w:tc>
        <w:tc>
          <w:tcPr>
            <w:tcW w:w="0" w:type="auto"/>
            <w:vAlign w:val="center"/>
          </w:tcPr>
          <w:p w14:paraId="42D7E2AC" w14:textId="77777777" w:rsidR="00DF1DBE" w:rsidRDefault="00DF1DBE" w:rsidP="00DF1DBE">
            <w:pPr>
              <w:jc w:val="center"/>
            </w:pPr>
            <w:r>
              <w:t>&lt; 80</w:t>
            </w:r>
          </w:p>
        </w:tc>
      </w:tr>
      <w:tr w:rsidR="00DF1DBE" w14:paraId="7F14B010" w14:textId="77777777" w:rsidTr="00DF1DB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CB2310E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normal</w:t>
            </w:r>
          </w:p>
        </w:tc>
        <w:tc>
          <w:tcPr>
            <w:tcW w:w="0" w:type="auto"/>
            <w:vAlign w:val="center"/>
          </w:tcPr>
          <w:p w14:paraId="4B10A3C0" w14:textId="77777777" w:rsidR="00DF1DBE" w:rsidRDefault="00DF1DBE" w:rsidP="00DF1DBE">
            <w:pPr>
              <w:jc w:val="center"/>
            </w:pPr>
            <w:r>
              <w:t>&lt; 130</w:t>
            </w:r>
          </w:p>
        </w:tc>
        <w:tc>
          <w:tcPr>
            <w:tcW w:w="0" w:type="auto"/>
            <w:vAlign w:val="center"/>
          </w:tcPr>
          <w:p w14:paraId="5866E965" w14:textId="77777777" w:rsidR="00DF1DBE" w:rsidRDefault="00DF1DBE" w:rsidP="00DF1DBE">
            <w:pPr>
              <w:jc w:val="center"/>
            </w:pPr>
            <w:r>
              <w:t>&lt; 85</w:t>
            </w:r>
          </w:p>
        </w:tc>
      </w:tr>
      <w:tr w:rsidR="00DF1DBE" w14:paraId="680D1C50" w14:textId="77777777" w:rsidTr="00DF1DB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57B356FD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hoch normal</w:t>
            </w:r>
          </w:p>
        </w:tc>
        <w:tc>
          <w:tcPr>
            <w:tcW w:w="0" w:type="auto"/>
            <w:vAlign w:val="center"/>
          </w:tcPr>
          <w:p w14:paraId="161D0772" w14:textId="77777777" w:rsidR="00DF1DBE" w:rsidRDefault="00DF1DBE" w:rsidP="00DF1DBE">
            <w:pPr>
              <w:jc w:val="center"/>
            </w:pPr>
            <w:r>
              <w:t>130 – 139</w:t>
            </w:r>
          </w:p>
        </w:tc>
        <w:tc>
          <w:tcPr>
            <w:tcW w:w="0" w:type="auto"/>
            <w:vAlign w:val="center"/>
          </w:tcPr>
          <w:p w14:paraId="72B36A97" w14:textId="77777777" w:rsidR="00DF1DBE" w:rsidRDefault="00DF1DBE" w:rsidP="00DF1DBE">
            <w:pPr>
              <w:jc w:val="center"/>
            </w:pPr>
            <w:r>
              <w:t>85 – 89</w:t>
            </w:r>
          </w:p>
        </w:tc>
      </w:tr>
      <w:tr w:rsidR="00DF1DBE" w14:paraId="5C498FF0" w14:textId="77777777" w:rsidTr="00DF1DB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5A0413D6" w14:textId="77777777" w:rsidR="00DF1DBE" w:rsidRPr="00DF1DBE" w:rsidRDefault="00DF1DBE" w:rsidP="00DF1DBE">
            <w:pPr>
              <w:rPr>
                <w:rStyle w:val="Fett"/>
              </w:rPr>
            </w:pPr>
            <w:r w:rsidRPr="00DF1DBE">
              <w:rPr>
                <w:rStyle w:val="Fett"/>
              </w:rPr>
              <w:t>Blut-Hochdruck</w:t>
            </w:r>
          </w:p>
        </w:tc>
        <w:tc>
          <w:tcPr>
            <w:tcW w:w="0" w:type="auto"/>
            <w:vAlign w:val="center"/>
          </w:tcPr>
          <w:p w14:paraId="6979CC5C" w14:textId="77777777" w:rsidR="00DF1DBE" w:rsidRDefault="00DF1DBE" w:rsidP="00DF1DBE">
            <w:pPr>
              <w:jc w:val="center"/>
            </w:pPr>
            <w:r>
              <w:rPr>
                <w:rFonts w:cs="Arial"/>
              </w:rPr>
              <w:t>≤</w:t>
            </w:r>
            <w:r>
              <w:t> 140</w:t>
            </w:r>
          </w:p>
        </w:tc>
        <w:tc>
          <w:tcPr>
            <w:tcW w:w="0" w:type="auto"/>
            <w:vAlign w:val="center"/>
          </w:tcPr>
          <w:p w14:paraId="00A1DA8A" w14:textId="77777777" w:rsidR="00DF1DBE" w:rsidRDefault="00DF1DBE" w:rsidP="00DF1DBE">
            <w:pPr>
              <w:jc w:val="center"/>
            </w:pPr>
            <w:r>
              <w:rPr>
                <w:rFonts w:cs="Arial"/>
              </w:rPr>
              <w:t>≤</w:t>
            </w:r>
            <w:r>
              <w:t> 90</w:t>
            </w:r>
          </w:p>
        </w:tc>
      </w:tr>
    </w:tbl>
    <w:p w14:paraId="0D23BFAF" w14:textId="7E067EB2" w:rsidR="00DF1DBE" w:rsidRPr="00DF1DBE" w:rsidRDefault="00DF1DBE" w:rsidP="00DF1DBE">
      <w:pPr>
        <w:pStyle w:val="Beschriftung"/>
      </w:pPr>
      <w:bookmarkStart w:id="3" w:name="_Ref37841199"/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2</w:t>
      </w:r>
      <w:r w:rsidR="00461512">
        <w:rPr>
          <w:noProof/>
        </w:rPr>
        <w:fldChar w:fldCharType="end"/>
      </w:r>
      <w:bookmarkEnd w:id="3"/>
      <w:r>
        <w:t>: Einteilung der Blutdruck-Werte [</w:t>
      </w:r>
      <w:r>
        <w:fldChar w:fldCharType="begin"/>
      </w:r>
      <w:r>
        <w:instrText xml:space="preserve"> REF _Ref37841186 \r \h </w:instrText>
      </w:r>
      <w:r>
        <w:fldChar w:fldCharType="separate"/>
      </w:r>
      <w:r w:rsidR="00461512">
        <w:t>2</w:t>
      </w:r>
      <w:r>
        <w:fldChar w:fldCharType="end"/>
      </w:r>
      <w:r>
        <w:t>]</w:t>
      </w:r>
    </w:p>
    <w:p w14:paraId="2F7D652E" w14:textId="77777777" w:rsidR="00E8473B" w:rsidRDefault="00DF1DBE" w:rsidP="008A524D">
      <w:pPr>
        <w:pStyle w:val="berschrift1"/>
      </w:pPr>
      <w:bookmarkStart w:id="4" w:name="_Toc37847959"/>
      <w:r>
        <w:t>Was sind Ca</w:t>
      </w:r>
      <w:r w:rsidRPr="00DF1DBE">
        <w:rPr>
          <w:vertAlign w:val="superscript"/>
        </w:rPr>
        <w:t>2+</w:t>
      </w:r>
      <w:r>
        <w:t>-Antagonisten?</w:t>
      </w:r>
      <w:bookmarkEnd w:id="4"/>
    </w:p>
    <w:p w14:paraId="789F6FEC" w14:textId="77777777" w:rsidR="00DF1DBE" w:rsidRDefault="00DF1DBE" w:rsidP="00DF1DBE">
      <w:r w:rsidRPr="00DF1DBE">
        <w:t>Ca</w:t>
      </w:r>
      <w:r w:rsidRPr="00AA7956">
        <w:rPr>
          <w:vertAlign w:val="superscript"/>
        </w:rPr>
        <w:t>2+</w:t>
      </w:r>
      <w:r w:rsidRPr="00DF1DBE">
        <w:t>-Antagonisten sind Moleküle, die</w:t>
      </w:r>
      <w:r>
        <w:t xml:space="preserve"> den Einstrom von Ca</w:t>
      </w:r>
      <w:r w:rsidRPr="00AA7956">
        <w:rPr>
          <w:vertAlign w:val="superscript"/>
        </w:rPr>
        <w:t>2+</w:t>
      </w:r>
      <w:r>
        <w:t xml:space="preserve">-Ionen in das Innere der Muskel-Zellen erniedrigen. Sie setzen zunächst die Kontraktionskraft und den Spannungszustand des Herz-Muskels herab. Dies </w:t>
      </w:r>
      <w:r w:rsidR="00AA7956">
        <w:t>führt</w:t>
      </w:r>
      <w:r>
        <w:t xml:space="preserve"> zu einer Senkung des Sauerstoff-Bedarfs des Herz-Muskels. Daraufhin erweitern sich die Blut</w:t>
      </w:r>
      <w:r w:rsidR="00AA7956">
        <w:t>g</w:t>
      </w:r>
      <w:r>
        <w:t>efäße und der Blutdruck wird gesenkt.</w:t>
      </w:r>
    </w:p>
    <w:p w14:paraId="1795A540" w14:textId="77777777" w:rsidR="00AA7956" w:rsidRDefault="00AA7956" w:rsidP="00AA7956">
      <w:pPr>
        <w:pStyle w:val="berschrift2"/>
      </w:pPr>
      <w:bookmarkStart w:id="5" w:name="_Toc37847960"/>
      <w:r>
        <w:t>Ca</w:t>
      </w:r>
      <w:r w:rsidRPr="00AA7956">
        <w:rPr>
          <w:vertAlign w:val="superscript"/>
        </w:rPr>
        <w:t>2+</w:t>
      </w:r>
      <w:r>
        <w:t>-Ionen im menschlichen Körper</w:t>
      </w:r>
      <w:bookmarkEnd w:id="5"/>
    </w:p>
    <w:p w14:paraId="62F14D1B" w14:textId="77777777" w:rsidR="00AA7956" w:rsidRDefault="00AA7956" w:rsidP="00AA7956">
      <w:r>
        <w:t>Ca</w:t>
      </w:r>
      <w:r w:rsidRPr="00AA7956">
        <w:rPr>
          <w:vertAlign w:val="superscript"/>
        </w:rPr>
        <w:t>2+</w:t>
      </w:r>
      <w:r>
        <w:t>-Ionen sind im Vergleich zu anderen Molekülen sehr klein und dienen dem Körper als Mineral-Stoffe. Sie sind eigentlich in allen Zellen des menschlichen Körpers enthalten. Sie können im Körper schnell diffundieren und werden deshalb als Second Messenger eingesetzt. Ca</w:t>
      </w:r>
      <w:r w:rsidRPr="00AA7956">
        <w:rPr>
          <w:vertAlign w:val="superscript"/>
        </w:rPr>
        <w:t>2+</w:t>
      </w:r>
      <w:r>
        <w:t>-Ionen können leicht von außen ins Zell-Innere diffundieren, deshalb ist die Konzentration im Cytosol niedriger als in der Umgebung. Zusätzlich ist die Ca</w:t>
      </w:r>
      <w:r w:rsidRPr="00AA7956">
        <w:rPr>
          <w:vertAlign w:val="superscript"/>
        </w:rPr>
        <w:t>2+</w:t>
      </w:r>
      <w:r>
        <w:t>-Ionen-Konzentration im endoplasmatischen Reticulum (ER) höher als im Cytosol, da das ER als Ca</w:t>
      </w:r>
      <w:r w:rsidRPr="00AA7956">
        <w:rPr>
          <w:vertAlign w:val="superscript"/>
        </w:rPr>
        <w:t>2+</w:t>
      </w:r>
      <w:r>
        <w:t>-Speicher fungiert. Wenn nun die Ca</w:t>
      </w:r>
      <w:r w:rsidRPr="00AA7956">
        <w:rPr>
          <w:vertAlign w:val="superscript"/>
        </w:rPr>
        <w:t>2+</w:t>
      </w:r>
      <w:r>
        <w:t>-Ionen aus dem ER aktiv heraus befördert werden, steigt die Ca</w:t>
      </w:r>
      <w:r w:rsidRPr="00AA7956">
        <w:rPr>
          <w:vertAlign w:val="superscript"/>
        </w:rPr>
        <w:t>2+</w:t>
      </w:r>
      <w:r>
        <w:t>-Konzentration im Cyto-Plasma an und Reaktionen wie Kontraktion von Muskel-Filamenten oder die Zell-Teilung können ablaufen.</w:t>
      </w:r>
    </w:p>
    <w:p w14:paraId="5E28023D" w14:textId="77777777" w:rsidR="00AA7956" w:rsidRDefault="00AA7956" w:rsidP="00AA7956">
      <w:pPr>
        <w:pStyle w:val="berschrift2"/>
      </w:pPr>
      <w:bookmarkStart w:id="6" w:name="_Toc37847961"/>
      <w:r>
        <w:t>Einteilung der Ca</w:t>
      </w:r>
      <w:r w:rsidRPr="00AA7956">
        <w:rPr>
          <w:vertAlign w:val="superscript"/>
        </w:rPr>
        <w:t>2+</w:t>
      </w:r>
      <w:r>
        <w:t>-Antagonisten</w:t>
      </w:r>
      <w:bookmarkEnd w:id="6"/>
    </w:p>
    <w:p w14:paraId="3FEABA8C" w14:textId="77777777" w:rsidR="00AA7956" w:rsidRDefault="00AA7956" w:rsidP="00AA7956">
      <w:pPr>
        <w:pStyle w:val="berschrift3"/>
      </w:pPr>
      <w:bookmarkStart w:id="7" w:name="_Toc37847962"/>
      <w:r>
        <w:t>Dihydropyridin(DHP)-Derivate</w:t>
      </w:r>
      <w:bookmarkEnd w:id="7"/>
    </w:p>
    <w:p w14:paraId="2B036547" w14:textId="77777777" w:rsidR="00AA7956" w:rsidRDefault="00AA7956" w:rsidP="00AA7956">
      <w:r>
        <w:t>Die Dihydropyridin-Derivate besitzen folgendes Grund-Gerüst:</w:t>
      </w:r>
    </w:p>
    <w:p w14:paraId="3C511528" w14:textId="77777777" w:rsidR="00AA7956" w:rsidRDefault="00AA7956" w:rsidP="00AA7956">
      <w:pPr>
        <w:pStyle w:val="Bilder"/>
      </w:pPr>
      <w:r>
        <w:drawing>
          <wp:inline distT="0" distB="0" distL="0" distR="0" wp14:anchorId="33086C63" wp14:editId="6532D878">
            <wp:extent cx="2394000" cy="18000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7A7F" w14:textId="5D0FB22D" w:rsidR="00AA7956" w:rsidRDefault="00AA7956" w:rsidP="00AA7956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3</w:t>
      </w:r>
      <w:r w:rsidR="00461512">
        <w:rPr>
          <w:noProof/>
        </w:rPr>
        <w:fldChar w:fldCharType="end"/>
      </w:r>
      <w:r>
        <w:t xml:space="preserve">: Grund-Gerüst der </w:t>
      </w:r>
      <w:proofErr w:type="spellStart"/>
      <w:r>
        <w:t>Dihydropyridin</w:t>
      </w:r>
      <w:proofErr w:type="spellEnd"/>
      <w:r>
        <w:t>-Derivate [</w:t>
      </w:r>
      <w:r w:rsidR="005A0A07">
        <w:fldChar w:fldCharType="begin"/>
      </w:r>
      <w:r w:rsidR="005A0A07">
        <w:instrText xml:space="preserve"> REF _Ref37842357 \r \h </w:instrText>
      </w:r>
      <w:r w:rsidR="005A0A07">
        <w:fldChar w:fldCharType="separate"/>
      </w:r>
      <w:r w:rsidR="00461512">
        <w:t>3</w:t>
      </w:r>
      <w:r w:rsidR="005A0A07">
        <w:fldChar w:fldCharType="end"/>
      </w:r>
      <w:r w:rsidR="005A0A07">
        <w:t>]</w:t>
      </w:r>
    </w:p>
    <w:p w14:paraId="2059213F" w14:textId="77777777" w:rsidR="005A0A07" w:rsidRDefault="005A0A07" w:rsidP="005A0A07">
      <w:r>
        <w:t xml:space="preserve">Die Leit-Substanz ist das </w:t>
      </w:r>
      <w:r w:rsidRPr="00FD60F6">
        <w:rPr>
          <w:rStyle w:val="Fett"/>
        </w:rPr>
        <w:t>Nifedipin</w:t>
      </w:r>
      <w:r>
        <w:t>, im Handel ist es auch als Adalat® bekannt.</w:t>
      </w:r>
    </w:p>
    <w:p w14:paraId="165D2FD4" w14:textId="77777777" w:rsidR="005A0A07" w:rsidRDefault="005A0A07" w:rsidP="005A0A07">
      <w:r w:rsidRPr="005A0A07">
        <w:rPr>
          <w:rStyle w:val="Fett"/>
        </w:rPr>
        <w:t>Struktur-Besonderheiten</w:t>
      </w:r>
      <w:r>
        <w:t>: Dieses Medikament besitzt am Pyridin zwei Ester- und zwei Methyl-Gruppen, Die zwei Ester an Position 3 und 5 sind sterische Substituenten, die dafür verantwortlich sind, dass in der flachen Wannen-Konformation der Phenyl-Ring mit der elektronenziehenden Nitro-Gruppe eine axiale Position einnimmt. Bemerkenswert ist zudem, dass durch ortho- oder meta-ständige elektronenziehende Reste am Phenyl-Ring eine Wirkungsverstärkung eintritt. Im Gegensatz dazu würde ein para-ständiger Rest zum Wirkungsverlust führen.</w:t>
      </w:r>
    </w:p>
    <w:p w14:paraId="10008580" w14:textId="77777777" w:rsidR="005A0A07" w:rsidRDefault="00FD60F6" w:rsidP="00FD60F6">
      <w:pPr>
        <w:pStyle w:val="Bilder"/>
      </w:pPr>
      <w:r>
        <w:lastRenderedPageBreak/>
        <w:drawing>
          <wp:inline distT="0" distB="0" distL="0" distR="0" wp14:anchorId="6AA770DF" wp14:editId="34A20FD3">
            <wp:extent cx="4701600" cy="180000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3CCA" w14:textId="0ACDA6B5" w:rsidR="00FD60F6" w:rsidRDefault="00FD60F6" w:rsidP="00FD60F6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4</w:t>
      </w:r>
      <w:r w:rsidR="00461512">
        <w:rPr>
          <w:noProof/>
        </w:rPr>
        <w:fldChar w:fldCharType="end"/>
      </w:r>
      <w:r>
        <w:t>: Nifedipin (rechts: flache Wannen-</w:t>
      </w:r>
      <w:proofErr w:type="spellStart"/>
      <w:r>
        <w:t>Konformation</w:t>
      </w:r>
      <w:proofErr w:type="spellEnd"/>
      <w:r>
        <w:t>)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603F018D" w14:textId="77777777" w:rsidR="00FD60F6" w:rsidRDefault="00FD60F6" w:rsidP="00FD60F6">
      <w:r w:rsidRPr="00DE3688">
        <w:rPr>
          <w:rStyle w:val="Fett"/>
        </w:rPr>
        <w:t>Einsatz</w:t>
      </w:r>
      <w:r>
        <w:t>: Es senkt den Blutdruck durch Gefäß-Erweiterung</w:t>
      </w:r>
    </w:p>
    <w:p w14:paraId="6C2B54EA" w14:textId="77777777" w:rsidR="00FD60F6" w:rsidRDefault="00FD60F6" w:rsidP="00FD60F6">
      <w:pPr>
        <w:pStyle w:val="berschrift3"/>
      </w:pPr>
      <w:bookmarkStart w:id="8" w:name="_Toc37847963"/>
      <w:r>
        <w:t>Nicht-DHP-Derivate: Diphenylalkylamin-Derivate</w:t>
      </w:r>
      <w:bookmarkEnd w:id="8"/>
    </w:p>
    <w:p w14:paraId="556574EA" w14:textId="77777777" w:rsidR="00FD60F6" w:rsidRDefault="00FD60F6" w:rsidP="00FD60F6">
      <w:r>
        <w:t>Die Diphenylalkylamin-Derivate besitzen folgendes Grund-Gerüst:</w:t>
      </w:r>
    </w:p>
    <w:p w14:paraId="30432208" w14:textId="77777777" w:rsidR="00FD60F6" w:rsidRDefault="00FD60F6" w:rsidP="00BA6E5B">
      <w:pPr>
        <w:pStyle w:val="Bilder"/>
      </w:pPr>
      <w:r>
        <w:drawing>
          <wp:inline distT="0" distB="0" distL="0" distR="0" wp14:anchorId="4845F24F" wp14:editId="3E6DA6AD">
            <wp:extent cx="3600000" cy="1008000"/>
            <wp:effectExtent l="0" t="0" r="635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4B66" w14:textId="3A15815A" w:rsidR="00BA6E5B" w:rsidRDefault="00BA6E5B" w:rsidP="00BA6E5B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5</w:t>
      </w:r>
      <w:r w:rsidR="00461512">
        <w:rPr>
          <w:noProof/>
        </w:rPr>
        <w:fldChar w:fldCharType="end"/>
      </w:r>
      <w:r>
        <w:t xml:space="preserve">: Grund-Gerüst der </w:t>
      </w:r>
      <w:proofErr w:type="spellStart"/>
      <w:r>
        <w:t>Diphenylalkylamin</w:t>
      </w:r>
      <w:proofErr w:type="spellEnd"/>
      <w:r>
        <w:t>-Derivate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53C24E43" w14:textId="77777777" w:rsidR="00BA6E5B" w:rsidRDefault="00BA6E5B" w:rsidP="00BA6E5B">
      <w:r>
        <w:t>Die erste Leit</w:t>
      </w:r>
      <w:r w:rsidR="00DE3688">
        <w:t>-S</w:t>
      </w:r>
      <w:r>
        <w:t xml:space="preserve">ubstanz ist das </w:t>
      </w:r>
      <w:r w:rsidRPr="00DE3688">
        <w:rPr>
          <w:rStyle w:val="Fett"/>
        </w:rPr>
        <w:t>Verapamil</w:t>
      </w:r>
      <w:r>
        <w:t>, im Handel ist es auch als Isoptin® bekannt.</w:t>
      </w:r>
    </w:p>
    <w:p w14:paraId="604141BF" w14:textId="77777777" w:rsidR="00BA6E5B" w:rsidRDefault="00BA6E5B" w:rsidP="00BA6E5B">
      <w:pPr>
        <w:pStyle w:val="Bilder"/>
      </w:pPr>
      <w:r>
        <w:drawing>
          <wp:inline distT="0" distB="0" distL="0" distR="0" wp14:anchorId="0FA01CDB" wp14:editId="0C7FC784">
            <wp:extent cx="3600000" cy="1008000"/>
            <wp:effectExtent l="0" t="0" r="635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1B52" w14:textId="62D91EBA" w:rsidR="00BA6E5B" w:rsidRDefault="00BA6E5B" w:rsidP="00BA6E5B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6</w:t>
      </w:r>
      <w:r w:rsidR="00461512">
        <w:rPr>
          <w:noProof/>
        </w:rPr>
        <w:fldChar w:fldCharType="end"/>
      </w:r>
      <w:r>
        <w:t>: Verapamil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6118F7F2" w14:textId="77777777" w:rsidR="00BA6E5B" w:rsidRDefault="00BA6E5B" w:rsidP="00BA6E5B">
      <w:r w:rsidRPr="00BA6E5B">
        <w:rPr>
          <w:rStyle w:val="Fett"/>
        </w:rPr>
        <w:t>Struktur-Besonderheit und Einsatz</w:t>
      </w:r>
      <w:r>
        <w:t>: Das Verapamil besitzt ein Chiralitätszentrum. Es vermindert die Schlagkraft und die Erregungsausbreitung, das heißt der Herzschlag wird normalisiert und somit senkt sich der Blutdruck.</w:t>
      </w:r>
    </w:p>
    <w:p w14:paraId="15ECF2FB" w14:textId="77777777" w:rsidR="00BA6E5B" w:rsidRDefault="00BA6E5B" w:rsidP="00BA6E5B">
      <w:r>
        <w:t xml:space="preserve">Die zweite Leit-Substanz ist das </w:t>
      </w:r>
      <w:r w:rsidRPr="00BA6E5B">
        <w:rPr>
          <w:rStyle w:val="Fett"/>
        </w:rPr>
        <w:t>Gallopamil</w:t>
      </w:r>
      <w:r>
        <w:t>, im Handel ist es auch als Procorum® bekannt.</w:t>
      </w:r>
    </w:p>
    <w:p w14:paraId="3E324886" w14:textId="77777777" w:rsidR="00BA6E5B" w:rsidRDefault="00BA6E5B" w:rsidP="00BA6E5B">
      <w:pPr>
        <w:pStyle w:val="Bilder"/>
      </w:pPr>
      <w:r>
        <w:drawing>
          <wp:inline distT="0" distB="0" distL="0" distR="0" wp14:anchorId="1D15D125" wp14:editId="69054923">
            <wp:extent cx="5000400" cy="180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FF25" w14:textId="79280CE8" w:rsidR="00BA6E5B" w:rsidRDefault="00BA6E5B" w:rsidP="00BA6E5B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7</w:t>
      </w:r>
      <w:r w:rsidR="00461512">
        <w:rPr>
          <w:noProof/>
        </w:rPr>
        <w:fldChar w:fldCharType="end"/>
      </w:r>
      <w:r>
        <w:t xml:space="preserve">: </w:t>
      </w:r>
      <w:proofErr w:type="spellStart"/>
      <w:r>
        <w:t>Gallopamil</w:t>
      </w:r>
      <w:proofErr w:type="spellEnd"/>
      <w:r>
        <w:t xml:space="preserve">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028CE658" w14:textId="77777777" w:rsidR="00BA6E5B" w:rsidRDefault="00BA6E5B" w:rsidP="00BA6E5B">
      <w:r w:rsidRPr="00DE3688">
        <w:rPr>
          <w:rStyle w:val="Fett"/>
        </w:rPr>
        <w:t>Struktur-Besonderheiten und Einsatz</w:t>
      </w:r>
      <w:r>
        <w:t>: Im Vergleich zum Verapamil besitzt das Gallopamil eine zusätzliche Methoxy-Gruppe (-OCH</w:t>
      </w:r>
      <w:r w:rsidRPr="00BA6E5B">
        <w:rPr>
          <w:vertAlign w:val="subscript"/>
        </w:rPr>
        <w:t>3</w:t>
      </w:r>
      <w:r>
        <w:t xml:space="preserve">) an einem Phenyl-Ring durch diese </w:t>
      </w:r>
      <w:r>
        <w:lastRenderedPageBreak/>
        <w:t>zusätzliche Methoxy-Gruppe ist es leistungsfähiger, wirkt somit direkt am Herz-Muskel und normalisiert den Herz</w:t>
      </w:r>
      <w:r w:rsidR="00DE3688">
        <w:t>s</w:t>
      </w:r>
      <w:r>
        <w:t>chlag schneller. Es besitzt wie das Verapamil en Chiral</w:t>
      </w:r>
      <w:r w:rsidR="00DE3688">
        <w:t>itätszentrum.</w:t>
      </w:r>
    </w:p>
    <w:p w14:paraId="726D5E69" w14:textId="77777777" w:rsidR="00DE3688" w:rsidRDefault="006549B6" w:rsidP="006549B6">
      <w:pPr>
        <w:pStyle w:val="berschrift3"/>
      </w:pPr>
      <w:bookmarkStart w:id="9" w:name="_Toc37847964"/>
      <w:r>
        <w:t>Nicht-DHP-Derivate: Benzothiazepin-Derivate</w:t>
      </w:r>
      <w:bookmarkEnd w:id="9"/>
    </w:p>
    <w:p w14:paraId="68CBD4EF" w14:textId="77777777" w:rsidR="006549B6" w:rsidRDefault="006549B6" w:rsidP="006549B6">
      <w:r>
        <w:t>Die Benzothia</w:t>
      </w:r>
      <w:r w:rsidR="009B770B">
        <w:t>ze</w:t>
      </w:r>
      <w:r>
        <w:t xml:space="preserve">pin-Derivate </w:t>
      </w:r>
      <w:r w:rsidR="009B770B">
        <w:t>besitzen</w:t>
      </w:r>
      <w:r>
        <w:t xml:space="preserve"> folgendes Grund-Gerüst:</w:t>
      </w:r>
    </w:p>
    <w:p w14:paraId="6EB4D03B" w14:textId="77777777" w:rsidR="006549B6" w:rsidRDefault="006549B6" w:rsidP="006549B6">
      <w:pPr>
        <w:pStyle w:val="Bilder"/>
      </w:pPr>
      <w:r>
        <w:drawing>
          <wp:inline distT="0" distB="0" distL="0" distR="0" wp14:anchorId="0AD3B59C" wp14:editId="76EAD8BE">
            <wp:extent cx="2242185" cy="1407160"/>
            <wp:effectExtent l="0" t="0" r="571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477E" w14:textId="70D20EDD" w:rsidR="006549B6" w:rsidRDefault="006549B6" w:rsidP="006549B6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8</w:t>
      </w:r>
      <w:r w:rsidR="00461512">
        <w:rPr>
          <w:noProof/>
        </w:rPr>
        <w:fldChar w:fldCharType="end"/>
      </w:r>
      <w:r>
        <w:t xml:space="preserve">: Grund-Gerüst der </w:t>
      </w:r>
      <w:proofErr w:type="spellStart"/>
      <w:r>
        <w:t>Benzothia</w:t>
      </w:r>
      <w:r w:rsidR="009B770B">
        <w:t>ze</w:t>
      </w:r>
      <w:r>
        <w:t>pin</w:t>
      </w:r>
      <w:proofErr w:type="spellEnd"/>
      <w:r>
        <w:t>-Derivate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44B48184" w14:textId="77777777" w:rsidR="00116577" w:rsidRDefault="00116577" w:rsidP="00116577">
      <w:r>
        <w:t xml:space="preserve">Die Leit-Substanz ist das </w:t>
      </w:r>
      <w:r w:rsidRPr="00116577">
        <w:rPr>
          <w:rStyle w:val="Fett"/>
        </w:rPr>
        <w:t>Diltiazem</w:t>
      </w:r>
      <w:r>
        <w:t>, im Handel ist es auch als Dilzem® bekannt.</w:t>
      </w:r>
    </w:p>
    <w:p w14:paraId="5BD98F80" w14:textId="77777777" w:rsidR="00116577" w:rsidRDefault="00116577" w:rsidP="00116577">
      <w:pPr>
        <w:pStyle w:val="Bilder"/>
      </w:pPr>
      <w:r>
        <w:drawing>
          <wp:inline distT="0" distB="0" distL="0" distR="0" wp14:anchorId="2A89DE45" wp14:editId="0620D09E">
            <wp:extent cx="2311200" cy="180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0694" w14:textId="4489A71B" w:rsidR="00116577" w:rsidRDefault="00116577" w:rsidP="00116577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9</w:t>
      </w:r>
      <w:r w:rsidR="00461512">
        <w:rPr>
          <w:noProof/>
        </w:rPr>
        <w:fldChar w:fldCharType="end"/>
      </w:r>
      <w:r>
        <w:t>: Diltiazem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260036E1" w14:textId="77777777" w:rsidR="00116577" w:rsidRDefault="00116577" w:rsidP="00116577">
      <w:r>
        <w:t>Struktur-Besonderheiten und Einsatz: Das Diltiazem enthält zwei Chiralitätszentren und es senkt, wie auch das Nifedipin, den Blutdruck durch Gefäß-Erweiterung.</w:t>
      </w:r>
    </w:p>
    <w:p w14:paraId="71462AC7" w14:textId="77777777" w:rsidR="00116577" w:rsidRDefault="00116577" w:rsidP="00116577">
      <w:pPr>
        <w:pStyle w:val="berschrift2"/>
      </w:pPr>
      <w:bookmarkStart w:id="10" w:name="_Toc37847965"/>
      <w:r>
        <w:t>Ca</w:t>
      </w:r>
      <w:r w:rsidRPr="00116577">
        <w:rPr>
          <w:vertAlign w:val="superscript"/>
        </w:rPr>
        <w:t>2+</w:t>
      </w:r>
      <w:r>
        <w:t>-Einstrom und antagonistische Wirkung</w:t>
      </w:r>
      <w:bookmarkEnd w:id="10"/>
    </w:p>
    <w:p w14:paraId="2BE41AB7" w14:textId="77777777" w:rsidR="00116577" w:rsidRDefault="00116577" w:rsidP="00116577">
      <w:r>
        <w:t>Die Kanäle, die dafür sorgen, das Ca</w:t>
      </w:r>
      <w:r w:rsidRPr="009B770B">
        <w:rPr>
          <w:vertAlign w:val="superscript"/>
        </w:rPr>
        <w:t>2+</w:t>
      </w:r>
      <w:r>
        <w:t>-Ionen ins Innere der Herzmuskel-Zellen gelangen sind zunächst inaktiv. Einer dieser Kanäle ist der rezeptor-aktivierbare Kanal, hierbei muss der Kanal durch einen Rezeptor wie z. B. das Adrenalin aktiviert werden. Nun können Ca</w:t>
      </w:r>
      <w:r w:rsidRPr="009B770B">
        <w:rPr>
          <w:vertAlign w:val="superscript"/>
        </w:rPr>
        <w:t>2+</w:t>
      </w:r>
      <w:r>
        <w:t xml:space="preserve">-Ionen ins Cyto-Plasma gelangen. Ein weiterer Kanal ist der potential-abhängige Kanal, hierbei muss das Membran-Potential depolarisiert </w:t>
      </w:r>
      <w:r w:rsidR="009B770B">
        <w:t>w</w:t>
      </w:r>
      <w:r>
        <w:t xml:space="preserve">erden, dass </w:t>
      </w:r>
      <w:r w:rsidR="009B770B">
        <w:t>d</w:t>
      </w:r>
      <w:r>
        <w:t>ie Ca</w:t>
      </w:r>
      <w:r w:rsidRPr="009B770B">
        <w:rPr>
          <w:vertAlign w:val="superscript"/>
        </w:rPr>
        <w:t>2+</w:t>
      </w:r>
      <w:r>
        <w:t>-Ionen ins Zell-Innere e</w:t>
      </w:r>
      <w:r w:rsidR="009B770B">
        <w:t>i</w:t>
      </w:r>
      <w:r>
        <w:t>ndringen können. Im Cyto-Plasma steigt nun durch den Eintritt der Ca</w:t>
      </w:r>
      <w:r w:rsidRPr="009B770B">
        <w:rPr>
          <w:vertAlign w:val="superscript"/>
        </w:rPr>
        <w:t>2+</w:t>
      </w:r>
      <w:r>
        <w:t>-Ionen</w:t>
      </w:r>
      <w:r w:rsidR="009B770B">
        <w:t xml:space="preserve"> ins Innere der Zelle die Konzentration von Ca</w:t>
      </w:r>
      <w:r w:rsidR="009B770B" w:rsidRPr="009B770B">
        <w:rPr>
          <w:vertAlign w:val="superscript"/>
        </w:rPr>
        <w:t>2+</w:t>
      </w:r>
      <w:r w:rsidR="009B770B">
        <w:t>-Ionen an. Dies löst gleichzeitig eine aktive Freisetzung von Ca</w:t>
      </w:r>
      <w:r w:rsidR="009B770B" w:rsidRPr="009B770B">
        <w:rPr>
          <w:vertAlign w:val="superscript"/>
        </w:rPr>
        <w:t>2+</w:t>
      </w:r>
      <w:r w:rsidR="009B770B">
        <w:t>-Ionen aus dem sakroplasmatischen Reticulum (SR) aus. Die Ca</w:t>
      </w:r>
      <w:r w:rsidR="009B770B" w:rsidRPr="009B770B">
        <w:rPr>
          <w:vertAlign w:val="superscript"/>
        </w:rPr>
        <w:t>2+</w:t>
      </w:r>
      <w:r w:rsidR="009B770B">
        <w:t>-Konzentration steigt im Cyto-Plasma rapide an und es kommt zu einer Kontraktion der Muskel-Filamente. Die Blutgefäße verengen sich, der Druck in den Gefäßen steigt und die Schlagkraft des Herzens nimmt zu. Im Gegenteil hierzu blockieren die Ca</w:t>
      </w:r>
      <w:r w:rsidR="009B770B" w:rsidRPr="009B770B">
        <w:rPr>
          <w:vertAlign w:val="superscript"/>
        </w:rPr>
        <w:t>2+</w:t>
      </w:r>
      <w:r w:rsidR="009B770B">
        <w:t>-Antagonisten (</w:t>
      </w:r>
      <w:r w:rsidR="009B770B" w:rsidRPr="009B770B">
        <w:rPr>
          <w:rStyle w:val="Fett"/>
        </w:rPr>
        <w:t>Verapamil</w:t>
      </w:r>
      <w:r w:rsidR="009B770B">
        <w:t xml:space="preserve"> und </w:t>
      </w:r>
      <w:r w:rsidR="009B770B" w:rsidRPr="009B770B">
        <w:rPr>
          <w:rStyle w:val="Fett"/>
        </w:rPr>
        <w:t>Nifedipin</w:t>
      </w:r>
      <w:r w:rsidR="009B770B">
        <w:t>) die Kanäle so, dass die Ca</w:t>
      </w:r>
      <w:r w:rsidR="009B770B" w:rsidRPr="009B770B">
        <w:rPr>
          <w:vertAlign w:val="superscript"/>
        </w:rPr>
        <w:t>2+</w:t>
      </w:r>
      <w:r w:rsidR="009B770B">
        <w:t>-Ionen nicht mehr in das Cyto-Plasma gelangen können. Die Kontraktion der glatten Gefäß-Muskeln wird herabgesetzt, das heißt die Blutgefäße weiten sich und der Blutdruck wird somit gesenkt.</w:t>
      </w:r>
    </w:p>
    <w:p w14:paraId="68E1B339" w14:textId="77777777" w:rsidR="009B770B" w:rsidRDefault="009B770B" w:rsidP="009B770B">
      <w:pPr>
        <w:pStyle w:val="berschrift1"/>
      </w:pPr>
      <w:bookmarkStart w:id="11" w:name="_Toc37847966"/>
      <w:r>
        <w:lastRenderedPageBreak/>
        <w:t>Wirkung</w:t>
      </w:r>
      <w:bookmarkEnd w:id="11"/>
    </w:p>
    <w:p w14:paraId="35A57C42" w14:textId="77777777" w:rsidR="009B770B" w:rsidRDefault="009B770B" w:rsidP="009B770B">
      <w:pPr>
        <w:pStyle w:val="berschrift2"/>
      </w:pPr>
      <w:bookmarkStart w:id="12" w:name="_Toc37847967"/>
      <w:r>
        <w:t>Wirkungserhöhung</w:t>
      </w:r>
      <w:bookmarkEnd w:id="12"/>
    </w:p>
    <w:p w14:paraId="289CAEB1" w14:textId="77777777" w:rsidR="009B770B" w:rsidRDefault="009B770B" w:rsidP="009B770B">
      <w:r>
        <w:t>Eine besondere Eigenschaft der Ca</w:t>
      </w:r>
      <w:r w:rsidRPr="002460D3">
        <w:rPr>
          <w:vertAlign w:val="superscript"/>
        </w:rPr>
        <w:t>2+</w:t>
      </w:r>
      <w:r>
        <w:t>-Antagonisten ist, dass sie durch eine Veränderung am Molekül eine größere antagonistische Wirkung aufweisen. Vor allem deshalb werden sie als Medikamente gegen Blut-Hochdruck eingesetzt. Wenn der Ester vergrößert wird, man ersetzt z. B. eine Methyl-Gruppe durch eine Ethyl-Gruppe, so tritt eine Erhöhung der antagonistischen Wirkung ein.</w:t>
      </w:r>
    </w:p>
    <w:p w14:paraId="1DE6976A" w14:textId="77777777" w:rsidR="009B770B" w:rsidRDefault="009B770B" w:rsidP="009B770B">
      <w:pPr>
        <w:pStyle w:val="Bilder"/>
      </w:pPr>
      <w:r>
        <w:drawing>
          <wp:inline distT="0" distB="0" distL="0" distR="0" wp14:anchorId="33EFDED1" wp14:editId="1443D238">
            <wp:extent cx="5076000" cy="180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928D" w14:textId="4FA2A10A" w:rsidR="009B770B" w:rsidRDefault="009B770B" w:rsidP="009B770B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10</w:t>
      </w:r>
      <w:r w:rsidR="00461512">
        <w:rPr>
          <w:noProof/>
        </w:rPr>
        <w:fldChar w:fldCharType="end"/>
      </w:r>
      <w:r>
        <w:t>: Wirkungserhöhung (Methyl-Gruppe wird durch Ethyl-Gruppe ersetzt)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18420B49" w14:textId="77777777" w:rsidR="009B770B" w:rsidRDefault="009B770B" w:rsidP="009B770B">
      <w:pPr>
        <w:pStyle w:val="berschrift2"/>
      </w:pPr>
      <w:bookmarkStart w:id="13" w:name="_Toc37847968"/>
      <w:r>
        <w:t>Wirkungsumkehr (vom Antagonisten zum Agonisten)</w:t>
      </w:r>
      <w:bookmarkEnd w:id="13"/>
    </w:p>
    <w:p w14:paraId="38B79DC0" w14:textId="77777777" w:rsidR="009B770B" w:rsidRDefault="00D03863" w:rsidP="009B770B">
      <w:r>
        <w:t>Das Phänomen, das durch eine kleine Veränderung am Molekül eine höhere antagonistische Wirkung auftritt, bringt auch Nachteile mit sich. Abbildung 11 zeigt einen typischen Ca</w:t>
      </w:r>
      <w:r w:rsidRPr="00D03863">
        <w:rPr>
          <w:vertAlign w:val="superscript"/>
        </w:rPr>
        <w:t>2+</w:t>
      </w:r>
      <w:r>
        <w:t xml:space="preserve">-Antagonisten, das </w:t>
      </w:r>
      <w:r w:rsidRPr="00D03863">
        <w:rPr>
          <w:rStyle w:val="Fett"/>
        </w:rPr>
        <w:t>Nifedipin</w:t>
      </w:r>
      <w:r>
        <w:t xml:space="preserve"> und einen typischen Ca</w:t>
      </w:r>
      <w:r w:rsidRPr="00D03863">
        <w:rPr>
          <w:vertAlign w:val="superscript"/>
        </w:rPr>
        <w:t>2+</w:t>
      </w:r>
      <w:r>
        <w:t xml:space="preserve">-Agonisten, das </w:t>
      </w:r>
      <w:r w:rsidRPr="00D03863">
        <w:rPr>
          <w:rStyle w:val="Fett"/>
        </w:rPr>
        <w:t>Bay K8644</w:t>
      </w:r>
      <w:r>
        <w:t>.</w:t>
      </w:r>
    </w:p>
    <w:p w14:paraId="772BAB5C" w14:textId="77777777" w:rsidR="00D03863" w:rsidRDefault="00D03863" w:rsidP="00D03863">
      <w:pPr>
        <w:pStyle w:val="Bilder"/>
      </w:pPr>
      <w:r>
        <w:drawing>
          <wp:inline distT="0" distB="0" distL="0" distR="0" wp14:anchorId="08E45D1A" wp14:editId="3BD46F1C">
            <wp:extent cx="3740400" cy="180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D5BE" w14:textId="4A032D35" w:rsidR="00D03863" w:rsidRDefault="00D03863" w:rsidP="00D03863">
      <w:pPr>
        <w:pStyle w:val="Beschriftung"/>
      </w:pPr>
      <w:r>
        <w:t xml:space="preserve">Abb. </w:t>
      </w:r>
      <w:r w:rsidR="00461512">
        <w:fldChar w:fldCharType="begin"/>
      </w:r>
      <w:r w:rsidR="00461512">
        <w:instrText xml:space="preserve"> SEQ Abb. \* ARABIC </w:instrText>
      </w:r>
      <w:r w:rsidR="00461512">
        <w:fldChar w:fldCharType="separate"/>
      </w:r>
      <w:r w:rsidR="00461512">
        <w:rPr>
          <w:noProof/>
        </w:rPr>
        <w:t>11</w:t>
      </w:r>
      <w:r w:rsidR="00461512">
        <w:rPr>
          <w:noProof/>
        </w:rPr>
        <w:fldChar w:fldCharType="end"/>
      </w:r>
      <w:r>
        <w:t>: Wirkungsumkehr von Nifedipin und Bay K8644 [</w:t>
      </w:r>
      <w:r>
        <w:fldChar w:fldCharType="begin"/>
      </w:r>
      <w:r>
        <w:instrText xml:space="preserve"> REF _Ref37842357 \r \h </w:instrText>
      </w:r>
      <w:r>
        <w:fldChar w:fldCharType="separate"/>
      </w:r>
      <w:r w:rsidR="00461512">
        <w:t>3</w:t>
      </w:r>
      <w:r>
        <w:fldChar w:fldCharType="end"/>
      </w:r>
      <w:r>
        <w:t>]</w:t>
      </w:r>
    </w:p>
    <w:p w14:paraId="4E69B476" w14:textId="77777777" w:rsidR="00D03863" w:rsidRDefault="00D03863" w:rsidP="00D03863">
      <w:r>
        <w:t>Hierbei fällt auf, dass eine komplette Wirkungsumkehr stattfindet, wenn die Ester- gegen eine Nitro-Gruppe ausgetauscht werden. Nifedipin hemmt und Bay K8644 steigert den Einstrom von Ca</w:t>
      </w:r>
      <w:r w:rsidRPr="00D03863">
        <w:rPr>
          <w:vertAlign w:val="superscript"/>
        </w:rPr>
        <w:t>2+</w:t>
      </w:r>
      <w:r>
        <w:t>-Ionen. Durch Nifedipin weiten sich die Blutgefäße, durch BayK8644 ziehen sie sich zusammen.</w:t>
      </w:r>
    </w:p>
    <w:p w14:paraId="483CF5EC" w14:textId="77777777" w:rsidR="00D03863" w:rsidRDefault="00D03863" w:rsidP="00D03863">
      <w:pPr>
        <w:pStyle w:val="berschrift1"/>
      </w:pPr>
      <w:bookmarkStart w:id="14" w:name="_Toc37847969"/>
      <w:r>
        <w:t>Einsatz und Bedeutung</w:t>
      </w:r>
      <w:bookmarkEnd w:id="14"/>
    </w:p>
    <w:p w14:paraId="65B33D84" w14:textId="77777777" w:rsidR="00D03863" w:rsidRDefault="00D03863" w:rsidP="00D03863">
      <w:r>
        <w:t>In der Medizin und in der Pharmazie werden Ca</w:t>
      </w:r>
      <w:r w:rsidRPr="002460D3">
        <w:rPr>
          <w:vertAlign w:val="superscript"/>
        </w:rPr>
        <w:t>2+</w:t>
      </w:r>
      <w:r>
        <w:t xml:space="preserve">-Antagonisten einerseits zur Behandlung von Blut-Hochdruck und zur Behandlung koronarer Herz-Krankheiten, also gegen die Erkrankung der Herzkranz-Gefäße eingesetzt und andererseits sind sie auch ein gutes Medikament gegen </w:t>
      </w:r>
      <w:r w:rsidR="002460D3">
        <w:t>Herzrhythmus</w:t>
      </w:r>
      <w:r>
        <w:t>-Störungen.</w:t>
      </w:r>
    </w:p>
    <w:p w14:paraId="284BE88A" w14:textId="77777777" w:rsidR="00D03863" w:rsidRPr="00D03863" w:rsidRDefault="00D03863" w:rsidP="00D03863">
      <w:r>
        <w:t>In der Wissenschaft ist die Erschließung der Ca</w:t>
      </w:r>
      <w:r w:rsidRPr="002460D3">
        <w:rPr>
          <w:vertAlign w:val="superscript"/>
        </w:rPr>
        <w:t>2+</w:t>
      </w:r>
      <w:r>
        <w:t>-Kanal-Struktur, den sogenannten L-Typ-Kanälen, von enormer Bedeutung, da die Wirkung der Ca</w:t>
      </w:r>
      <w:r w:rsidRPr="002460D3">
        <w:rPr>
          <w:vertAlign w:val="superscript"/>
        </w:rPr>
        <w:t>2+</w:t>
      </w:r>
      <w:r>
        <w:t>-Antagonisten von der Struktur und der Funktion dieser Kanäle abhängt.</w:t>
      </w:r>
    </w:p>
    <w:p w14:paraId="0324CC14" w14:textId="77777777" w:rsidR="00931B30" w:rsidRPr="00DF1DBE" w:rsidRDefault="00931B30" w:rsidP="00931B30">
      <w:pPr>
        <w:rPr>
          <w:b/>
          <w:bCs/>
          <w:lang w:val="it-IT"/>
        </w:rPr>
      </w:pPr>
      <w:r w:rsidRPr="00AA7956">
        <w:rPr>
          <w:b/>
          <w:bCs/>
        </w:rPr>
        <w:lastRenderedPageBreak/>
        <w:t>Quellen</w:t>
      </w:r>
      <w:r w:rsidRPr="00DF1DBE">
        <w:rPr>
          <w:b/>
          <w:bCs/>
          <w:lang w:val="it-IT"/>
        </w:rPr>
        <w:t>:</w:t>
      </w:r>
    </w:p>
    <w:bookmarkStart w:id="15" w:name="_Ref37840792"/>
    <w:p w14:paraId="35B5DBDB" w14:textId="77777777" w:rsidR="00931B30" w:rsidRDefault="00DF1DBE" w:rsidP="00620A0D">
      <w:pPr>
        <w:pStyle w:val="AufzhlungStandard"/>
        <w:numPr>
          <w:ilvl w:val="0"/>
          <w:numId w:val="17"/>
        </w:numPr>
      </w:pPr>
      <w:r>
        <w:fldChar w:fldCharType="begin"/>
      </w:r>
      <w:r w:rsidRPr="00DF1DBE">
        <w:instrText xml:space="preserve"> HYPERLINK "https://commons.wikimedia.org/wiki/File:Blood_pressure_measurement.JPG?uselang=de" </w:instrText>
      </w:r>
      <w:r>
        <w:fldChar w:fldCharType="separate"/>
      </w:r>
      <w:r w:rsidRPr="00DF1DBE">
        <w:rPr>
          <w:rStyle w:val="Hyperlink"/>
        </w:rPr>
        <w:t>https://commons.wikimedia.org/wiki/File:Blood_pressure_measurement.JPG?uselang=de</w:t>
      </w:r>
      <w:r>
        <w:fldChar w:fldCharType="end"/>
      </w:r>
      <w:r w:rsidRPr="00DF1DBE">
        <w:t>; Urh</w:t>
      </w:r>
      <w:r>
        <w:t>eber: PhilippN; Lizenz: GNU-Lizenz für freie Dokumentation [15.04.2020]</w:t>
      </w:r>
      <w:bookmarkEnd w:id="15"/>
    </w:p>
    <w:bookmarkStart w:id="16" w:name="_Ref37841186"/>
    <w:p w14:paraId="1CC02A11" w14:textId="77777777" w:rsidR="00DF1DBE" w:rsidRDefault="00DF1DBE" w:rsidP="00620A0D">
      <w:pPr>
        <w:pStyle w:val="AufzhlungStandard"/>
        <w:numPr>
          <w:ilvl w:val="0"/>
          <w:numId w:val="17"/>
        </w:numPr>
      </w:pPr>
      <w:r>
        <w:fldChar w:fldCharType="begin"/>
      </w:r>
      <w:r>
        <w:instrText xml:space="preserve"> HYPERLINK "http://www.apotheke-wolff.de/cms-linden/front_content.php?idcat=74" </w:instrText>
      </w:r>
      <w:r>
        <w:fldChar w:fldCharType="separate"/>
      </w:r>
      <w:r>
        <w:rPr>
          <w:rStyle w:val="Hyperlink"/>
        </w:rPr>
        <w:t>http://www.apotheke-wolff.de/cms-linden/front_content.php?idcat=74</w:t>
      </w:r>
      <w:r>
        <w:fldChar w:fldCharType="end"/>
      </w:r>
      <w:r>
        <w:t>; [16.05.2011]</w:t>
      </w:r>
      <w:bookmarkEnd w:id="16"/>
    </w:p>
    <w:p w14:paraId="131A9FED" w14:textId="77777777" w:rsidR="00AA7956" w:rsidRDefault="005A0A07" w:rsidP="00620A0D">
      <w:pPr>
        <w:pStyle w:val="AufzhlungStandard"/>
        <w:numPr>
          <w:ilvl w:val="0"/>
          <w:numId w:val="17"/>
        </w:numPr>
      </w:pPr>
      <w:bookmarkStart w:id="17" w:name="_Ref37842357"/>
      <w:r>
        <w:t xml:space="preserve">Mutschler, E. &amp; Schubert-Zsilavecz, M. (2005): Pharmazie in unserer Zeit: </w:t>
      </w:r>
      <w:r>
        <w:rPr>
          <w:i/>
          <w:iCs/>
        </w:rPr>
        <w:t>Calciumantagonisten</w:t>
      </w:r>
      <w:r>
        <w:t>. Weinheim: Wiley-VCH Verlag GmbH &amp; Co. (34), S. 360-422.</w:t>
      </w:r>
      <w:bookmarkEnd w:id="17"/>
    </w:p>
    <w:p w14:paraId="7F760117" w14:textId="77777777" w:rsidR="005A0A07" w:rsidRDefault="00B26CE7" w:rsidP="00620A0D">
      <w:pPr>
        <w:pStyle w:val="AufzhlungStandard"/>
        <w:numPr>
          <w:ilvl w:val="0"/>
          <w:numId w:val="17"/>
        </w:numPr>
      </w:pPr>
      <w:r>
        <w:t>Nelson, D. &amp; Cox, M. (2009): Lehninger Biochemie. Berlin: Springer-Verlag. S. 574ff.</w:t>
      </w:r>
    </w:p>
    <w:p w14:paraId="6D14BFD2" w14:textId="77777777" w:rsidR="00B26CE7" w:rsidRDefault="00B26CE7" w:rsidP="00620A0D">
      <w:pPr>
        <w:pStyle w:val="AufzhlungStandard"/>
        <w:numPr>
          <w:ilvl w:val="0"/>
          <w:numId w:val="17"/>
        </w:numPr>
      </w:pPr>
      <w:r w:rsidRPr="00B26CE7">
        <w:rPr>
          <w:lang w:val="en-US"/>
        </w:rPr>
        <w:t xml:space="preserve">Campell, N.A. &amp; Reece, J. B. (2006): </w:t>
      </w:r>
      <w:r w:rsidRPr="002460D3">
        <w:t>Biologie</w:t>
      </w:r>
      <w:r w:rsidRPr="00B26CE7">
        <w:rPr>
          <w:lang w:val="en-US"/>
        </w:rPr>
        <w:t xml:space="preserve">. </w:t>
      </w:r>
      <w:r>
        <w:t>München: Pearson Education Deutschland GmbH. S. 245f.</w:t>
      </w:r>
    </w:p>
    <w:p w14:paraId="500FCDDB" w14:textId="77777777" w:rsidR="00B26CE7" w:rsidRDefault="00461512" w:rsidP="00620A0D">
      <w:pPr>
        <w:pStyle w:val="AufzhlungStandard"/>
        <w:numPr>
          <w:ilvl w:val="0"/>
          <w:numId w:val="17"/>
        </w:numPr>
      </w:pPr>
      <w:hyperlink r:id="rId18" w:history="1">
        <w:r w:rsidR="00B26CE7">
          <w:rPr>
            <w:rStyle w:val="Hyperlink"/>
          </w:rPr>
          <w:t>http://www.bluthochdruck.de/</w:t>
        </w:r>
      </w:hyperlink>
      <w:r w:rsidR="00B26CE7">
        <w:t xml:space="preserve"> (16.05.2011).</w:t>
      </w:r>
    </w:p>
    <w:p w14:paraId="09591A10" w14:textId="77777777" w:rsidR="00B26CE7" w:rsidRDefault="00461512" w:rsidP="00620A0D">
      <w:pPr>
        <w:pStyle w:val="AufzhlungStandard"/>
        <w:numPr>
          <w:ilvl w:val="0"/>
          <w:numId w:val="17"/>
        </w:numPr>
      </w:pPr>
      <w:hyperlink r:id="rId19" w:history="1">
        <w:r w:rsidR="00B26CE7">
          <w:rPr>
            <w:rStyle w:val="Hyperlink"/>
          </w:rPr>
          <w:t>http://www.bluthochdruck.medhost.de/calciumantagonist-nifedipin.html</w:t>
        </w:r>
      </w:hyperlink>
      <w:r w:rsidR="00B26CE7">
        <w:t xml:space="preserve"> (16.05.11).</w:t>
      </w:r>
    </w:p>
    <w:sectPr w:rsidR="00B26CE7" w:rsidSect="00931B30">
      <w:footerReference w:type="default" r:id="rId20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EC18" w14:textId="77777777" w:rsidR="002312AF" w:rsidRDefault="002312AF" w:rsidP="005A7DCE">
      <w:pPr>
        <w:spacing w:before="0"/>
      </w:pPr>
      <w:r>
        <w:separator/>
      </w:r>
    </w:p>
  </w:endnote>
  <w:endnote w:type="continuationSeparator" w:id="0">
    <w:p w14:paraId="17A15646" w14:textId="77777777" w:rsidR="002312AF" w:rsidRDefault="002312AF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625137"/>
      <w:docPartObj>
        <w:docPartGallery w:val="Page Numbers (Bottom of Page)"/>
        <w:docPartUnique/>
      </w:docPartObj>
    </w:sdtPr>
    <w:sdtEndPr/>
    <w:sdtContent>
      <w:p w14:paraId="3B6483BC" w14:textId="77777777" w:rsidR="005A7DCE" w:rsidRDefault="005A7DC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56CCF0" wp14:editId="6A00F185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C4B0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1E8D07" w14:textId="77777777"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51532" w14:textId="77777777"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55A5" w14:textId="77777777" w:rsidR="002312AF" w:rsidRDefault="002312AF" w:rsidP="005A7DCE">
      <w:pPr>
        <w:spacing w:before="0"/>
      </w:pPr>
      <w:r>
        <w:separator/>
      </w:r>
    </w:p>
  </w:footnote>
  <w:footnote w:type="continuationSeparator" w:id="0">
    <w:p w14:paraId="77CEA8E5" w14:textId="77777777" w:rsidR="002312AF" w:rsidRDefault="002312AF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5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6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7D36"/>
    <w:multiLevelType w:val="multilevel"/>
    <w:tmpl w:val="57C0C8D6"/>
    <w:lvl w:ilvl="0">
      <w:start w:val="1"/>
      <w:numFmt w:val="bullet"/>
      <w:pStyle w:val="Liste1Aufzhlung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80" w:hanging="39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0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B"/>
    <w:rsid w:val="00045EDE"/>
    <w:rsid w:val="000712A2"/>
    <w:rsid w:val="00074491"/>
    <w:rsid w:val="000D4A1C"/>
    <w:rsid w:val="000E61E0"/>
    <w:rsid w:val="00116577"/>
    <w:rsid w:val="001D6942"/>
    <w:rsid w:val="002312AF"/>
    <w:rsid w:val="002460D3"/>
    <w:rsid w:val="00291162"/>
    <w:rsid w:val="0033663A"/>
    <w:rsid w:val="0036111E"/>
    <w:rsid w:val="003A518E"/>
    <w:rsid w:val="00461512"/>
    <w:rsid w:val="005633FE"/>
    <w:rsid w:val="005A0A07"/>
    <w:rsid w:val="005A7DCE"/>
    <w:rsid w:val="005B3A42"/>
    <w:rsid w:val="00620A0D"/>
    <w:rsid w:val="006549B6"/>
    <w:rsid w:val="007161D1"/>
    <w:rsid w:val="00783295"/>
    <w:rsid w:val="007B2C80"/>
    <w:rsid w:val="007F18E1"/>
    <w:rsid w:val="00805E29"/>
    <w:rsid w:val="008117E4"/>
    <w:rsid w:val="00825BFE"/>
    <w:rsid w:val="00850560"/>
    <w:rsid w:val="00883728"/>
    <w:rsid w:val="008A524D"/>
    <w:rsid w:val="008D74CD"/>
    <w:rsid w:val="00931B30"/>
    <w:rsid w:val="009710A6"/>
    <w:rsid w:val="009B770B"/>
    <w:rsid w:val="00A21130"/>
    <w:rsid w:val="00A5383F"/>
    <w:rsid w:val="00AA5D66"/>
    <w:rsid w:val="00AA7956"/>
    <w:rsid w:val="00AB7E4B"/>
    <w:rsid w:val="00AE53F0"/>
    <w:rsid w:val="00AF7672"/>
    <w:rsid w:val="00B115B2"/>
    <w:rsid w:val="00B26CE7"/>
    <w:rsid w:val="00B30F25"/>
    <w:rsid w:val="00BA6E5B"/>
    <w:rsid w:val="00D03863"/>
    <w:rsid w:val="00D97908"/>
    <w:rsid w:val="00DE3688"/>
    <w:rsid w:val="00DF1DBE"/>
    <w:rsid w:val="00E0124C"/>
    <w:rsid w:val="00E14DE1"/>
    <w:rsid w:val="00E20AF3"/>
    <w:rsid w:val="00E54A99"/>
    <w:rsid w:val="00E8473B"/>
    <w:rsid w:val="00F76D18"/>
    <w:rsid w:val="00FD60F6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236E0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5633FE"/>
    <w:pPr>
      <w:numPr>
        <w:numId w:val="12"/>
      </w:numPr>
      <w:ind w:left="397" w:hanging="397"/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DFDFDF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5633FE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BFBFBF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BFBFBF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1Aufzhlung"/>
    <w:qFormat/>
    <w:rsid w:val="005633FE"/>
    <w:pPr>
      <w:ind w:left="681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15B2"/>
    <w:pPr>
      <w:numPr>
        <w:numId w:val="0"/>
      </w:numPr>
      <w:spacing w:line="259" w:lineRule="auto"/>
      <w:outlineLvl w:val="9"/>
    </w:pPr>
    <w:rPr>
      <w:b w:val="0"/>
      <w:color w:val="0000BF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15B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115B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B115B2"/>
    <w:pPr>
      <w:spacing w:after="100"/>
      <w:ind w:left="480"/>
    </w:pPr>
  </w:style>
  <w:style w:type="table" w:styleId="Tabellenraster">
    <w:name w:val="Table Grid"/>
    <w:basedOn w:val="NormaleTabelle"/>
    <w:uiPriority w:val="39"/>
    <w:rsid w:val="00DF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rsid w:val="00DF1DB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26CE7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bluthochdruck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bluthochdruck.medhost.de/calciumantagonist-nifedip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FF6400"/>
      </a:accent6>
      <a:hlink>
        <a:srgbClr val="6600CC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FFFC-FED7-424D-ADEB-8CE5BE6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Wagner, Walter</cp:lastModifiedBy>
  <cp:revision>8</cp:revision>
  <cp:lastPrinted>2020-04-20T08:01:00Z</cp:lastPrinted>
  <dcterms:created xsi:type="dcterms:W3CDTF">2020-04-15T08:48:00Z</dcterms:created>
  <dcterms:modified xsi:type="dcterms:W3CDTF">2020-04-20T08:01:00Z</dcterms:modified>
</cp:coreProperties>
</file>