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6809C5" w:rsidRDefault="006809C5"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6809C5" w:rsidRDefault="006809C5"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3FAE3D2C" w:rsidR="00AE53F0" w:rsidRPr="005B5767" w:rsidRDefault="00E8473B" w:rsidP="005B5767">
      <w:pPr>
        <w:pStyle w:val="Seminar"/>
      </w:pPr>
      <w:r w:rsidRPr="005B5767">
        <w:t>Seminar</w:t>
      </w:r>
      <w:r w:rsidR="00FD7888" w:rsidRPr="005B5767">
        <w:t xml:space="preserve"> „Übungen im Vortragen – AC“</w:t>
      </w:r>
    </w:p>
    <w:p w14:paraId="61C6F5BC" w14:textId="51540801" w:rsidR="00E8473B" w:rsidRDefault="005B5767" w:rsidP="005633FE">
      <w:pPr>
        <w:pStyle w:val="Titel"/>
      </w:pPr>
      <w:r>
        <w:t>HSAB-Konzept</w:t>
      </w:r>
    </w:p>
    <w:p w14:paraId="28CE20D7" w14:textId="5956DEEC" w:rsidR="00E8473B" w:rsidRDefault="005B5767" w:rsidP="00E8473B">
      <w:pPr>
        <w:pStyle w:val="Autor"/>
      </w:pPr>
      <w:r>
        <w:t>Kristina Fischer, WS 09/10</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624E80E5" w14:textId="662BDDF3" w:rsidR="00F05F15"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4161097" w:history="1">
            <w:r w:rsidR="00F05F15" w:rsidRPr="000F0E6B">
              <w:rPr>
                <w:rStyle w:val="Hyperlink"/>
                <w:noProof/>
              </w:rPr>
              <w:t>1</w:t>
            </w:r>
            <w:r w:rsidR="00F05F15">
              <w:rPr>
                <w:rFonts w:asciiTheme="minorHAnsi" w:eastAsiaTheme="minorEastAsia" w:hAnsiTheme="minorHAnsi"/>
                <w:noProof/>
                <w:sz w:val="22"/>
                <w:lang w:eastAsia="de-DE"/>
              </w:rPr>
              <w:tab/>
            </w:r>
            <w:r w:rsidR="00F05F15" w:rsidRPr="000F0E6B">
              <w:rPr>
                <w:rStyle w:val="Hyperlink"/>
                <w:noProof/>
              </w:rPr>
              <w:t>Überblick über Säure-Base-Konzepte</w:t>
            </w:r>
            <w:r w:rsidR="00F05F15">
              <w:rPr>
                <w:noProof/>
                <w:webHidden/>
              </w:rPr>
              <w:tab/>
            </w:r>
            <w:r w:rsidR="00F05F15">
              <w:rPr>
                <w:noProof/>
                <w:webHidden/>
              </w:rPr>
              <w:fldChar w:fldCharType="begin"/>
            </w:r>
            <w:r w:rsidR="00F05F15">
              <w:rPr>
                <w:noProof/>
                <w:webHidden/>
              </w:rPr>
              <w:instrText xml:space="preserve"> PAGEREF _Toc54161097 \h </w:instrText>
            </w:r>
            <w:r w:rsidR="00F05F15">
              <w:rPr>
                <w:noProof/>
                <w:webHidden/>
              </w:rPr>
            </w:r>
            <w:r w:rsidR="00F05F15">
              <w:rPr>
                <w:noProof/>
                <w:webHidden/>
              </w:rPr>
              <w:fldChar w:fldCharType="separate"/>
            </w:r>
            <w:r w:rsidR="009C6D81">
              <w:rPr>
                <w:noProof/>
                <w:webHidden/>
              </w:rPr>
              <w:t>1</w:t>
            </w:r>
            <w:r w:rsidR="00F05F15">
              <w:rPr>
                <w:noProof/>
                <w:webHidden/>
              </w:rPr>
              <w:fldChar w:fldCharType="end"/>
            </w:r>
          </w:hyperlink>
        </w:p>
        <w:p w14:paraId="78B3C4F4" w14:textId="58B8A429" w:rsidR="00F05F15" w:rsidRDefault="009C6D81">
          <w:pPr>
            <w:pStyle w:val="Verzeichnis2"/>
            <w:tabs>
              <w:tab w:val="left" w:pos="880"/>
              <w:tab w:val="right" w:leader="dot" w:pos="9344"/>
            </w:tabs>
            <w:rPr>
              <w:rFonts w:asciiTheme="minorHAnsi" w:eastAsiaTheme="minorEastAsia" w:hAnsiTheme="minorHAnsi"/>
              <w:noProof/>
              <w:sz w:val="22"/>
              <w:lang w:eastAsia="de-DE"/>
            </w:rPr>
          </w:pPr>
          <w:hyperlink w:anchor="_Toc54161098" w:history="1">
            <w:r w:rsidR="00F05F15" w:rsidRPr="000F0E6B">
              <w:rPr>
                <w:rStyle w:val="Hyperlink"/>
                <w:noProof/>
              </w:rPr>
              <w:t>1.1</w:t>
            </w:r>
            <w:r w:rsidR="00F05F15">
              <w:rPr>
                <w:rFonts w:asciiTheme="minorHAnsi" w:eastAsiaTheme="minorEastAsia" w:hAnsiTheme="minorHAnsi"/>
                <w:noProof/>
                <w:sz w:val="22"/>
                <w:lang w:eastAsia="de-DE"/>
              </w:rPr>
              <w:tab/>
            </w:r>
            <w:r w:rsidR="00F05F15" w:rsidRPr="000F0E6B">
              <w:rPr>
                <w:rStyle w:val="Hyperlink"/>
                <w:noProof/>
              </w:rPr>
              <w:t>Definition nach Arrhenius</w:t>
            </w:r>
            <w:r w:rsidR="00F05F15">
              <w:rPr>
                <w:noProof/>
                <w:webHidden/>
              </w:rPr>
              <w:tab/>
            </w:r>
            <w:r w:rsidR="00F05F15">
              <w:rPr>
                <w:noProof/>
                <w:webHidden/>
              </w:rPr>
              <w:fldChar w:fldCharType="begin"/>
            </w:r>
            <w:r w:rsidR="00F05F15">
              <w:rPr>
                <w:noProof/>
                <w:webHidden/>
              </w:rPr>
              <w:instrText xml:space="preserve"> PAGEREF _Toc54161098 \h </w:instrText>
            </w:r>
            <w:r w:rsidR="00F05F15">
              <w:rPr>
                <w:noProof/>
                <w:webHidden/>
              </w:rPr>
            </w:r>
            <w:r w:rsidR="00F05F15">
              <w:rPr>
                <w:noProof/>
                <w:webHidden/>
              </w:rPr>
              <w:fldChar w:fldCharType="separate"/>
            </w:r>
            <w:r>
              <w:rPr>
                <w:noProof/>
                <w:webHidden/>
              </w:rPr>
              <w:t>1</w:t>
            </w:r>
            <w:r w:rsidR="00F05F15">
              <w:rPr>
                <w:noProof/>
                <w:webHidden/>
              </w:rPr>
              <w:fldChar w:fldCharType="end"/>
            </w:r>
          </w:hyperlink>
        </w:p>
        <w:p w14:paraId="2397B6D5" w14:textId="183D6E91" w:rsidR="00F05F15" w:rsidRDefault="009C6D81">
          <w:pPr>
            <w:pStyle w:val="Verzeichnis2"/>
            <w:tabs>
              <w:tab w:val="left" w:pos="880"/>
              <w:tab w:val="right" w:leader="dot" w:pos="9344"/>
            </w:tabs>
            <w:rPr>
              <w:rFonts w:asciiTheme="minorHAnsi" w:eastAsiaTheme="minorEastAsia" w:hAnsiTheme="minorHAnsi"/>
              <w:noProof/>
              <w:sz w:val="22"/>
              <w:lang w:eastAsia="de-DE"/>
            </w:rPr>
          </w:pPr>
          <w:hyperlink w:anchor="_Toc54161099" w:history="1">
            <w:r w:rsidR="00F05F15" w:rsidRPr="000F0E6B">
              <w:rPr>
                <w:rStyle w:val="Hyperlink"/>
                <w:noProof/>
              </w:rPr>
              <w:t>1.2</w:t>
            </w:r>
            <w:r w:rsidR="00F05F15">
              <w:rPr>
                <w:rFonts w:asciiTheme="minorHAnsi" w:eastAsiaTheme="minorEastAsia" w:hAnsiTheme="minorHAnsi"/>
                <w:noProof/>
                <w:sz w:val="22"/>
                <w:lang w:eastAsia="de-DE"/>
              </w:rPr>
              <w:tab/>
            </w:r>
            <w:r w:rsidR="00F05F15" w:rsidRPr="000F0E6B">
              <w:rPr>
                <w:rStyle w:val="Hyperlink"/>
                <w:noProof/>
              </w:rPr>
              <w:t>Definition nach Brönstedt</w:t>
            </w:r>
            <w:r w:rsidR="00F05F15">
              <w:rPr>
                <w:noProof/>
                <w:webHidden/>
              </w:rPr>
              <w:tab/>
            </w:r>
            <w:r w:rsidR="00F05F15">
              <w:rPr>
                <w:noProof/>
                <w:webHidden/>
              </w:rPr>
              <w:fldChar w:fldCharType="begin"/>
            </w:r>
            <w:r w:rsidR="00F05F15">
              <w:rPr>
                <w:noProof/>
                <w:webHidden/>
              </w:rPr>
              <w:instrText xml:space="preserve"> PAGEREF _Toc54161099 \h </w:instrText>
            </w:r>
            <w:r w:rsidR="00F05F15">
              <w:rPr>
                <w:noProof/>
                <w:webHidden/>
              </w:rPr>
            </w:r>
            <w:r w:rsidR="00F05F15">
              <w:rPr>
                <w:noProof/>
                <w:webHidden/>
              </w:rPr>
              <w:fldChar w:fldCharType="separate"/>
            </w:r>
            <w:r>
              <w:rPr>
                <w:noProof/>
                <w:webHidden/>
              </w:rPr>
              <w:t>2</w:t>
            </w:r>
            <w:r w:rsidR="00F05F15">
              <w:rPr>
                <w:noProof/>
                <w:webHidden/>
              </w:rPr>
              <w:fldChar w:fldCharType="end"/>
            </w:r>
          </w:hyperlink>
        </w:p>
        <w:p w14:paraId="0E4DDC54" w14:textId="0A08FEEF" w:rsidR="00F05F15" w:rsidRDefault="009C6D81">
          <w:pPr>
            <w:pStyle w:val="Verzeichnis2"/>
            <w:tabs>
              <w:tab w:val="left" w:pos="880"/>
              <w:tab w:val="right" w:leader="dot" w:pos="9344"/>
            </w:tabs>
            <w:rPr>
              <w:rFonts w:asciiTheme="minorHAnsi" w:eastAsiaTheme="minorEastAsia" w:hAnsiTheme="minorHAnsi"/>
              <w:noProof/>
              <w:sz w:val="22"/>
              <w:lang w:eastAsia="de-DE"/>
            </w:rPr>
          </w:pPr>
          <w:hyperlink w:anchor="_Toc54161100" w:history="1">
            <w:r w:rsidR="00F05F15" w:rsidRPr="000F0E6B">
              <w:rPr>
                <w:rStyle w:val="Hyperlink"/>
                <w:noProof/>
              </w:rPr>
              <w:t>1.3</w:t>
            </w:r>
            <w:r w:rsidR="00F05F15">
              <w:rPr>
                <w:rFonts w:asciiTheme="minorHAnsi" w:eastAsiaTheme="minorEastAsia" w:hAnsiTheme="minorHAnsi"/>
                <w:noProof/>
                <w:sz w:val="22"/>
                <w:lang w:eastAsia="de-DE"/>
              </w:rPr>
              <w:tab/>
            </w:r>
            <w:r w:rsidR="00F05F15" w:rsidRPr="000F0E6B">
              <w:rPr>
                <w:rStyle w:val="Hyperlink"/>
                <w:noProof/>
              </w:rPr>
              <w:t>Definition nach Lewis</w:t>
            </w:r>
            <w:r w:rsidR="00F05F15">
              <w:rPr>
                <w:noProof/>
                <w:webHidden/>
              </w:rPr>
              <w:tab/>
            </w:r>
            <w:r w:rsidR="00F05F15">
              <w:rPr>
                <w:noProof/>
                <w:webHidden/>
              </w:rPr>
              <w:fldChar w:fldCharType="begin"/>
            </w:r>
            <w:r w:rsidR="00F05F15">
              <w:rPr>
                <w:noProof/>
                <w:webHidden/>
              </w:rPr>
              <w:instrText xml:space="preserve"> PAGEREF _Toc54161100 \h </w:instrText>
            </w:r>
            <w:r w:rsidR="00F05F15">
              <w:rPr>
                <w:noProof/>
                <w:webHidden/>
              </w:rPr>
            </w:r>
            <w:r w:rsidR="00F05F15">
              <w:rPr>
                <w:noProof/>
                <w:webHidden/>
              </w:rPr>
              <w:fldChar w:fldCharType="separate"/>
            </w:r>
            <w:r>
              <w:rPr>
                <w:noProof/>
                <w:webHidden/>
              </w:rPr>
              <w:t>2</w:t>
            </w:r>
            <w:r w:rsidR="00F05F15">
              <w:rPr>
                <w:noProof/>
                <w:webHidden/>
              </w:rPr>
              <w:fldChar w:fldCharType="end"/>
            </w:r>
          </w:hyperlink>
        </w:p>
        <w:p w14:paraId="5C0A38EA" w14:textId="37B488D3" w:rsidR="00F05F15" w:rsidRDefault="009C6D81">
          <w:pPr>
            <w:pStyle w:val="Verzeichnis1"/>
            <w:tabs>
              <w:tab w:val="left" w:pos="480"/>
              <w:tab w:val="right" w:leader="dot" w:pos="9344"/>
            </w:tabs>
            <w:rPr>
              <w:rFonts w:asciiTheme="minorHAnsi" w:eastAsiaTheme="minorEastAsia" w:hAnsiTheme="minorHAnsi"/>
              <w:noProof/>
              <w:sz w:val="22"/>
              <w:lang w:eastAsia="de-DE"/>
            </w:rPr>
          </w:pPr>
          <w:hyperlink w:anchor="_Toc54161101" w:history="1">
            <w:r w:rsidR="00F05F15" w:rsidRPr="000F0E6B">
              <w:rPr>
                <w:rStyle w:val="Hyperlink"/>
                <w:noProof/>
              </w:rPr>
              <w:t>2</w:t>
            </w:r>
            <w:r w:rsidR="00F05F15">
              <w:rPr>
                <w:rFonts w:asciiTheme="minorHAnsi" w:eastAsiaTheme="minorEastAsia" w:hAnsiTheme="minorHAnsi"/>
                <w:noProof/>
                <w:sz w:val="22"/>
                <w:lang w:eastAsia="de-DE"/>
              </w:rPr>
              <w:tab/>
            </w:r>
            <w:r w:rsidR="00F05F15" w:rsidRPr="000F0E6B">
              <w:rPr>
                <w:rStyle w:val="Hyperlink"/>
                <w:noProof/>
              </w:rPr>
              <w:t>Experiment</w:t>
            </w:r>
            <w:r w:rsidR="00F05F15">
              <w:rPr>
                <w:noProof/>
                <w:webHidden/>
              </w:rPr>
              <w:tab/>
            </w:r>
            <w:r w:rsidR="00F05F15">
              <w:rPr>
                <w:noProof/>
                <w:webHidden/>
              </w:rPr>
              <w:fldChar w:fldCharType="begin"/>
            </w:r>
            <w:r w:rsidR="00F05F15">
              <w:rPr>
                <w:noProof/>
                <w:webHidden/>
              </w:rPr>
              <w:instrText xml:space="preserve"> PAGEREF _Toc54161101 \h </w:instrText>
            </w:r>
            <w:r w:rsidR="00F05F15">
              <w:rPr>
                <w:noProof/>
                <w:webHidden/>
              </w:rPr>
            </w:r>
            <w:r w:rsidR="00F05F15">
              <w:rPr>
                <w:noProof/>
                <w:webHidden/>
              </w:rPr>
              <w:fldChar w:fldCharType="separate"/>
            </w:r>
            <w:r>
              <w:rPr>
                <w:noProof/>
                <w:webHidden/>
              </w:rPr>
              <w:t>2</w:t>
            </w:r>
            <w:r w:rsidR="00F05F15">
              <w:rPr>
                <w:noProof/>
                <w:webHidden/>
              </w:rPr>
              <w:fldChar w:fldCharType="end"/>
            </w:r>
          </w:hyperlink>
        </w:p>
        <w:p w14:paraId="0F363DE8" w14:textId="0F7AC7C1" w:rsidR="00F05F15" w:rsidRDefault="009C6D81">
          <w:pPr>
            <w:pStyle w:val="Verzeichnis1"/>
            <w:tabs>
              <w:tab w:val="left" w:pos="480"/>
              <w:tab w:val="right" w:leader="dot" w:pos="9344"/>
            </w:tabs>
            <w:rPr>
              <w:rFonts w:asciiTheme="minorHAnsi" w:eastAsiaTheme="minorEastAsia" w:hAnsiTheme="minorHAnsi"/>
              <w:noProof/>
              <w:sz w:val="22"/>
              <w:lang w:eastAsia="de-DE"/>
            </w:rPr>
          </w:pPr>
          <w:hyperlink w:anchor="_Toc54161102" w:history="1">
            <w:r w:rsidR="00F05F15" w:rsidRPr="000F0E6B">
              <w:rPr>
                <w:rStyle w:val="Hyperlink"/>
                <w:noProof/>
              </w:rPr>
              <w:t>3</w:t>
            </w:r>
            <w:r w:rsidR="00F05F15">
              <w:rPr>
                <w:rFonts w:asciiTheme="minorHAnsi" w:eastAsiaTheme="minorEastAsia" w:hAnsiTheme="minorHAnsi"/>
                <w:noProof/>
                <w:sz w:val="22"/>
                <w:lang w:eastAsia="de-DE"/>
              </w:rPr>
              <w:tab/>
            </w:r>
            <w:r w:rsidR="00F05F15" w:rsidRPr="000F0E6B">
              <w:rPr>
                <w:rStyle w:val="Hyperlink"/>
                <w:noProof/>
              </w:rPr>
              <w:t>Pearsons Säure-Base-Konzept – das HSAB-Konzept</w:t>
            </w:r>
            <w:r w:rsidR="00F05F15">
              <w:rPr>
                <w:noProof/>
                <w:webHidden/>
              </w:rPr>
              <w:tab/>
            </w:r>
            <w:r w:rsidR="00F05F15">
              <w:rPr>
                <w:noProof/>
                <w:webHidden/>
              </w:rPr>
              <w:fldChar w:fldCharType="begin"/>
            </w:r>
            <w:r w:rsidR="00F05F15">
              <w:rPr>
                <w:noProof/>
                <w:webHidden/>
              </w:rPr>
              <w:instrText xml:space="preserve"> PAGEREF _Toc54161102 \h </w:instrText>
            </w:r>
            <w:r w:rsidR="00F05F15">
              <w:rPr>
                <w:noProof/>
                <w:webHidden/>
              </w:rPr>
            </w:r>
            <w:r w:rsidR="00F05F15">
              <w:rPr>
                <w:noProof/>
                <w:webHidden/>
              </w:rPr>
              <w:fldChar w:fldCharType="separate"/>
            </w:r>
            <w:r>
              <w:rPr>
                <w:noProof/>
                <w:webHidden/>
              </w:rPr>
              <w:t>3</w:t>
            </w:r>
            <w:r w:rsidR="00F05F15">
              <w:rPr>
                <w:noProof/>
                <w:webHidden/>
              </w:rPr>
              <w:fldChar w:fldCharType="end"/>
            </w:r>
          </w:hyperlink>
        </w:p>
        <w:p w14:paraId="2EF1990A" w14:textId="6B55DE39" w:rsidR="00F05F15" w:rsidRDefault="009C6D81">
          <w:pPr>
            <w:pStyle w:val="Verzeichnis2"/>
            <w:tabs>
              <w:tab w:val="left" w:pos="880"/>
              <w:tab w:val="right" w:leader="dot" w:pos="9344"/>
            </w:tabs>
            <w:rPr>
              <w:rFonts w:asciiTheme="minorHAnsi" w:eastAsiaTheme="minorEastAsia" w:hAnsiTheme="minorHAnsi"/>
              <w:noProof/>
              <w:sz w:val="22"/>
              <w:lang w:eastAsia="de-DE"/>
            </w:rPr>
          </w:pPr>
          <w:hyperlink w:anchor="_Toc54161103" w:history="1">
            <w:r w:rsidR="00F05F15" w:rsidRPr="000F0E6B">
              <w:rPr>
                <w:rStyle w:val="Hyperlink"/>
                <w:noProof/>
              </w:rPr>
              <w:t>3.1</w:t>
            </w:r>
            <w:r w:rsidR="00F05F15">
              <w:rPr>
                <w:rFonts w:asciiTheme="minorHAnsi" w:eastAsiaTheme="minorEastAsia" w:hAnsiTheme="minorHAnsi"/>
                <w:noProof/>
                <w:sz w:val="22"/>
                <w:lang w:eastAsia="de-DE"/>
              </w:rPr>
              <w:tab/>
            </w:r>
            <w:r w:rsidR="00F05F15" w:rsidRPr="000F0E6B">
              <w:rPr>
                <w:rStyle w:val="Hyperlink"/>
                <w:noProof/>
              </w:rPr>
              <w:t>Klassifizierung von Basen und Säuren als „hart“ oder „weich“</w:t>
            </w:r>
            <w:r w:rsidR="00F05F15">
              <w:rPr>
                <w:noProof/>
                <w:webHidden/>
              </w:rPr>
              <w:tab/>
            </w:r>
            <w:r w:rsidR="00F05F15">
              <w:rPr>
                <w:noProof/>
                <w:webHidden/>
              </w:rPr>
              <w:fldChar w:fldCharType="begin"/>
            </w:r>
            <w:r w:rsidR="00F05F15">
              <w:rPr>
                <w:noProof/>
                <w:webHidden/>
              </w:rPr>
              <w:instrText xml:space="preserve"> PAGEREF _Toc54161103 \h </w:instrText>
            </w:r>
            <w:r w:rsidR="00F05F15">
              <w:rPr>
                <w:noProof/>
                <w:webHidden/>
              </w:rPr>
            </w:r>
            <w:r w:rsidR="00F05F15">
              <w:rPr>
                <w:noProof/>
                <w:webHidden/>
              </w:rPr>
              <w:fldChar w:fldCharType="separate"/>
            </w:r>
            <w:r>
              <w:rPr>
                <w:noProof/>
                <w:webHidden/>
              </w:rPr>
              <w:t>3</w:t>
            </w:r>
            <w:r w:rsidR="00F05F15">
              <w:rPr>
                <w:noProof/>
                <w:webHidden/>
              </w:rPr>
              <w:fldChar w:fldCharType="end"/>
            </w:r>
          </w:hyperlink>
        </w:p>
        <w:p w14:paraId="0588F179" w14:textId="72152949" w:rsidR="00F05F15" w:rsidRDefault="009C6D81">
          <w:pPr>
            <w:pStyle w:val="Verzeichnis3"/>
            <w:tabs>
              <w:tab w:val="left" w:pos="1320"/>
              <w:tab w:val="right" w:leader="dot" w:pos="9344"/>
            </w:tabs>
            <w:rPr>
              <w:rFonts w:asciiTheme="minorHAnsi" w:eastAsiaTheme="minorEastAsia" w:hAnsiTheme="minorHAnsi"/>
              <w:noProof/>
              <w:sz w:val="22"/>
              <w:lang w:eastAsia="de-DE"/>
            </w:rPr>
          </w:pPr>
          <w:hyperlink w:anchor="_Toc54161104" w:history="1">
            <w:r w:rsidR="00F05F15" w:rsidRPr="000F0E6B">
              <w:rPr>
                <w:rStyle w:val="Hyperlink"/>
                <w:noProof/>
              </w:rPr>
              <w:t>3.1.1</w:t>
            </w:r>
            <w:r w:rsidR="00F05F15">
              <w:rPr>
                <w:rFonts w:asciiTheme="minorHAnsi" w:eastAsiaTheme="minorEastAsia" w:hAnsiTheme="minorHAnsi"/>
                <w:noProof/>
                <w:sz w:val="22"/>
                <w:lang w:eastAsia="de-DE"/>
              </w:rPr>
              <w:tab/>
            </w:r>
            <w:r w:rsidR="00F05F15" w:rsidRPr="000F0E6B">
              <w:rPr>
                <w:rStyle w:val="Hyperlink"/>
                <w:noProof/>
              </w:rPr>
              <w:t>Klassifizierung einer Base</w:t>
            </w:r>
            <w:r w:rsidR="00F05F15">
              <w:rPr>
                <w:noProof/>
                <w:webHidden/>
              </w:rPr>
              <w:tab/>
            </w:r>
            <w:r w:rsidR="00F05F15">
              <w:rPr>
                <w:noProof/>
                <w:webHidden/>
              </w:rPr>
              <w:fldChar w:fldCharType="begin"/>
            </w:r>
            <w:r w:rsidR="00F05F15">
              <w:rPr>
                <w:noProof/>
                <w:webHidden/>
              </w:rPr>
              <w:instrText xml:space="preserve"> PAGEREF _Toc54161104 \h </w:instrText>
            </w:r>
            <w:r w:rsidR="00F05F15">
              <w:rPr>
                <w:noProof/>
                <w:webHidden/>
              </w:rPr>
            </w:r>
            <w:r w:rsidR="00F05F15">
              <w:rPr>
                <w:noProof/>
                <w:webHidden/>
              </w:rPr>
              <w:fldChar w:fldCharType="separate"/>
            </w:r>
            <w:r>
              <w:rPr>
                <w:noProof/>
                <w:webHidden/>
              </w:rPr>
              <w:t>3</w:t>
            </w:r>
            <w:r w:rsidR="00F05F15">
              <w:rPr>
                <w:noProof/>
                <w:webHidden/>
              </w:rPr>
              <w:fldChar w:fldCharType="end"/>
            </w:r>
          </w:hyperlink>
        </w:p>
        <w:p w14:paraId="71A46474" w14:textId="4704270F" w:rsidR="00F05F15" w:rsidRDefault="009C6D81">
          <w:pPr>
            <w:pStyle w:val="Verzeichnis3"/>
            <w:tabs>
              <w:tab w:val="left" w:pos="1320"/>
              <w:tab w:val="right" w:leader="dot" w:pos="9344"/>
            </w:tabs>
            <w:rPr>
              <w:rFonts w:asciiTheme="minorHAnsi" w:eastAsiaTheme="minorEastAsia" w:hAnsiTheme="minorHAnsi"/>
              <w:noProof/>
              <w:sz w:val="22"/>
              <w:lang w:eastAsia="de-DE"/>
            </w:rPr>
          </w:pPr>
          <w:hyperlink w:anchor="_Toc54161105" w:history="1">
            <w:r w:rsidR="00F05F15" w:rsidRPr="000F0E6B">
              <w:rPr>
                <w:rStyle w:val="Hyperlink"/>
                <w:noProof/>
              </w:rPr>
              <w:t>3.1.2</w:t>
            </w:r>
            <w:r w:rsidR="00F05F15">
              <w:rPr>
                <w:rFonts w:asciiTheme="minorHAnsi" w:eastAsiaTheme="minorEastAsia" w:hAnsiTheme="minorHAnsi"/>
                <w:noProof/>
                <w:sz w:val="22"/>
                <w:lang w:eastAsia="de-DE"/>
              </w:rPr>
              <w:tab/>
            </w:r>
            <w:r w:rsidR="00F05F15" w:rsidRPr="000F0E6B">
              <w:rPr>
                <w:rStyle w:val="Hyperlink"/>
                <w:noProof/>
              </w:rPr>
              <w:t>Klassifizierung einer Säure</w:t>
            </w:r>
            <w:r w:rsidR="00F05F15">
              <w:rPr>
                <w:noProof/>
                <w:webHidden/>
              </w:rPr>
              <w:tab/>
            </w:r>
            <w:r w:rsidR="00F05F15">
              <w:rPr>
                <w:noProof/>
                <w:webHidden/>
              </w:rPr>
              <w:fldChar w:fldCharType="begin"/>
            </w:r>
            <w:r w:rsidR="00F05F15">
              <w:rPr>
                <w:noProof/>
                <w:webHidden/>
              </w:rPr>
              <w:instrText xml:space="preserve"> PAGEREF _Toc54161105 \h </w:instrText>
            </w:r>
            <w:r w:rsidR="00F05F15">
              <w:rPr>
                <w:noProof/>
                <w:webHidden/>
              </w:rPr>
            </w:r>
            <w:r w:rsidR="00F05F15">
              <w:rPr>
                <w:noProof/>
                <w:webHidden/>
              </w:rPr>
              <w:fldChar w:fldCharType="separate"/>
            </w:r>
            <w:r>
              <w:rPr>
                <w:noProof/>
                <w:webHidden/>
              </w:rPr>
              <w:t>4</w:t>
            </w:r>
            <w:r w:rsidR="00F05F15">
              <w:rPr>
                <w:noProof/>
                <w:webHidden/>
              </w:rPr>
              <w:fldChar w:fldCharType="end"/>
            </w:r>
          </w:hyperlink>
        </w:p>
        <w:p w14:paraId="4AAEAA81" w14:textId="1835499F" w:rsidR="00F05F15" w:rsidRDefault="009C6D81">
          <w:pPr>
            <w:pStyle w:val="Verzeichnis2"/>
            <w:tabs>
              <w:tab w:val="left" w:pos="880"/>
              <w:tab w:val="right" w:leader="dot" w:pos="9344"/>
            </w:tabs>
            <w:rPr>
              <w:rFonts w:asciiTheme="minorHAnsi" w:eastAsiaTheme="minorEastAsia" w:hAnsiTheme="minorHAnsi"/>
              <w:noProof/>
              <w:sz w:val="22"/>
              <w:lang w:eastAsia="de-DE"/>
            </w:rPr>
          </w:pPr>
          <w:hyperlink w:anchor="_Toc54161106" w:history="1">
            <w:r w:rsidR="00F05F15" w:rsidRPr="000F0E6B">
              <w:rPr>
                <w:rStyle w:val="Hyperlink"/>
                <w:noProof/>
              </w:rPr>
              <w:t>3.2</w:t>
            </w:r>
            <w:r w:rsidR="00F05F15">
              <w:rPr>
                <w:rFonts w:asciiTheme="minorHAnsi" w:eastAsiaTheme="minorEastAsia" w:hAnsiTheme="minorHAnsi"/>
                <w:noProof/>
                <w:sz w:val="22"/>
                <w:lang w:eastAsia="de-DE"/>
              </w:rPr>
              <w:tab/>
            </w:r>
            <w:r w:rsidR="00F05F15" w:rsidRPr="000F0E6B">
              <w:rPr>
                <w:rStyle w:val="Hyperlink"/>
                <w:noProof/>
              </w:rPr>
              <w:t>Theoretische Grundlagen</w:t>
            </w:r>
            <w:r w:rsidR="00F05F15">
              <w:rPr>
                <w:noProof/>
                <w:webHidden/>
              </w:rPr>
              <w:tab/>
            </w:r>
            <w:r w:rsidR="00F05F15">
              <w:rPr>
                <w:noProof/>
                <w:webHidden/>
              </w:rPr>
              <w:fldChar w:fldCharType="begin"/>
            </w:r>
            <w:r w:rsidR="00F05F15">
              <w:rPr>
                <w:noProof/>
                <w:webHidden/>
              </w:rPr>
              <w:instrText xml:space="preserve"> PAGEREF _Toc54161106 \h </w:instrText>
            </w:r>
            <w:r w:rsidR="00F05F15">
              <w:rPr>
                <w:noProof/>
                <w:webHidden/>
              </w:rPr>
            </w:r>
            <w:r w:rsidR="00F05F15">
              <w:rPr>
                <w:noProof/>
                <w:webHidden/>
              </w:rPr>
              <w:fldChar w:fldCharType="separate"/>
            </w:r>
            <w:r>
              <w:rPr>
                <w:noProof/>
                <w:webHidden/>
              </w:rPr>
              <w:t>5</w:t>
            </w:r>
            <w:r w:rsidR="00F05F15">
              <w:rPr>
                <w:noProof/>
                <w:webHidden/>
              </w:rPr>
              <w:fldChar w:fldCharType="end"/>
            </w:r>
          </w:hyperlink>
        </w:p>
        <w:p w14:paraId="29CFF427" w14:textId="3231BC91" w:rsidR="00F05F15" w:rsidRDefault="009C6D81">
          <w:pPr>
            <w:pStyle w:val="Verzeichnis2"/>
            <w:tabs>
              <w:tab w:val="left" w:pos="880"/>
              <w:tab w:val="right" w:leader="dot" w:pos="9344"/>
            </w:tabs>
            <w:rPr>
              <w:rFonts w:asciiTheme="minorHAnsi" w:eastAsiaTheme="minorEastAsia" w:hAnsiTheme="minorHAnsi"/>
              <w:noProof/>
              <w:sz w:val="22"/>
              <w:lang w:eastAsia="de-DE"/>
            </w:rPr>
          </w:pPr>
          <w:hyperlink w:anchor="_Toc54161107" w:history="1">
            <w:r w:rsidR="00F05F15" w:rsidRPr="000F0E6B">
              <w:rPr>
                <w:rStyle w:val="Hyperlink"/>
                <w:noProof/>
              </w:rPr>
              <w:t>3.3</w:t>
            </w:r>
            <w:r w:rsidR="00F05F15">
              <w:rPr>
                <w:rFonts w:asciiTheme="minorHAnsi" w:eastAsiaTheme="minorEastAsia" w:hAnsiTheme="minorHAnsi"/>
                <w:noProof/>
                <w:sz w:val="22"/>
                <w:lang w:eastAsia="de-DE"/>
              </w:rPr>
              <w:tab/>
            </w:r>
            <w:r w:rsidR="00F05F15" w:rsidRPr="000F0E6B">
              <w:rPr>
                <w:rStyle w:val="Hyperlink"/>
                <w:noProof/>
              </w:rPr>
              <w:t>Anwendung und Gültigkeit</w:t>
            </w:r>
            <w:r w:rsidR="00F05F15">
              <w:rPr>
                <w:noProof/>
                <w:webHidden/>
              </w:rPr>
              <w:tab/>
            </w:r>
            <w:r w:rsidR="00F05F15">
              <w:rPr>
                <w:noProof/>
                <w:webHidden/>
              </w:rPr>
              <w:fldChar w:fldCharType="begin"/>
            </w:r>
            <w:r w:rsidR="00F05F15">
              <w:rPr>
                <w:noProof/>
                <w:webHidden/>
              </w:rPr>
              <w:instrText xml:space="preserve"> PAGEREF _Toc54161107 \h </w:instrText>
            </w:r>
            <w:r w:rsidR="00F05F15">
              <w:rPr>
                <w:noProof/>
                <w:webHidden/>
              </w:rPr>
            </w:r>
            <w:r w:rsidR="00F05F15">
              <w:rPr>
                <w:noProof/>
                <w:webHidden/>
              </w:rPr>
              <w:fldChar w:fldCharType="separate"/>
            </w:r>
            <w:r>
              <w:rPr>
                <w:noProof/>
                <w:webHidden/>
              </w:rPr>
              <w:t>5</w:t>
            </w:r>
            <w:r w:rsidR="00F05F15">
              <w:rPr>
                <w:noProof/>
                <w:webHidden/>
              </w:rPr>
              <w:fldChar w:fldCharType="end"/>
            </w:r>
          </w:hyperlink>
        </w:p>
        <w:p w14:paraId="5AC765BB" w14:textId="3BE52F25" w:rsidR="009B4835" w:rsidRDefault="009B4835">
          <w:r>
            <w:rPr>
              <w:b/>
              <w:bCs/>
            </w:rPr>
            <w:fldChar w:fldCharType="end"/>
          </w:r>
        </w:p>
      </w:sdtContent>
    </w:sdt>
    <w:p w14:paraId="06CE8F08" w14:textId="05390C80" w:rsidR="00FD7888" w:rsidRDefault="00FD7888" w:rsidP="00FD7888">
      <w:pPr>
        <w:pStyle w:val="EinstiegAbschluss"/>
      </w:pPr>
      <w:bookmarkStart w:id="0" w:name="_Überschrift_1"/>
      <w:bookmarkEnd w:id="0"/>
      <w:r w:rsidRPr="005B5767">
        <w:rPr>
          <w:rStyle w:val="Fett"/>
        </w:rPr>
        <w:t>Einstieg</w:t>
      </w:r>
      <w:r>
        <w:t>:</w:t>
      </w:r>
      <w:r w:rsidR="005B5767">
        <w:t xml:space="preserve"> </w:t>
      </w:r>
      <w:r w:rsidR="005B5767">
        <w:rPr>
          <w:rFonts w:cs="Arial"/>
        </w:rPr>
        <w:t xml:space="preserve">Allgemein bekannt sind die Säure-Base-Konzepte von Arrhenius, </w:t>
      </w:r>
      <w:proofErr w:type="spellStart"/>
      <w:r w:rsidR="005B5767">
        <w:rPr>
          <w:rFonts w:cs="Arial"/>
        </w:rPr>
        <w:t>Br</w:t>
      </w:r>
      <w:r w:rsidR="009C6D81">
        <w:rPr>
          <w:rFonts w:cs="Arial"/>
        </w:rPr>
        <w:t>ø</w:t>
      </w:r>
      <w:r w:rsidR="005B5767">
        <w:rPr>
          <w:rFonts w:cs="Arial"/>
        </w:rPr>
        <w:t>nsted</w:t>
      </w:r>
      <w:proofErr w:type="spellEnd"/>
      <w:r w:rsidR="005B5767">
        <w:rPr>
          <w:rFonts w:cs="Arial"/>
        </w:rPr>
        <w:t xml:space="preserve"> und Lewis. Diese Konzepte sind allerdings deutlich älter als Pearsons Konzept. Haben diese älteren Säure-Base-Konzepte mit der Entdeckung des HSAB-Konzepts ihre Gültigkeit verloren?</w:t>
      </w:r>
    </w:p>
    <w:p w14:paraId="3D51DEDA" w14:textId="7FCEB4AD" w:rsidR="00E8473B" w:rsidRDefault="005B5767" w:rsidP="008A524D">
      <w:pPr>
        <w:pStyle w:val="berschrift1"/>
      </w:pPr>
      <w:bookmarkStart w:id="1" w:name="_Toc54161097"/>
      <w:r>
        <w:t>Überblick über Säure-Base-Konzepte</w:t>
      </w:r>
      <w:bookmarkEnd w:id="1"/>
    </w:p>
    <w:p w14:paraId="37F64B35" w14:textId="783181F7" w:rsidR="005B5767" w:rsidRDefault="005B5767" w:rsidP="005B5767">
      <w:pPr>
        <w:pStyle w:val="berschrift2"/>
      </w:pPr>
      <w:bookmarkStart w:id="2" w:name="_Toc54161098"/>
      <w:r>
        <w:t>Definition nach Arrhenius</w:t>
      </w:r>
      <w:bookmarkEnd w:id="2"/>
    </w:p>
    <w:p w14:paraId="1E53DE76" w14:textId="5CD19D40" w:rsidR="005B5767" w:rsidRDefault="005B5767" w:rsidP="005B5767">
      <w:pPr>
        <w:rPr>
          <w:rFonts w:cs="Arial"/>
        </w:rPr>
      </w:pPr>
      <w:r>
        <w:rPr>
          <w:rFonts w:cs="Arial"/>
        </w:rPr>
        <w:t>Die erste korrekte und bedeutende Definition von Säuren und Basen formulierte Arrhenius 1887. Er definierte:</w:t>
      </w:r>
    </w:p>
    <w:p w14:paraId="708A8148" w14:textId="0F376479" w:rsidR="005B5767" w:rsidRDefault="005B5767" w:rsidP="005B5767">
      <w:pPr>
        <w:pStyle w:val="Grn"/>
      </w:pPr>
      <w:r>
        <w:t>Säuren sind Verbindungen, die in Wasser durch Dissoziation Wasserstoff-Ionen bilden. Basen werden als Substanzen beschrieben, die bei ihrer Ionisation in Wasser Hydroxid-Ionen bilden.</w:t>
      </w:r>
    </w:p>
    <w:p w14:paraId="53421996" w14:textId="1B52F9AB" w:rsidR="005B5767" w:rsidRDefault="005B5767" w:rsidP="005B5767">
      <w:pPr>
        <w:rPr>
          <w:rFonts w:cs="Arial"/>
        </w:rPr>
      </w:pPr>
      <w:r>
        <w:rPr>
          <w:rFonts w:cs="Arial"/>
        </w:rPr>
        <w:t>Arrhenius erkannte, dass die sauren Eigenschaften einer Lösung durch H</w:t>
      </w:r>
      <w:r>
        <w:rPr>
          <w:rFonts w:cs="Arial"/>
          <w:vertAlign w:val="superscript"/>
        </w:rPr>
        <w:t xml:space="preserve">+ </w:t>
      </w:r>
      <w:r>
        <w:rPr>
          <w:rFonts w:cs="Arial"/>
        </w:rPr>
        <w:t>-Ionen, die basischen durch OH</w:t>
      </w:r>
      <w:r>
        <w:rPr>
          <w:rFonts w:cs="Arial"/>
          <w:vertAlign w:val="superscript"/>
        </w:rPr>
        <w:t xml:space="preserve">- </w:t>
      </w:r>
      <w:r>
        <w:rPr>
          <w:rFonts w:cs="Arial"/>
        </w:rPr>
        <w:t>-Ionen zustande kommen. Vereinigt man Säure und Base, entsteht eine Lösung, die weder basisch noch sauer reagiert. Es bildet sich eine neutrale Lösung, die sich wie eine entsprechende Salzlösung verhält. Dieser Vorgang wird Neutralisation genannt.</w:t>
      </w:r>
    </w:p>
    <w:p w14:paraId="13D4EEEE" w14:textId="77777777" w:rsidR="00F05F15" w:rsidRDefault="00F05F15">
      <w:pPr>
        <w:spacing w:before="0"/>
        <w:jc w:val="left"/>
        <w:rPr>
          <w:rFonts w:asciiTheme="majorHAnsi" w:eastAsiaTheme="majorEastAsia" w:hAnsiTheme="majorHAnsi" w:cstheme="majorBidi"/>
          <w:b/>
          <w:color w:val="000000" w:themeColor="text1"/>
          <w:sz w:val="28"/>
          <w:szCs w:val="26"/>
        </w:rPr>
      </w:pPr>
      <w:r>
        <w:br w:type="page"/>
      </w:r>
    </w:p>
    <w:p w14:paraId="5940D2B6" w14:textId="1450FED9" w:rsidR="005B5767" w:rsidRDefault="005B5767" w:rsidP="005B5767">
      <w:pPr>
        <w:pStyle w:val="berschrift2"/>
      </w:pPr>
      <w:bookmarkStart w:id="3" w:name="_Toc54161099"/>
      <w:r>
        <w:lastRenderedPageBreak/>
        <w:t xml:space="preserve">Definition nach </w:t>
      </w:r>
      <w:proofErr w:type="spellStart"/>
      <w:r>
        <w:t>Br</w:t>
      </w:r>
      <w:r w:rsidR="009C6D81">
        <w:rPr>
          <w:rFonts w:cstheme="majorHAnsi"/>
        </w:rPr>
        <w:t>ø</w:t>
      </w:r>
      <w:r>
        <w:t>nsted</w:t>
      </w:r>
      <w:bookmarkEnd w:id="3"/>
      <w:proofErr w:type="spellEnd"/>
    </w:p>
    <w:p w14:paraId="7DBD287D" w14:textId="49D5D990" w:rsidR="005B5767" w:rsidRPr="005B5767" w:rsidRDefault="005B5767" w:rsidP="005B5767">
      <w:proofErr w:type="spellStart"/>
      <w:r>
        <w:rPr>
          <w:rFonts w:cs="Arial"/>
        </w:rPr>
        <w:t>Br</w:t>
      </w:r>
      <w:r w:rsidR="009C6D81">
        <w:rPr>
          <w:rFonts w:cs="Arial"/>
        </w:rPr>
        <w:t>ø</w:t>
      </w:r>
      <w:r>
        <w:rPr>
          <w:rFonts w:cs="Arial"/>
        </w:rPr>
        <w:t>nsted</w:t>
      </w:r>
      <w:proofErr w:type="spellEnd"/>
      <w:r>
        <w:rPr>
          <w:rFonts w:cs="Arial"/>
        </w:rPr>
        <w:t xml:space="preserve"> (1923) definiert Säuren und Basen folgendermaßen:</w:t>
      </w:r>
    </w:p>
    <w:p w14:paraId="36CCDD45" w14:textId="5167B486" w:rsidR="005B5767" w:rsidRDefault="005B5767" w:rsidP="005B5767">
      <w:pPr>
        <w:pStyle w:val="Grn"/>
      </w:pPr>
      <w:r>
        <w:t>Säuren sind Protonen-</w:t>
      </w:r>
      <w:proofErr w:type="spellStart"/>
      <w:r>
        <w:t>Donatoren</w:t>
      </w:r>
      <w:proofErr w:type="spellEnd"/>
      <w:r>
        <w:t>, d. h. sie können Protonen abgeben; Basen sind Protonen-Akzeptoren, d. h sie können Protonen aufnehmen.</w:t>
      </w:r>
    </w:p>
    <w:p w14:paraId="12856089" w14:textId="37206689" w:rsidR="005B5767" w:rsidRDefault="005B5767" w:rsidP="005B5767">
      <w:r>
        <w:t>Gibt eine Säure ein Proton ab, so entsteht eine Base (= Säure-Rest). Daher kommt der Begriff korrespondierendes/konjugiertes Säure-Base-Paar.</w:t>
      </w:r>
    </w:p>
    <w:p w14:paraId="28EF68F7" w14:textId="0991CCE3" w:rsidR="005B5767" w:rsidRPr="005B5767" w:rsidRDefault="005B5767" w:rsidP="005B5767">
      <w:pPr>
        <w:pStyle w:val="Formeln"/>
        <w:rPr>
          <w:rFonts w:eastAsiaTheme="minorEastAsia"/>
        </w:rPr>
      </w:pPr>
      <m:oMathPara>
        <m:oMath>
          <m:r>
            <m:rPr>
              <m:nor/>
            </m:rPr>
            <m:t xml:space="preserve">HB </m:t>
          </m:r>
          <m:r>
            <m:rPr>
              <m:nor/>
            </m:rPr>
            <w:rPr>
              <w:rFonts w:ascii="Cambria Math" w:hAnsi="Cambria Math" w:cs="Cambria Math"/>
            </w:rPr>
            <m:t>⇌</m:t>
          </m:r>
          <m:r>
            <m:rPr>
              <m:nor/>
            </m:rPr>
            <m:t xml:space="preserve"> </m:t>
          </m:r>
          <m:sSup>
            <m:sSupPr>
              <m:ctrlPr>
                <w:rPr>
                  <w:rFonts w:ascii="Cambria Math" w:hAnsi="Cambria Math"/>
                </w:rPr>
              </m:ctrlPr>
            </m:sSupPr>
            <m:e>
              <m:r>
                <m:rPr>
                  <m:nor/>
                </m:rPr>
                <m:t>B</m:t>
              </m:r>
            </m:e>
            <m:sup>
              <m:r>
                <m:rPr>
                  <m:nor/>
                </m:rPr>
                <m:t>-</m:t>
              </m:r>
            </m:sup>
          </m:sSup>
          <m:r>
            <m:rPr>
              <m:nor/>
            </m:rPr>
            <m:t xml:space="preserve">+ </m:t>
          </m:r>
          <m:sSup>
            <m:sSupPr>
              <m:ctrlPr>
                <w:rPr>
                  <w:rFonts w:ascii="Cambria Math" w:hAnsi="Cambria Math"/>
                </w:rPr>
              </m:ctrlPr>
            </m:sSupPr>
            <m:e>
              <m:r>
                <m:rPr>
                  <m:nor/>
                </m:rPr>
                <m:t>H</m:t>
              </m:r>
            </m:e>
            <m:sup>
              <m:r>
                <m:rPr>
                  <m:nor/>
                </m:rPr>
                <m:t>+</m:t>
              </m:r>
            </m:sup>
          </m:sSup>
        </m:oMath>
      </m:oMathPara>
    </w:p>
    <w:p w14:paraId="396DD4C4" w14:textId="64B1D753" w:rsidR="005B5767" w:rsidRPr="005B5767" w:rsidRDefault="005B5767" w:rsidP="005B5767">
      <w:pPr>
        <w:pStyle w:val="Formeln"/>
        <w:rPr>
          <w:rFonts w:eastAsiaTheme="minorEastAsia"/>
        </w:rPr>
      </w:pPr>
      <m:oMathPara>
        <m:oMath>
          <m:r>
            <m:rPr>
              <m:nor/>
            </m:rPr>
            <m:t xml:space="preserve">Säure </m:t>
          </m:r>
          <m:r>
            <m:rPr>
              <m:nor/>
            </m:rPr>
            <w:rPr>
              <w:rFonts w:ascii="Cambria Math" w:hAnsi="Cambria Math" w:cs="Cambria Math"/>
            </w:rPr>
            <m:t xml:space="preserve">⇌ </m:t>
          </m:r>
          <w:proofErr w:type="spellStart"/>
          <m:r>
            <m:rPr>
              <m:nor/>
            </m:rPr>
            <m:t>Base+Proton</m:t>
          </m:r>
        </m:oMath>
      </m:oMathPara>
      <w:proofErr w:type="spellEnd"/>
    </w:p>
    <w:p w14:paraId="159E7302" w14:textId="5608745C" w:rsidR="005B5767" w:rsidRDefault="005B5767" w:rsidP="005B5767">
      <w:pPr>
        <w:rPr>
          <w:rFonts w:cs="Arial"/>
        </w:rPr>
      </w:pPr>
      <w:r>
        <w:rPr>
          <w:rFonts w:cs="Arial"/>
        </w:rPr>
        <w:t>Eine Säure-Base-Reaktion ist gekennzeichnet durch die Übertragung eines Protons von der Säure auf die Base. Ein Beispiel für eine Säure-Base-Reaktion ist:</w:t>
      </w:r>
    </w:p>
    <w:p w14:paraId="1D64D19B" w14:textId="33AF2C3D" w:rsidR="005B5767" w:rsidRPr="005B5767" w:rsidRDefault="009C6D81" w:rsidP="005B5767">
      <w:pPr>
        <w:pStyle w:val="Formeln"/>
        <w:rPr>
          <w:rFonts w:eastAsiaTheme="minorEastAsia"/>
        </w:rPr>
      </w:pPr>
      <m:oMathPara>
        <m:oMath>
          <m:sSup>
            <m:sSupPr>
              <m:ctrlPr>
                <w:rPr>
                  <w:rFonts w:ascii="Cambria Math" w:hAnsi="Cambria Math"/>
                </w:rPr>
              </m:ctrlPr>
            </m:sSupPr>
            <m:e>
              <m:sSub>
                <m:sSubPr>
                  <m:ctrlPr>
                    <w:rPr>
                      <w:rFonts w:ascii="Cambria Math" w:hAnsi="Cambria Math"/>
                    </w:rPr>
                  </m:ctrlPr>
                </m:sSubPr>
                <m:e>
                  <m:r>
                    <m:rPr>
                      <m:nor/>
                    </m:rPr>
                    <m:t>NH</m:t>
                  </m:r>
                </m:e>
                <m:sub>
                  <m:r>
                    <m:rPr>
                      <m:nor/>
                    </m:rPr>
                    <m:t>4</m:t>
                  </m:r>
                </m:sub>
              </m:sSub>
            </m:e>
            <m:sup>
              <m:r>
                <m:rPr>
                  <m:nor/>
                </m:rPr>
                <m:t>+</m:t>
              </m:r>
            </m:sup>
          </m:sSup>
          <m:r>
            <m:rPr>
              <m:nor/>
            </m:rPr>
            <m:t>+</m:t>
          </m:r>
          <m:r>
            <m:rPr>
              <m:sty m:val="p"/>
            </m:rPr>
            <w:rPr>
              <w:rFonts w:ascii="Cambria Math" w:hAnsi="Cambria Math"/>
            </w:rPr>
            <m:t xml:space="preserve"> </m:t>
          </m:r>
          <m:sSup>
            <m:sSupPr>
              <m:ctrlPr>
                <w:rPr>
                  <w:rFonts w:ascii="Cambria Math" w:hAnsi="Cambria Math"/>
                </w:rPr>
              </m:ctrlPr>
            </m:sSupPr>
            <m:e>
              <m:r>
                <m:rPr>
                  <m:nor/>
                </m:rPr>
                <m:t>OH</m:t>
              </m:r>
            </m:e>
            <m:sup>
              <m:r>
                <m:rPr>
                  <m:nor/>
                </m:rPr>
                <m:t>-</m:t>
              </m:r>
            </m:sup>
          </m:sSup>
          <m:r>
            <m:rPr>
              <m:nor/>
            </m:rPr>
            <m:t xml:space="preserve"> </m:t>
          </m:r>
          <m:r>
            <m:rPr>
              <m:nor/>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r>
                <m:rPr>
                  <m:nor/>
                </m:rPr>
                <m:t>NH</m:t>
              </m:r>
            </m:e>
            <m:sub>
              <m:r>
                <m:rPr>
                  <m:nor/>
                </m:rPr>
                <m:t>3</m:t>
              </m:r>
            </m:sub>
          </m:sSub>
          <m:r>
            <m:rPr>
              <m:nor/>
            </m:rPr>
            <w:rPr>
              <w:rFonts w:ascii="Cambria Math"/>
            </w:rPr>
            <m:t xml:space="preserve"> </m:t>
          </m:r>
          <m:r>
            <m:rPr>
              <m:nor/>
            </m:rPr>
            <m:t>+</m:t>
          </m:r>
          <m:r>
            <m:rPr>
              <m:sty m:val="p"/>
            </m:rPr>
            <w:rPr>
              <w:rFonts w:ascii="Cambria Math" w:hAnsi="Cambria Math"/>
            </w:rPr>
            <m:t xml:space="preserve"> </m:t>
          </m:r>
          <m:sSub>
            <m:sSubPr>
              <m:ctrlPr>
                <w:rPr>
                  <w:rFonts w:ascii="Cambria Math" w:hAnsi="Cambria Math"/>
                </w:rPr>
              </m:ctrlPr>
            </m:sSubPr>
            <m:e>
              <m:r>
                <m:rPr>
                  <m:nor/>
                </m:rPr>
                <m:t>H</m:t>
              </m:r>
            </m:e>
            <m:sub>
              <m:r>
                <m:rPr>
                  <m:nor/>
                </m:rPr>
                <m:t>2</m:t>
              </m:r>
            </m:sub>
          </m:sSub>
          <m:r>
            <m:rPr>
              <m:nor/>
            </m:rPr>
            <m:t>O</m:t>
          </m:r>
        </m:oMath>
      </m:oMathPara>
    </w:p>
    <w:p w14:paraId="52A48B3A" w14:textId="5376CD96" w:rsidR="005B5767" w:rsidRPr="005B5767" w:rsidRDefault="005B5767" w:rsidP="005B5767">
      <w:pPr>
        <w:pStyle w:val="Formeln"/>
        <w:rPr>
          <w:rFonts w:eastAsiaTheme="minorEastAsia"/>
        </w:rPr>
      </w:pPr>
      <m:oMathPara>
        <m:oMath>
          <m:r>
            <m:rPr>
              <m:nor/>
            </m:rPr>
            <m:t>Säure 1</m:t>
          </m:r>
          <m:r>
            <m:rPr>
              <m:nor/>
            </m:rPr>
            <w:rPr>
              <w:rFonts w:ascii="Cambria Math"/>
            </w:rPr>
            <m:t xml:space="preserve"> </m:t>
          </m:r>
          <m:r>
            <m:rPr>
              <m:nor/>
            </m:rPr>
            <m:t>+</m:t>
          </m:r>
          <m:r>
            <m:rPr>
              <m:nor/>
            </m:rPr>
            <w:rPr>
              <w:rFonts w:ascii="Cambria Math"/>
            </w:rPr>
            <m:t xml:space="preserve"> </m:t>
          </m:r>
          <m:r>
            <m:rPr>
              <m:nor/>
            </m:rPr>
            <m:t xml:space="preserve">Base 2 </m:t>
          </m:r>
          <m:r>
            <m:rPr>
              <m:nor/>
            </m:rPr>
            <w:rPr>
              <w:rFonts w:ascii="Cambria Math"/>
            </w:rPr>
            <m:t xml:space="preserve"> </m:t>
          </m:r>
          <m:r>
            <m:rPr>
              <m:nor/>
            </m:rPr>
            <w:rPr>
              <w:rFonts w:ascii="Cambria Math" w:hAnsi="Cambria Math" w:cs="Cambria Math"/>
            </w:rPr>
            <m:t xml:space="preserve">⇌ </m:t>
          </m:r>
          <m:r>
            <m:rPr>
              <m:nor/>
            </m:rPr>
            <m:t>Base 1</m:t>
          </m:r>
          <m:r>
            <m:rPr>
              <m:nor/>
            </m:rPr>
            <w:rPr>
              <w:rFonts w:ascii="Cambria Math"/>
            </w:rPr>
            <m:t xml:space="preserve"> </m:t>
          </m:r>
          <m:r>
            <m:rPr>
              <m:nor/>
            </m:rPr>
            <m:t>+</m:t>
          </m:r>
          <m:r>
            <m:rPr>
              <m:nor/>
            </m:rPr>
            <w:rPr>
              <w:rFonts w:ascii="Cambria Math"/>
            </w:rPr>
            <m:t xml:space="preserve"> </m:t>
          </m:r>
          <m:r>
            <m:rPr>
              <m:nor/>
            </m:rPr>
            <m:t>S</m:t>
          </m:r>
          <m:r>
            <m:rPr>
              <m:nor/>
            </m:rPr>
            <w:rPr>
              <w:rFonts w:cs="Arial"/>
            </w:rPr>
            <m:t>ä</m:t>
          </m:r>
          <m:r>
            <m:rPr>
              <m:nor/>
            </m:rPr>
            <m:t>ure 2</m:t>
          </m:r>
        </m:oMath>
      </m:oMathPara>
    </w:p>
    <w:p w14:paraId="4161853F" w14:textId="5CE36A98" w:rsidR="005B5767" w:rsidRDefault="005B5767" w:rsidP="005B5767">
      <w:pPr>
        <w:rPr>
          <w:rFonts w:cs="Arial"/>
        </w:rPr>
      </w:pPr>
      <w:r>
        <w:rPr>
          <w:rFonts w:cs="Arial"/>
        </w:rPr>
        <w:t>Je leichter die Säure ein Proton abgibt, desto stärker ist sie. Je lieber die Base ein Proton aufnimmt, desto stärker ist sie.</w:t>
      </w:r>
    </w:p>
    <w:p w14:paraId="1B7D22E9" w14:textId="14D62299" w:rsidR="005B5767" w:rsidRDefault="005B5767" w:rsidP="005B5767">
      <w:pPr>
        <w:pStyle w:val="berschrift2"/>
      </w:pPr>
      <w:bookmarkStart w:id="4" w:name="_Toc54161100"/>
      <w:r>
        <w:t>Definition nach Lewis</w:t>
      </w:r>
      <w:bookmarkEnd w:id="4"/>
    </w:p>
    <w:p w14:paraId="75F9F536" w14:textId="3E673903" w:rsidR="005B5767" w:rsidRDefault="005B5767" w:rsidP="005B5767">
      <w:pPr>
        <w:rPr>
          <w:rFonts w:cs="Arial"/>
        </w:rPr>
      </w:pPr>
      <w:r>
        <w:rPr>
          <w:rFonts w:cs="Arial"/>
        </w:rPr>
        <w:t>Lewis' Konzept definiert Säuren und Basen unabhängig von Protonen. Er definiert:</w:t>
      </w:r>
    </w:p>
    <w:p w14:paraId="66CAAC15" w14:textId="60B3B120" w:rsidR="005B5767" w:rsidRPr="005B5767" w:rsidRDefault="005B5767" w:rsidP="005B5767">
      <w:pPr>
        <w:pStyle w:val="Grn"/>
      </w:pPr>
      <w:r w:rsidRPr="005B5767">
        <w:t xml:space="preserve">Lewis-Säuren sind Elektronenpaar-Akzeptoren, also </w:t>
      </w:r>
      <w:proofErr w:type="spellStart"/>
      <w:r w:rsidRPr="005B5767">
        <w:t>elektrophile</w:t>
      </w:r>
      <w:proofErr w:type="spellEnd"/>
      <w:r w:rsidRPr="005B5767">
        <w:t xml:space="preserve"> Teilchen wie Ionen oder Moleküle mit mindestens einer Elektronenpaar-Lücke (leeres Valenz-Orbital), z. B. BF3, AlCl3. Lewis-Basen sind Elektronenpaar-</w:t>
      </w:r>
      <w:proofErr w:type="spellStart"/>
      <w:r w:rsidRPr="005B5767">
        <w:t>Donatoren</w:t>
      </w:r>
      <w:proofErr w:type="spellEnd"/>
      <w:r w:rsidRPr="005B5767">
        <w:t xml:space="preserve">, also </w:t>
      </w:r>
      <w:proofErr w:type="spellStart"/>
      <w:r w:rsidRPr="005B5767">
        <w:t>nucleophile</w:t>
      </w:r>
      <w:proofErr w:type="spellEnd"/>
      <w:r w:rsidRPr="005B5767">
        <w:t xml:space="preserve"> Teilchen wie Ionen und Moleküle mit mindeste</w:t>
      </w:r>
      <w:r>
        <w:t>ns einem freien Elektronenpaar.</w:t>
      </w:r>
    </w:p>
    <w:p w14:paraId="1902EC6D" w14:textId="018A7DF0" w:rsidR="005B5767" w:rsidRDefault="005B5767" w:rsidP="005B5767">
      <w:pPr>
        <w:pStyle w:val="berschrift1"/>
      </w:pPr>
      <w:bookmarkStart w:id="5" w:name="_Toc54161101"/>
      <w:r>
        <w:t>Experiment</w:t>
      </w:r>
      <w:bookmarkEnd w:id="5"/>
    </w:p>
    <w:p w14:paraId="390E0953" w14:textId="27A148AB" w:rsidR="005B5767" w:rsidRDefault="005B5767" w:rsidP="005B5767">
      <w:r w:rsidRPr="00A824AD">
        <w:rPr>
          <w:rStyle w:val="Fett"/>
        </w:rPr>
        <w:t>Experiment</w:t>
      </w:r>
      <w:r>
        <w:t>: Veranschaulichung des HSAB-Konzepts</w:t>
      </w:r>
    </w:p>
    <w:p w14:paraId="716D9FC9" w14:textId="5BCF9BD8" w:rsidR="005B5767" w:rsidRDefault="005B5767" w:rsidP="005B5767">
      <w:r w:rsidRPr="00A824AD">
        <w:rPr>
          <w:rStyle w:val="Fett"/>
        </w:rPr>
        <w:t>Material</w:t>
      </w:r>
      <w:r>
        <w:t>:</w:t>
      </w:r>
    </w:p>
    <w:p w14:paraId="2B6D85C4" w14:textId="77777777" w:rsidR="00A824AD" w:rsidRDefault="00A824AD" w:rsidP="005B5767">
      <w:pPr>
        <w:pStyle w:val="Liste1Aufzhlung"/>
        <w:sectPr w:rsidR="00A824AD" w:rsidSect="009B4835">
          <w:footerReference w:type="default" r:id="rId9"/>
          <w:pgSz w:w="11906" w:h="16838"/>
          <w:pgMar w:top="851" w:right="1134" w:bottom="851" w:left="1418" w:header="0" w:footer="0" w:gutter="0"/>
          <w:cols w:space="708"/>
          <w:titlePg/>
          <w:docGrid w:linePitch="360"/>
        </w:sectPr>
      </w:pPr>
    </w:p>
    <w:p w14:paraId="469A9D1D" w14:textId="14AF7D7B" w:rsidR="005B5767" w:rsidRDefault="005B5767" w:rsidP="005B5767">
      <w:pPr>
        <w:pStyle w:val="Liste1Aufzhlung"/>
      </w:pPr>
      <w:r>
        <w:lastRenderedPageBreak/>
        <w:t>Leuchtkasten</w:t>
      </w:r>
    </w:p>
    <w:p w14:paraId="59443598" w14:textId="5AA5B595" w:rsidR="005B5767" w:rsidRDefault="005B5767" w:rsidP="005B5767">
      <w:pPr>
        <w:pStyle w:val="Liste1Aufzhlung"/>
      </w:pPr>
      <w:r>
        <w:t>Reagenzglas-Gestell</w:t>
      </w:r>
    </w:p>
    <w:p w14:paraId="2233F0EB" w14:textId="5B65ECB7" w:rsidR="005B5767" w:rsidRDefault="005B5767" w:rsidP="005B5767">
      <w:pPr>
        <w:pStyle w:val="Liste1Aufzhlung"/>
      </w:pPr>
      <w:r>
        <w:lastRenderedPageBreak/>
        <w:t>2 Reagenzgläser, d= 20 mm</w:t>
      </w:r>
    </w:p>
    <w:p w14:paraId="70370829" w14:textId="791E510C" w:rsidR="005B5767" w:rsidRDefault="005B5767" w:rsidP="005B5767">
      <w:pPr>
        <w:pStyle w:val="Liste1Aufzhlung"/>
      </w:pPr>
      <w:r>
        <w:t>3 Pasteur-Pipetten, Hütchen</w:t>
      </w:r>
    </w:p>
    <w:p w14:paraId="6B5D4CEF" w14:textId="77777777" w:rsidR="00A824AD" w:rsidRDefault="00A824AD" w:rsidP="005B5767">
      <w:pPr>
        <w:rPr>
          <w:rStyle w:val="Fett"/>
        </w:rPr>
        <w:sectPr w:rsidR="00A824AD" w:rsidSect="00A824AD">
          <w:type w:val="continuous"/>
          <w:pgSz w:w="11906" w:h="16838"/>
          <w:pgMar w:top="851" w:right="1134" w:bottom="851" w:left="1418" w:header="0" w:footer="0" w:gutter="0"/>
          <w:cols w:num="2" w:space="708"/>
          <w:titlePg/>
          <w:docGrid w:linePitch="360"/>
        </w:sectPr>
      </w:pPr>
    </w:p>
    <w:p w14:paraId="1B183990" w14:textId="23B17EE1" w:rsidR="005B5767" w:rsidRDefault="005B5767" w:rsidP="005B5767">
      <w:r w:rsidRPr="00A824AD">
        <w:rPr>
          <w:rStyle w:val="Fett"/>
        </w:rPr>
        <w:lastRenderedPageBreak/>
        <w:t>Chemikalien</w:t>
      </w:r>
      <w:r>
        <w:t>:</w:t>
      </w:r>
    </w:p>
    <w:p w14:paraId="5DB14B5C" w14:textId="77777777" w:rsidR="00A824AD" w:rsidRDefault="00A824AD" w:rsidP="00A824AD">
      <w:pPr>
        <w:pStyle w:val="Rot"/>
        <w:numPr>
          <w:ilvl w:val="2"/>
          <w:numId w:val="10"/>
        </w:numPr>
        <w:ind w:left="426" w:hanging="426"/>
        <w:sectPr w:rsidR="00A824AD" w:rsidSect="00A824AD">
          <w:type w:val="continuous"/>
          <w:pgSz w:w="11906" w:h="16838"/>
          <w:pgMar w:top="851" w:right="1134" w:bottom="851" w:left="1418" w:header="0" w:footer="0" w:gutter="0"/>
          <w:cols w:space="708"/>
          <w:titlePg/>
          <w:docGrid w:linePitch="360"/>
        </w:sectPr>
      </w:pPr>
    </w:p>
    <w:p w14:paraId="317CA035" w14:textId="24CCBE67" w:rsidR="005B5767" w:rsidRDefault="00A515D2" w:rsidP="00A824AD">
      <w:pPr>
        <w:pStyle w:val="Rot"/>
        <w:numPr>
          <w:ilvl w:val="2"/>
          <w:numId w:val="10"/>
        </w:numPr>
        <w:ind w:left="426" w:hanging="426"/>
      </w:pPr>
      <w:r>
        <w:lastRenderedPageBreak/>
        <w:t>VE</w:t>
      </w:r>
      <w:bookmarkStart w:id="6" w:name="OLE_LINK13"/>
      <w:r>
        <w:t>-Wasser</w:t>
      </w:r>
      <w:bookmarkEnd w:id="6"/>
    </w:p>
    <w:p w14:paraId="516F02F8" w14:textId="3A38943A" w:rsidR="00A515D2" w:rsidRDefault="00A824AD" w:rsidP="00A515D2">
      <w:pPr>
        <w:pStyle w:val="Liste1Aufzhlung"/>
        <w:jc w:val="left"/>
      </w:pPr>
      <w:bookmarkStart w:id="7" w:name="OLE_LINK47"/>
      <w:r w:rsidRPr="00A824AD">
        <w:rPr>
          <w:rStyle w:val="RotZchn"/>
        </w:rPr>
        <w:t>Kupfer(II)-sulfat</w:t>
      </w:r>
      <w:r>
        <w:t xml:space="preserve"> (wasserfrei)</w:t>
      </w:r>
      <w:r>
        <w:br/>
      </w:r>
      <w:r w:rsidRPr="00A824AD">
        <w:rPr>
          <w:rStyle w:val="CASNrZchn"/>
        </w:rPr>
        <w:t>CAS-Nr.: 7758-98-7</w:t>
      </w:r>
      <w:r>
        <w:br/>
      </w:r>
      <w:r>
        <w:rPr>
          <w:noProof/>
          <w:lang w:eastAsia="de-DE"/>
        </w:rPr>
        <w:drawing>
          <wp:inline distT="0" distB="0" distL="0" distR="0" wp14:anchorId="348C848C" wp14:editId="2BDF8D32">
            <wp:extent cx="361950" cy="3619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w:t>
      </w:r>
      <w:r>
        <w:rPr>
          <w:noProof/>
          <w:lang w:eastAsia="de-DE"/>
        </w:rPr>
        <w:drawing>
          <wp:inline distT="0" distB="0" distL="0" distR="0" wp14:anchorId="0DC5B84B" wp14:editId="3475AC3E">
            <wp:extent cx="361950" cy="3619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w:t>
      </w:r>
      <w:r>
        <w:rPr>
          <w:noProof/>
          <w:lang w:eastAsia="de-DE"/>
        </w:rPr>
        <w:drawing>
          <wp:inline distT="0" distB="0" distL="0" distR="0" wp14:anchorId="753BC905" wp14:editId="5C0C5061">
            <wp:extent cx="361950" cy="3619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Gefahr</w:t>
      </w:r>
      <w:r>
        <w:br/>
      </w:r>
      <w:r w:rsidRPr="00A824AD">
        <w:rPr>
          <w:rStyle w:val="CASNrZchn"/>
        </w:rPr>
        <w:t>H302, H315, H318, H410</w:t>
      </w:r>
      <w:r w:rsidRPr="00A824AD">
        <w:rPr>
          <w:rStyle w:val="CASNrZchn"/>
        </w:rPr>
        <w:br/>
        <w:t>P273, P302+P352, P305+P351+P338</w:t>
      </w:r>
      <w:bookmarkEnd w:id="7"/>
    </w:p>
    <w:p w14:paraId="5425A697" w14:textId="1CD629BD" w:rsidR="00A515D2" w:rsidRDefault="00A515D2" w:rsidP="00A515D2">
      <w:pPr>
        <w:pStyle w:val="Liste1Aufzhlung"/>
        <w:jc w:val="left"/>
      </w:pPr>
      <w:bookmarkStart w:id="8" w:name="OLE_LINK89"/>
      <w:r w:rsidRPr="00A824AD">
        <w:rPr>
          <w:rStyle w:val="RotZchn"/>
        </w:rPr>
        <w:lastRenderedPageBreak/>
        <w:t>Ammoniak</w:t>
      </w:r>
      <w:r>
        <w:t>-Lösung</w:t>
      </w:r>
      <w:r>
        <w:br/>
        <w:t>w= 25% (</w:t>
      </w:r>
      <w:proofErr w:type="spellStart"/>
      <w:r>
        <w:t>konz</w:t>
      </w:r>
      <w:proofErr w:type="spellEnd"/>
      <w:r>
        <w:t>.)</w:t>
      </w:r>
      <w:r>
        <w:br/>
      </w:r>
      <w:r w:rsidRPr="00A824AD">
        <w:rPr>
          <w:rStyle w:val="CASNrZchn"/>
        </w:rPr>
        <w:t>CAS-Nr.: 1336-21-6</w:t>
      </w:r>
      <w:r>
        <w:br/>
      </w:r>
      <w:r>
        <w:rPr>
          <w:noProof/>
          <w:lang w:eastAsia="de-DE"/>
        </w:rPr>
        <w:drawing>
          <wp:inline distT="0" distB="0" distL="0" distR="0" wp14:anchorId="1EADE8F2" wp14:editId="5B8767E4">
            <wp:extent cx="361950" cy="3619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w:t>
      </w:r>
      <w:r>
        <w:rPr>
          <w:noProof/>
          <w:lang w:eastAsia="de-DE"/>
        </w:rPr>
        <w:drawing>
          <wp:inline distT="0" distB="0" distL="0" distR="0" wp14:anchorId="10CE3F2B" wp14:editId="2CF77501">
            <wp:extent cx="361950" cy="3619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w:t>
      </w:r>
      <w:r>
        <w:rPr>
          <w:noProof/>
          <w:lang w:eastAsia="de-DE"/>
        </w:rPr>
        <w:drawing>
          <wp:inline distT="0" distB="0" distL="0" distR="0" wp14:anchorId="535A1163" wp14:editId="112E388D">
            <wp:extent cx="361950" cy="361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Gefahr</w:t>
      </w:r>
      <w:r>
        <w:br/>
      </w:r>
      <w:r w:rsidRPr="00A824AD">
        <w:rPr>
          <w:rStyle w:val="CASNrZchn"/>
        </w:rPr>
        <w:t>H290, H314, H335, H400</w:t>
      </w:r>
      <w:r w:rsidRPr="00A824AD">
        <w:rPr>
          <w:rStyle w:val="CASNrZchn"/>
        </w:rPr>
        <w:br/>
        <w:t>P260, P273, P280, P301+P330+P331, P303+P361+P353, P305+P351+P338</w:t>
      </w:r>
      <w:bookmarkEnd w:id="8"/>
    </w:p>
    <w:p w14:paraId="537FFF61" w14:textId="77777777" w:rsidR="00A824AD" w:rsidRDefault="00A824AD" w:rsidP="00A515D2">
      <w:pPr>
        <w:rPr>
          <w:rStyle w:val="Fett"/>
        </w:rPr>
        <w:sectPr w:rsidR="00A824AD" w:rsidSect="00A824AD">
          <w:type w:val="continuous"/>
          <w:pgSz w:w="11906" w:h="16838"/>
          <w:pgMar w:top="851" w:right="1134" w:bottom="851" w:left="1418" w:header="0" w:footer="0" w:gutter="0"/>
          <w:cols w:num="2" w:space="708"/>
          <w:titlePg/>
          <w:docGrid w:linePitch="360"/>
        </w:sectPr>
      </w:pPr>
    </w:p>
    <w:p w14:paraId="5F0BFCAB" w14:textId="75A4EF5F" w:rsidR="00A515D2" w:rsidRDefault="00A515D2" w:rsidP="00A515D2">
      <w:r w:rsidRPr="00A824AD">
        <w:rPr>
          <w:rStyle w:val="Fett"/>
        </w:rPr>
        <w:lastRenderedPageBreak/>
        <w:t>Durchführung</w:t>
      </w:r>
      <w:r>
        <w:t xml:space="preserve">: </w:t>
      </w:r>
    </w:p>
    <w:p w14:paraId="51401FE9" w14:textId="5E0D04D6" w:rsidR="00A515D2" w:rsidRPr="00A515D2" w:rsidRDefault="00A515D2" w:rsidP="00A515D2">
      <w:pPr>
        <w:pStyle w:val="Liste1Aufzhlung"/>
        <w:numPr>
          <w:ilvl w:val="1"/>
          <w:numId w:val="21"/>
        </w:numPr>
      </w:pPr>
      <w:r>
        <w:rPr>
          <w:rFonts w:cs="Arial"/>
        </w:rPr>
        <w:t>In ein großes Reagenzglas gibt man Kupfersulfat und destilliertes Wasser. Ein kleiner Teil der Lösung wird in ein weiteres Reagenzglas gegeben als Vergleichsprobe.</w:t>
      </w:r>
    </w:p>
    <w:p w14:paraId="60685DCA" w14:textId="5C15ABC0" w:rsidR="00A515D2" w:rsidRPr="00A515D2" w:rsidRDefault="00A515D2" w:rsidP="00A515D2">
      <w:pPr>
        <w:pStyle w:val="Liste1Aufzhlung"/>
        <w:numPr>
          <w:ilvl w:val="1"/>
          <w:numId w:val="21"/>
        </w:numPr>
      </w:pPr>
      <w:r>
        <w:rPr>
          <w:rFonts w:cs="Arial"/>
        </w:rPr>
        <w:t>Zu der entstandenen blauen Lösung gibt man mit der Pipette konzentrierten Ammoniak hinzu, bis sich die Lösung tiefblau färbt.</w:t>
      </w:r>
    </w:p>
    <w:p w14:paraId="5CE4C4AF" w14:textId="77777777" w:rsidR="00F05F15" w:rsidRDefault="00F05F15">
      <w:pPr>
        <w:spacing w:before="0"/>
        <w:jc w:val="left"/>
        <w:rPr>
          <w:rStyle w:val="Fett"/>
        </w:rPr>
      </w:pPr>
      <w:r>
        <w:rPr>
          <w:rStyle w:val="Fett"/>
        </w:rPr>
        <w:br w:type="page"/>
      </w:r>
    </w:p>
    <w:p w14:paraId="466ACA0E" w14:textId="1DEB09D4" w:rsidR="00A515D2" w:rsidRDefault="00A515D2" w:rsidP="00A515D2">
      <w:r w:rsidRPr="00A824AD">
        <w:rPr>
          <w:rStyle w:val="Fett"/>
        </w:rPr>
        <w:lastRenderedPageBreak/>
        <w:t>Beobachtung</w:t>
      </w:r>
      <w:r>
        <w:t xml:space="preserve">: </w:t>
      </w:r>
    </w:p>
    <w:p w14:paraId="14E842CD" w14:textId="4732ADD3" w:rsidR="00A515D2" w:rsidRPr="00A515D2" w:rsidRDefault="00A515D2" w:rsidP="00A515D2">
      <w:pPr>
        <w:pStyle w:val="Liste1Aufzhlung"/>
        <w:numPr>
          <w:ilvl w:val="1"/>
          <w:numId w:val="23"/>
        </w:numPr>
      </w:pPr>
      <w:r>
        <w:rPr>
          <w:rFonts w:cs="Arial"/>
        </w:rPr>
        <w:t>Die Lösung färbt sich blau</w:t>
      </w:r>
    </w:p>
    <w:p w14:paraId="5B9F16A8" w14:textId="6C0E4433" w:rsidR="00A515D2" w:rsidRPr="00A515D2" w:rsidRDefault="00A515D2" w:rsidP="00A515D2">
      <w:pPr>
        <w:pStyle w:val="Liste1Aufzhlung"/>
        <w:numPr>
          <w:ilvl w:val="1"/>
          <w:numId w:val="23"/>
        </w:numPr>
      </w:pPr>
      <w:r>
        <w:rPr>
          <w:rFonts w:cs="Arial"/>
        </w:rPr>
        <w:t>Die Lösung färbt sich tiefblau</w:t>
      </w:r>
    </w:p>
    <w:p w14:paraId="7A5B57D4" w14:textId="6B08E9AB" w:rsidR="00A515D2" w:rsidRDefault="00A515D2" w:rsidP="00A515D2">
      <w:r w:rsidRPr="00A824AD">
        <w:rPr>
          <w:rStyle w:val="Fett"/>
        </w:rPr>
        <w:t>Interpretation</w:t>
      </w:r>
      <w:r>
        <w:t xml:space="preserve">: </w:t>
      </w:r>
    </w:p>
    <w:p w14:paraId="4FF92D0C" w14:textId="30088495" w:rsidR="00A515D2" w:rsidRPr="00A515D2" w:rsidRDefault="00A515D2" w:rsidP="00A515D2">
      <w:pPr>
        <w:pStyle w:val="Liste1Aufzhlung"/>
        <w:numPr>
          <w:ilvl w:val="1"/>
          <w:numId w:val="24"/>
        </w:numPr>
      </w:pPr>
      <w:r>
        <w:rPr>
          <w:rFonts w:cs="Arial"/>
        </w:rPr>
        <w:t xml:space="preserve">Durch Zugabe von Wasser zum Kupfersulfat bildet sich der blaue </w:t>
      </w:r>
      <w:proofErr w:type="spellStart"/>
      <w:r>
        <w:rPr>
          <w:rFonts w:cs="Arial"/>
        </w:rPr>
        <w:t>Kupfertetraqua</w:t>
      </w:r>
      <w:proofErr w:type="spellEnd"/>
      <w:r>
        <w:rPr>
          <w:rFonts w:cs="Arial"/>
        </w:rPr>
        <w:t>-Komplex</w:t>
      </w:r>
    </w:p>
    <w:p w14:paraId="51D31A2D" w14:textId="12BDA555" w:rsidR="00A515D2" w:rsidRPr="00F05F15" w:rsidRDefault="009C6D81" w:rsidP="00A515D2">
      <w:pPr>
        <w:pStyle w:val="Formeln"/>
        <w:rPr>
          <w:rFonts w:eastAsiaTheme="minorEastAsia"/>
          <w:lang w:val="en-US"/>
        </w:rPr>
      </w:pPr>
      <m:oMathPara>
        <m:oMath>
          <m:sSub>
            <m:sSubPr>
              <m:ctrlPr>
                <w:rPr>
                  <w:rFonts w:ascii="Cambria Math" w:hAnsi="Cambria Math"/>
                </w:rPr>
              </m:ctrlPr>
            </m:sSubPr>
            <m:e>
              <m:r>
                <m:rPr>
                  <m:nor/>
                </m:rPr>
                <w:rPr>
                  <w:lang w:val="en-US"/>
                </w:rPr>
                <m:t>CuSO</m:t>
              </m:r>
            </m:e>
            <m:sub>
              <m:r>
                <m:rPr>
                  <m:nor/>
                </m:rPr>
                <w:rPr>
                  <w:lang w:val="en-US"/>
                </w:rPr>
                <m:t>4</m:t>
              </m:r>
            </m:sub>
          </m:sSub>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4</m:t>
          </m:r>
          <m:sSub>
            <m:sSubPr>
              <m:ctrlPr>
                <w:rPr>
                  <w:rFonts w:ascii="Cambria Math" w:hAnsi="Cambria Math"/>
                </w:rPr>
              </m:ctrlPr>
            </m:sSubPr>
            <m:e>
              <m:r>
                <m:rPr>
                  <m:nor/>
                </m:rPr>
                <w:rPr>
                  <w:lang w:val="en-US"/>
                </w:rPr>
                <m:t>H</m:t>
              </m:r>
            </m:e>
            <m:sub>
              <m:r>
                <m:rPr>
                  <m:nor/>
                </m:rPr>
                <w:rPr>
                  <w:lang w:val="en-US"/>
                </w:rPr>
                <m:t>2</m:t>
              </m:r>
            </m:sub>
          </m:sSub>
          <m:r>
            <m:rPr>
              <m:nor/>
            </m:rPr>
            <w:rPr>
              <w:lang w:val="en-US"/>
            </w:rPr>
            <m:t xml:space="preserve">O </m:t>
          </m:r>
          <m:r>
            <m:rPr>
              <m:nor/>
            </m:rPr>
            <w:rPr>
              <w:rFonts w:ascii="Cambria Math" w:hAnsi="Cambria Math" w:cs="Cambria Math"/>
            </w:rPr>
            <m:t>⟶</m:t>
          </m:r>
          <m:r>
            <m:rPr>
              <m:nor/>
            </m:rPr>
            <w:rPr>
              <w:lang w:val="en-US"/>
            </w:rPr>
            <m:t xml:space="preserve"> </m:t>
          </m:r>
          <m:sSup>
            <m:sSupPr>
              <m:ctrlPr>
                <w:rPr>
                  <w:rFonts w:ascii="Cambria Math" w:hAnsi="Cambria Math"/>
                </w:rPr>
              </m:ctrlPr>
            </m:sSupPr>
            <m:e>
              <m:d>
                <m:dPr>
                  <m:begChr m:val="["/>
                  <m:endChr m:val="]"/>
                  <m:ctrlPr>
                    <w:rPr>
                      <w:rFonts w:ascii="Cambria Math" w:hAnsi="Cambria Math"/>
                    </w:rPr>
                  </m:ctrlPr>
                </m:dPr>
                <m:e>
                  <m:r>
                    <m:rPr>
                      <m:nor/>
                    </m:rPr>
                    <w:rPr>
                      <w:lang w:val="en-US"/>
                    </w:rPr>
                    <m:t>Cu</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w:rPr>
                                  <w:lang w:val="en-US"/>
                                </w:rPr>
                                <m:t>H</m:t>
                              </m:r>
                            </m:e>
                            <m:sub>
                              <m:r>
                                <m:rPr>
                                  <m:nor/>
                                </m:rPr>
                                <w:rPr>
                                  <w:lang w:val="en-US"/>
                                </w:rPr>
                                <m:t>2</m:t>
                              </m:r>
                            </m:sub>
                          </m:sSub>
                          <m:r>
                            <m:rPr>
                              <m:nor/>
                            </m:rPr>
                            <w:rPr>
                              <w:lang w:val="en-US"/>
                            </w:rPr>
                            <m:t>O</m:t>
                          </m:r>
                        </m:e>
                      </m:d>
                    </m:e>
                    <m:sub>
                      <m:r>
                        <m:rPr>
                          <m:nor/>
                        </m:rPr>
                        <w:rPr>
                          <w:lang w:val="en-US"/>
                        </w:rPr>
                        <m:t>4</m:t>
                      </m:r>
                    </m:sub>
                  </m:sSub>
                </m:e>
              </m:d>
            </m:e>
            <m:sup>
              <m:r>
                <m:rPr>
                  <m:nor/>
                </m:rPr>
                <w:rPr>
                  <w:lang w:val="en-US"/>
                </w:rPr>
                <m:t>2+</m:t>
              </m:r>
            </m:sup>
          </m:sSup>
          <m:r>
            <m:rPr>
              <m:nor/>
            </m:rPr>
            <w:rPr>
              <w:rFonts w:ascii="Cambria Math"/>
              <w:lang w:val="en-US"/>
            </w:rPr>
            <m:t xml:space="preserve"> </m:t>
          </m:r>
          <m:r>
            <m:rPr>
              <m:nor/>
            </m:rPr>
            <w:rPr>
              <w:lang w:val="en-US"/>
            </w:rPr>
            <m:t xml:space="preserve">+ </m:t>
          </m:r>
          <m:sSup>
            <m:sSupPr>
              <m:ctrlPr>
                <w:rPr>
                  <w:rFonts w:ascii="Cambria Math" w:hAnsi="Cambria Math"/>
                </w:rPr>
              </m:ctrlPr>
            </m:sSupPr>
            <m:e>
              <m:sSub>
                <m:sSubPr>
                  <m:ctrlPr>
                    <w:rPr>
                      <w:rFonts w:ascii="Cambria Math" w:hAnsi="Cambria Math"/>
                    </w:rPr>
                  </m:ctrlPr>
                </m:sSubPr>
                <m:e>
                  <m:r>
                    <m:rPr>
                      <m:nor/>
                    </m:rPr>
                    <w:rPr>
                      <w:lang w:val="en-US"/>
                    </w:rPr>
                    <m:t>SO</m:t>
                  </m:r>
                </m:e>
                <m:sub>
                  <m:r>
                    <m:rPr>
                      <m:nor/>
                    </m:rPr>
                    <w:rPr>
                      <w:lang w:val="en-US"/>
                    </w:rPr>
                    <m:t>4</m:t>
                  </m:r>
                </m:sub>
              </m:sSub>
            </m:e>
            <m:sup>
              <m:r>
                <m:rPr>
                  <m:nor/>
                </m:rPr>
                <w:rPr>
                  <w:lang w:val="en-US"/>
                </w:rPr>
                <m:t>2-</m:t>
              </m:r>
            </m:sup>
          </m:sSup>
        </m:oMath>
      </m:oMathPara>
    </w:p>
    <w:p w14:paraId="561A5458" w14:textId="7E8DE1F3" w:rsidR="00A515D2" w:rsidRPr="00A515D2" w:rsidRDefault="00A515D2" w:rsidP="00A515D2">
      <w:pPr>
        <w:pStyle w:val="Liste1Aufzhlung"/>
        <w:numPr>
          <w:ilvl w:val="1"/>
          <w:numId w:val="21"/>
        </w:numPr>
      </w:pPr>
      <w:r>
        <w:rPr>
          <w:rFonts w:cs="Arial"/>
        </w:rPr>
        <w:t xml:space="preserve">Durch Zugabe von konzentriertem Ammoniak bildet sich der tiefblaue </w:t>
      </w:r>
      <w:proofErr w:type="spellStart"/>
      <w:r>
        <w:rPr>
          <w:rFonts w:cs="Arial"/>
        </w:rPr>
        <w:t>Kupfertetramin</w:t>
      </w:r>
      <w:proofErr w:type="spellEnd"/>
      <w:r>
        <w:rPr>
          <w:rFonts w:cs="Arial"/>
        </w:rPr>
        <w:t>-Komplex</w:t>
      </w:r>
    </w:p>
    <w:p w14:paraId="24221F8A" w14:textId="789FBFAD" w:rsidR="00A515D2" w:rsidRPr="00A515D2" w:rsidRDefault="009C6D81" w:rsidP="00A515D2">
      <w:pPr>
        <w:pStyle w:val="Formeln"/>
        <w:rPr>
          <w:rFonts w:eastAsiaTheme="minorEastAsia"/>
        </w:rPr>
      </w:pPr>
      <m:oMathPara>
        <m:oMath>
          <m:sSup>
            <m:sSupPr>
              <m:ctrlPr>
                <w:rPr>
                  <w:rFonts w:ascii="Cambria Math" w:hAnsi="Cambria Math"/>
                </w:rPr>
              </m:ctrlPr>
            </m:sSupPr>
            <m:e>
              <m:d>
                <m:dPr>
                  <m:begChr m:val="["/>
                  <m:endChr m:val="]"/>
                  <m:ctrlPr>
                    <w:rPr>
                      <w:rFonts w:ascii="Cambria Math" w:hAnsi="Cambria Math"/>
                    </w:rPr>
                  </m:ctrlPr>
                </m:dPr>
                <m:e>
                  <m:r>
                    <m:rPr>
                      <m:nor/>
                    </m:rPr>
                    <m:t>Cu</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H</m:t>
                              </m:r>
                            </m:e>
                            <m:sub>
                              <m:r>
                                <m:rPr>
                                  <m:nor/>
                                </m:rPr>
                                <m:t>2</m:t>
                              </m:r>
                            </m:sub>
                          </m:sSub>
                          <m:r>
                            <m:rPr>
                              <m:nor/>
                            </m:rPr>
                            <m:t>O</m:t>
                          </m:r>
                        </m:e>
                      </m:d>
                    </m:e>
                    <m:sub>
                      <m:r>
                        <m:rPr>
                          <m:nor/>
                        </m:rPr>
                        <m:t>4</m:t>
                      </m:r>
                    </m:sub>
                  </m:sSub>
                </m:e>
              </m:d>
            </m:e>
            <m:sup>
              <m:r>
                <m:rPr>
                  <m:nor/>
                </m:rPr>
                <m:t>2+</m:t>
              </m:r>
            </m:sup>
          </m:sSup>
          <m:r>
            <m:rPr>
              <m:nor/>
            </m:rPr>
            <w:rPr>
              <w:rFonts w:ascii="Cambria Math"/>
            </w:rPr>
            <m:t xml:space="preserve"> </m:t>
          </m:r>
          <m:r>
            <m:rPr>
              <m:nor/>
            </m:rPr>
            <m:t>+</m:t>
          </m:r>
          <m:r>
            <m:rPr>
              <m:nor/>
            </m:rPr>
            <w:rPr>
              <w:rFonts w:ascii="Cambria Math"/>
            </w:rPr>
            <m:t xml:space="preserve"> </m:t>
          </m:r>
          <m:r>
            <m:rPr>
              <m:nor/>
            </m:rPr>
            <m:t>4</m:t>
          </m:r>
          <m:sSub>
            <m:sSubPr>
              <m:ctrlPr>
                <w:rPr>
                  <w:rFonts w:ascii="Cambria Math" w:hAnsi="Cambria Math"/>
                </w:rPr>
              </m:ctrlPr>
            </m:sSubPr>
            <m:e>
              <m:r>
                <m:rPr>
                  <m:nor/>
                </m:rPr>
                <m:t>NH</m:t>
              </m:r>
            </m:e>
            <m:sub>
              <m:r>
                <m:rPr>
                  <m:nor/>
                </m:rPr>
                <m:t>3</m:t>
              </m:r>
            </m:sub>
          </m:sSub>
          <m:r>
            <m:rPr>
              <m:nor/>
            </m:rPr>
            <m:t xml:space="preserve"> </m:t>
          </m:r>
          <m:r>
            <m:rPr>
              <m:nor/>
            </m:rPr>
            <w:rPr>
              <w:rFonts w:ascii="Cambria Math" w:hAnsi="Cambria Math" w:cs="Cambria Math"/>
            </w:rPr>
            <m:t>⟶</m:t>
          </m:r>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r>
                    <m:rPr>
                      <m:nor/>
                    </m:rPr>
                    <m:t>Cu</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NH</m:t>
                              </m:r>
                            </m:e>
                            <m:sub>
                              <m:r>
                                <m:rPr>
                                  <m:nor/>
                                </m:rPr>
                                <m:t>3</m:t>
                              </m:r>
                            </m:sub>
                          </m:sSub>
                        </m:e>
                      </m:d>
                    </m:e>
                    <m:sub>
                      <m:r>
                        <m:rPr>
                          <m:nor/>
                        </m:rPr>
                        <m:t>4</m:t>
                      </m:r>
                    </m:sub>
                  </m:sSub>
                </m:e>
              </m:d>
            </m:e>
            <m:sup>
              <m:r>
                <m:rPr>
                  <m:nor/>
                </m:rPr>
                <m:t>2+</m:t>
              </m:r>
            </m:sup>
          </m:sSup>
          <m:r>
            <m:rPr>
              <m:nor/>
            </m:rPr>
            <w:rPr>
              <w:rFonts w:ascii="Cambria Math"/>
            </w:rPr>
            <m:t xml:space="preserve"> </m:t>
          </m:r>
          <m:r>
            <m:rPr>
              <m:nor/>
            </m:rPr>
            <m:t>+</m:t>
          </m:r>
          <m:r>
            <m:rPr>
              <m:nor/>
            </m:rPr>
            <w:rPr>
              <w:rFonts w:ascii="Cambria Math"/>
            </w:rPr>
            <m:t xml:space="preserve"> </m:t>
          </m:r>
          <m:r>
            <m:rPr>
              <m:nor/>
            </m:rPr>
            <m:t>4</m:t>
          </m:r>
          <m:sSub>
            <m:sSubPr>
              <m:ctrlPr>
                <w:rPr>
                  <w:rFonts w:ascii="Cambria Math" w:hAnsi="Cambria Math"/>
                </w:rPr>
              </m:ctrlPr>
            </m:sSubPr>
            <m:e>
              <m:r>
                <m:rPr>
                  <m:nor/>
                </m:rPr>
                <m:t>H</m:t>
              </m:r>
            </m:e>
            <m:sub>
              <m:r>
                <m:rPr>
                  <m:nor/>
                </m:rPr>
                <m:t>2</m:t>
              </m:r>
            </m:sub>
          </m:sSub>
          <m:r>
            <m:rPr>
              <m:nor/>
            </m:rPr>
            <m:t>O</m:t>
          </m:r>
        </m:oMath>
      </m:oMathPara>
    </w:p>
    <w:p w14:paraId="2AC7A05A" w14:textId="3873809D" w:rsidR="00A515D2" w:rsidRPr="00A824AD" w:rsidRDefault="00A824AD" w:rsidP="00A515D2">
      <w:pPr>
        <w:pStyle w:val="Liste1Aufzhlung"/>
        <w:numPr>
          <w:ilvl w:val="3"/>
          <w:numId w:val="21"/>
        </w:numPr>
      </w:pPr>
      <w:r>
        <w:rPr>
          <w:rFonts w:cs="Arial"/>
        </w:rPr>
        <w:t>Erklärung über HSAB-Konzept: Kupfer ist eine mittel bis harte Säure. Ammoniak und Wasser sind harte Basen. Da Ammoniak im Vergleich zu Wasser aber weniger hart ist, verbindet sich Kupfer mit Ammoniak, da sich weiche Säuren bevorzugt mit weichen Basen verbinden und harte Säuren bevorzugt mit harten Basen.</w:t>
      </w:r>
    </w:p>
    <w:p w14:paraId="4219C8E6" w14:textId="1C7FD553" w:rsidR="00A824AD" w:rsidRDefault="00A824AD" w:rsidP="00A824AD">
      <w:pPr>
        <w:pStyle w:val="berschrift1"/>
      </w:pPr>
      <w:bookmarkStart w:id="9" w:name="_Toc54161102"/>
      <w:r>
        <w:t>Pearsons Säure-Base-Konzept – das HSAB-Konzept</w:t>
      </w:r>
      <w:bookmarkEnd w:id="9"/>
    </w:p>
    <w:p w14:paraId="6F278D2B" w14:textId="6D1B02E3" w:rsidR="00A824AD" w:rsidRDefault="00A824AD" w:rsidP="00A824AD">
      <w:pPr>
        <w:pStyle w:val="berschrift2"/>
      </w:pPr>
      <w:bookmarkStart w:id="10" w:name="_Toc54161103"/>
      <w:r>
        <w:t>Klassifizierung von Basen und Säuren als „hart“ oder „weich“</w:t>
      </w:r>
      <w:bookmarkEnd w:id="10"/>
    </w:p>
    <w:p w14:paraId="404AAC16" w14:textId="6D776445" w:rsidR="00A824AD" w:rsidRDefault="00A824AD" w:rsidP="00A824AD">
      <w:pPr>
        <w:pStyle w:val="berschrift3"/>
      </w:pPr>
      <w:bookmarkStart w:id="11" w:name="_Toc54161104"/>
      <w:r>
        <w:t>Klassifizierung einer Base</w:t>
      </w:r>
      <w:bookmarkEnd w:id="11"/>
    </w:p>
    <w:p w14:paraId="184E9FE2" w14:textId="5866174C" w:rsidR="00A824AD" w:rsidRDefault="00A824AD" w:rsidP="00A824AD">
      <w:pPr>
        <w:rPr>
          <w:rFonts w:cs="Arial"/>
        </w:rPr>
      </w:pPr>
      <w:r>
        <w:rPr>
          <w:rFonts w:cs="Arial"/>
        </w:rPr>
        <w:t>Eine Base wird als „hart" oder „weich" gekennzeichnet, je nachdem, wie sie sich in folgendem Gleichgewicht verhält:</w:t>
      </w:r>
    </w:p>
    <w:p w14:paraId="5F989407" w14:textId="501F6E43" w:rsidR="00A824AD" w:rsidRPr="00A824AD" w:rsidRDefault="009C6D81" w:rsidP="00A824AD">
      <w:pPr>
        <w:pStyle w:val="Formeln"/>
        <w:rPr>
          <w:rFonts w:eastAsiaTheme="minorEastAsia"/>
        </w:rPr>
      </w:pPr>
      <m:oMathPara>
        <m:oMath>
          <m:sSup>
            <m:sSupPr>
              <m:ctrlPr>
                <w:rPr>
                  <w:rFonts w:ascii="Cambria Math" w:hAnsi="Cambria Math"/>
                </w:rPr>
              </m:ctrlPr>
            </m:sSupPr>
            <m:e>
              <m:r>
                <m:rPr>
                  <m:nor/>
                </m:rPr>
                <m:t>BH</m:t>
              </m:r>
            </m:e>
            <m:sup>
              <m:r>
                <m:rPr>
                  <m:nor/>
                </m:rPr>
                <m:t>+</m:t>
              </m:r>
            </m:sup>
          </m:sSup>
          <m:r>
            <m:rPr>
              <m:nor/>
            </m:rPr>
            <m:t xml:space="preserve">+ </m:t>
          </m:r>
          <m:sSub>
            <m:sSubPr>
              <m:ctrlPr>
                <w:rPr>
                  <w:rFonts w:ascii="Cambria Math" w:hAnsi="Cambria Math"/>
                </w:rPr>
              </m:ctrlPr>
            </m:sSubPr>
            <m:e>
              <m:r>
                <m:rPr>
                  <m:nor/>
                </m:rPr>
                <m:t>CH</m:t>
              </m:r>
            </m:e>
            <m:sub>
              <m:r>
                <m:rPr>
                  <m:nor/>
                </m:rPr>
                <m:t>3</m:t>
              </m:r>
            </m:sub>
          </m:sSub>
          <m:sSup>
            <m:sSupPr>
              <m:ctrlPr>
                <w:rPr>
                  <w:rFonts w:ascii="Cambria Math" w:hAnsi="Cambria Math"/>
                </w:rPr>
              </m:ctrlPr>
            </m:sSupPr>
            <m:e>
              <m:r>
                <m:rPr>
                  <m:nor/>
                </m:rPr>
                <m:t>Hg</m:t>
              </m:r>
            </m:e>
            <m:sup>
              <m:r>
                <m:rPr>
                  <m:nor/>
                </m:rPr>
                <m:t>+</m:t>
              </m:r>
            </m:sup>
          </m:sSup>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CH</m:t>
              </m:r>
            </m:e>
            <m:sub>
              <m:r>
                <m:rPr>
                  <m:nor/>
                </m:rPr>
                <m:t>3</m:t>
              </m:r>
            </m:sub>
          </m:sSub>
          <m:sSup>
            <m:sSupPr>
              <m:ctrlPr>
                <w:rPr>
                  <w:rFonts w:ascii="Cambria Math" w:hAnsi="Cambria Math"/>
                </w:rPr>
              </m:ctrlPr>
            </m:sSupPr>
            <m:e>
              <m:r>
                <m:rPr>
                  <m:nor/>
                </m:rPr>
                <m:t>HgB</m:t>
              </m:r>
            </m:e>
            <m:sup>
              <m:r>
                <m:rPr>
                  <m:nor/>
                </m:rPr>
                <m:t>+</m:t>
              </m:r>
            </m:sup>
          </m:sSup>
          <m:r>
            <m:rPr>
              <m:nor/>
            </m:rPr>
            <w:rPr>
              <w:rFonts w:ascii="Cambria Math"/>
            </w:rPr>
            <m:t xml:space="preserve"> </m:t>
          </m:r>
          <m:r>
            <m:rPr>
              <m:nor/>
            </m:rPr>
            <m:t xml:space="preserve">+ </m:t>
          </m:r>
          <m:sSup>
            <m:sSupPr>
              <m:ctrlPr>
                <w:rPr>
                  <w:rFonts w:ascii="Cambria Math" w:hAnsi="Cambria Math"/>
                </w:rPr>
              </m:ctrlPr>
            </m:sSupPr>
            <m:e>
              <m:r>
                <m:rPr>
                  <m:nor/>
                </m:rPr>
                <m:t>H</m:t>
              </m:r>
            </m:e>
            <m:sup>
              <m:r>
                <m:rPr>
                  <m:nor/>
                </m:rPr>
                <m:t>+</m:t>
              </m:r>
            </m:sup>
          </m:sSup>
        </m:oMath>
      </m:oMathPara>
    </w:p>
    <w:p w14:paraId="50B6A699" w14:textId="731BD64E" w:rsidR="00A824AD" w:rsidRDefault="00A824AD" w:rsidP="00A824AD">
      <w:pPr>
        <w:pStyle w:val="Beschriftung"/>
      </w:pPr>
      <w:r>
        <w:t>Das Methylquecksilber-Kation ist eine weiche Säure, das Proton ist eine harte Säure</w:t>
      </w:r>
    </w:p>
    <w:p w14:paraId="0DF971D7" w14:textId="0F251848" w:rsidR="00A824AD" w:rsidRDefault="00A824AD" w:rsidP="00A824AD">
      <w:pPr>
        <w:rPr>
          <w:rFonts w:cs="Arial"/>
        </w:rPr>
      </w:pPr>
      <w:r>
        <w:rPr>
          <w:rFonts w:cs="Arial"/>
        </w:rPr>
        <w:t>Eine „harte" Base verschiebt das Gleichgewicht nach links, da das Produkt aus „harter" Base und „weicher" Säure nicht stabil ist. Eine „weiche" Base verschiebt das Gleichgewicht nach rechts, da sie sich bevorzugt mit der „weichen" Säure verbindet.</w:t>
      </w:r>
    </w:p>
    <w:p w14:paraId="1D212FF1" w14:textId="77777777" w:rsidR="00A824AD" w:rsidRDefault="00A824AD" w:rsidP="00A824AD">
      <w:pPr>
        <w:rPr>
          <w:rFonts w:cs="Arial"/>
        </w:rPr>
      </w:pPr>
    </w:p>
    <w:tbl>
      <w:tblPr>
        <w:tblStyle w:val="Tabellenraster"/>
        <w:tblW w:w="0" w:type="auto"/>
        <w:jc w:val="center"/>
        <w:tblLook w:val="04A0" w:firstRow="1" w:lastRow="0" w:firstColumn="1" w:lastColumn="0" w:noHBand="0" w:noVBand="1"/>
      </w:tblPr>
      <w:tblGrid>
        <w:gridCol w:w="3515"/>
        <w:gridCol w:w="3515"/>
      </w:tblGrid>
      <w:tr w:rsidR="00A824AD" w:rsidRPr="00A824AD" w14:paraId="1D36D492" w14:textId="77777777" w:rsidTr="006809C5">
        <w:trPr>
          <w:jc w:val="center"/>
        </w:trPr>
        <w:tc>
          <w:tcPr>
            <w:tcW w:w="3515" w:type="dxa"/>
            <w:shd w:val="clear" w:color="auto" w:fill="C7C7C7" w:themeFill="background2" w:themeFillShade="E6"/>
          </w:tcPr>
          <w:p w14:paraId="1F4BBC18" w14:textId="3B248A8C" w:rsidR="00A824AD" w:rsidRPr="00A824AD" w:rsidRDefault="00A824AD" w:rsidP="006809C5">
            <w:pPr>
              <w:spacing w:after="120"/>
              <w:jc w:val="center"/>
              <w:rPr>
                <w:rStyle w:val="Fett"/>
              </w:rPr>
            </w:pPr>
            <w:r w:rsidRPr="00A824AD">
              <w:rPr>
                <w:rStyle w:val="Fett"/>
              </w:rPr>
              <w:t>harte Basen</w:t>
            </w:r>
          </w:p>
        </w:tc>
        <w:tc>
          <w:tcPr>
            <w:tcW w:w="3515" w:type="dxa"/>
            <w:shd w:val="clear" w:color="auto" w:fill="C7C7C7" w:themeFill="background2" w:themeFillShade="E6"/>
          </w:tcPr>
          <w:p w14:paraId="377BA35C" w14:textId="3D924903" w:rsidR="00A824AD" w:rsidRPr="00A824AD" w:rsidRDefault="00A824AD" w:rsidP="006809C5">
            <w:pPr>
              <w:spacing w:after="120"/>
              <w:jc w:val="center"/>
              <w:rPr>
                <w:rStyle w:val="Fett"/>
              </w:rPr>
            </w:pPr>
            <w:r w:rsidRPr="00A824AD">
              <w:rPr>
                <w:rStyle w:val="Fett"/>
              </w:rPr>
              <w:t>weiche Basen</w:t>
            </w:r>
          </w:p>
        </w:tc>
      </w:tr>
      <w:tr w:rsidR="00A824AD" w14:paraId="5155077F" w14:textId="77777777" w:rsidTr="006809C5">
        <w:trPr>
          <w:jc w:val="center"/>
        </w:trPr>
        <w:tc>
          <w:tcPr>
            <w:tcW w:w="3515" w:type="dxa"/>
          </w:tcPr>
          <w:p w14:paraId="5B8597D7" w14:textId="587184AE" w:rsidR="00A824AD" w:rsidRDefault="00A824AD" w:rsidP="006809C5">
            <w:pPr>
              <w:pStyle w:val="Liste1Aufzhlung"/>
              <w:spacing w:after="120"/>
              <w:jc w:val="left"/>
            </w:pPr>
            <w:r>
              <w:t>fest gebundene Valenz-Elektronen</w:t>
            </w:r>
          </w:p>
        </w:tc>
        <w:tc>
          <w:tcPr>
            <w:tcW w:w="3515" w:type="dxa"/>
          </w:tcPr>
          <w:p w14:paraId="2F1EF2CA" w14:textId="3FA21385" w:rsidR="00A824AD" w:rsidRDefault="00A824AD" w:rsidP="006809C5">
            <w:pPr>
              <w:pStyle w:val="Liste1Aufzhlung"/>
              <w:spacing w:after="120"/>
              <w:jc w:val="left"/>
            </w:pPr>
            <w:r>
              <w:t>locker gebundene Valenz-Elektronen</w:t>
            </w:r>
          </w:p>
        </w:tc>
      </w:tr>
      <w:tr w:rsidR="00A824AD" w14:paraId="164B2579" w14:textId="77777777" w:rsidTr="006809C5">
        <w:trPr>
          <w:jc w:val="center"/>
        </w:trPr>
        <w:tc>
          <w:tcPr>
            <w:tcW w:w="3515" w:type="dxa"/>
          </w:tcPr>
          <w:p w14:paraId="0953D681" w14:textId="3E161B16" w:rsidR="00A824AD" w:rsidRDefault="00A824AD" w:rsidP="006809C5">
            <w:pPr>
              <w:pStyle w:val="Liste1Aufzhlung"/>
              <w:spacing w:after="120"/>
              <w:jc w:val="left"/>
            </w:pPr>
            <w:r>
              <w:t>geringe Polarisierbarkeit</w:t>
            </w:r>
          </w:p>
        </w:tc>
        <w:tc>
          <w:tcPr>
            <w:tcW w:w="3515" w:type="dxa"/>
          </w:tcPr>
          <w:p w14:paraId="7058B601" w14:textId="173C22CD" w:rsidR="00A824AD" w:rsidRDefault="00A824AD" w:rsidP="006809C5">
            <w:pPr>
              <w:pStyle w:val="Liste1Aufzhlung"/>
              <w:spacing w:after="120"/>
              <w:jc w:val="left"/>
            </w:pPr>
            <w:r>
              <w:t>hohe Polarisierbarkeit</w:t>
            </w:r>
          </w:p>
        </w:tc>
      </w:tr>
      <w:tr w:rsidR="00A824AD" w14:paraId="67BB5C2A" w14:textId="77777777" w:rsidTr="006809C5">
        <w:trPr>
          <w:jc w:val="center"/>
        </w:trPr>
        <w:tc>
          <w:tcPr>
            <w:tcW w:w="3515" w:type="dxa"/>
          </w:tcPr>
          <w:p w14:paraId="70ECA6ED" w14:textId="43C481B5" w:rsidR="00A824AD" w:rsidRDefault="00A824AD" w:rsidP="006809C5">
            <w:pPr>
              <w:pStyle w:val="Liste1Aufzhlung"/>
              <w:spacing w:after="120"/>
              <w:jc w:val="left"/>
            </w:pPr>
            <w:r>
              <w:t>hohe Elek</w:t>
            </w:r>
            <w:r w:rsidR="006809C5">
              <w:t>t</w:t>
            </w:r>
            <w:r>
              <w:t>ro-Negativität</w:t>
            </w:r>
          </w:p>
        </w:tc>
        <w:tc>
          <w:tcPr>
            <w:tcW w:w="3515" w:type="dxa"/>
          </w:tcPr>
          <w:p w14:paraId="41CCC556" w14:textId="3D4D8FE7" w:rsidR="00A824AD" w:rsidRDefault="00A824AD" w:rsidP="006809C5">
            <w:pPr>
              <w:pStyle w:val="Liste1Aufzhlung"/>
              <w:spacing w:after="120"/>
              <w:jc w:val="left"/>
            </w:pPr>
            <w:r>
              <w:t>geringe Elektro-Negativität</w:t>
            </w:r>
          </w:p>
        </w:tc>
      </w:tr>
      <w:tr w:rsidR="00A824AD" w14:paraId="4DCAE27A" w14:textId="77777777" w:rsidTr="006809C5">
        <w:trPr>
          <w:jc w:val="center"/>
        </w:trPr>
        <w:tc>
          <w:tcPr>
            <w:tcW w:w="3515" w:type="dxa"/>
          </w:tcPr>
          <w:p w14:paraId="32D17349" w14:textId="56816624" w:rsidR="00A824AD" w:rsidRDefault="00A824AD" w:rsidP="006809C5">
            <w:pPr>
              <w:pStyle w:val="Liste1Aufzhlung"/>
              <w:spacing w:after="120"/>
              <w:jc w:val="left"/>
            </w:pPr>
            <w:r>
              <w:t>hohe Ladungsdichte</w:t>
            </w:r>
          </w:p>
        </w:tc>
        <w:tc>
          <w:tcPr>
            <w:tcW w:w="3515" w:type="dxa"/>
          </w:tcPr>
          <w:p w14:paraId="28408213" w14:textId="6E4F4DC1" w:rsidR="00A824AD" w:rsidRDefault="00A824AD" w:rsidP="006809C5">
            <w:pPr>
              <w:pStyle w:val="Liste1Aufzhlung"/>
              <w:spacing w:after="120"/>
              <w:jc w:val="left"/>
            </w:pPr>
            <w:r>
              <w:t>niedrige Ladungsdichte</w:t>
            </w:r>
          </w:p>
        </w:tc>
      </w:tr>
    </w:tbl>
    <w:p w14:paraId="0F5349D8" w14:textId="2DA331D6" w:rsidR="00A824AD" w:rsidRDefault="006809C5" w:rsidP="006809C5">
      <w:pPr>
        <w:pStyle w:val="Beschriftung"/>
      </w:pPr>
      <w:r>
        <w:t xml:space="preserve">Tab. </w:t>
      </w:r>
      <w:r w:rsidR="009C6D81">
        <w:fldChar w:fldCharType="begin"/>
      </w:r>
      <w:r w:rsidR="009C6D81">
        <w:instrText xml:space="preserve"> SEQ Tab. \* ARABIC </w:instrText>
      </w:r>
      <w:r w:rsidR="009C6D81">
        <w:fldChar w:fldCharType="separate"/>
      </w:r>
      <w:r w:rsidR="009C6D81">
        <w:rPr>
          <w:noProof/>
        </w:rPr>
        <w:t>1</w:t>
      </w:r>
      <w:r w:rsidR="009C6D81">
        <w:rPr>
          <w:noProof/>
        </w:rPr>
        <w:fldChar w:fldCharType="end"/>
      </w:r>
      <w:r>
        <w:t>: Einteilung der Basen nach Pearson</w:t>
      </w:r>
    </w:p>
    <w:p w14:paraId="6ABBFE96" w14:textId="2C523350" w:rsidR="006809C5" w:rsidRDefault="006809C5" w:rsidP="006809C5">
      <w:r>
        <w:t>Zwischen „harten“ und „weichen“ Basen gibt es keine klare Trennlinie, so dass es neben „harten“ und „weichen“ Basen auch im Grenzbereich liegende gibt.</w:t>
      </w:r>
    </w:p>
    <w:p w14:paraId="68873BF5" w14:textId="7249D5DB" w:rsidR="00F05F15" w:rsidRDefault="00F05F15">
      <w:pPr>
        <w:spacing w:before="0"/>
        <w:jc w:val="left"/>
      </w:pPr>
      <w:r>
        <w:br w:type="page"/>
      </w:r>
    </w:p>
    <w:p w14:paraId="159E1864" w14:textId="77777777" w:rsidR="006809C5" w:rsidRPr="006809C5" w:rsidRDefault="006809C5" w:rsidP="006809C5"/>
    <w:tbl>
      <w:tblPr>
        <w:tblStyle w:val="Tabellenraster"/>
        <w:tblW w:w="0" w:type="auto"/>
        <w:jc w:val="center"/>
        <w:tblLook w:val="04A0" w:firstRow="1" w:lastRow="0" w:firstColumn="1" w:lastColumn="0" w:noHBand="0" w:noVBand="1"/>
      </w:tblPr>
      <w:tblGrid>
        <w:gridCol w:w="3515"/>
        <w:gridCol w:w="3515"/>
      </w:tblGrid>
      <w:tr w:rsidR="006809C5" w:rsidRPr="00A824AD" w14:paraId="4F418E5C" w14:textId="77777777" w:rsidTr="006809C5">
        <w:trPr>
          <w:jc w:val="center"/>
        </w:trPr>
        <w:tc>
          <w:tcPr>
            <w:tcW w:w="3515" w:type="dxa"/>
            <w:shd w:val="clear" w:color="auto" w:fill="C7C7C7" w:themeFill="background2" w:themeFillShade="E6"/>
          </w:tcPr>
          <w:p w14:paraId="23A690A0" w14:textId="77777777" w:rsidR="006809C5" w:rsidRPr="00A824AD" w:rsidRDefault="006809C5" w:rsidP="006809C5">
            <w:pPr>
              <w:jc w:val="center"/>
              <w:rPr>
                <w:rStyle w:val="Fett"/>
              </w:rPr>
            </w:pPr>
            <w:r w:rsidRPr="00A824AD">
              <w:rPr>
                <w:rStyle w:val="Fett"/>
              </w:rPr>
              <w:t>harte Basen</w:t>
            </w:r>
          </w:p>
        </w:tc>
        <w:tc>
          <w:tcPr>
            <w:tcW w:w="3515" w:type="dxa"/>
            <w:shd w:val="clear" w:color="auto" w:fill="C7C7C7" w:themeFill="background2" w:themeFillShade="E6"/>
          </w:tcPr>
          <w:p w14:paraId="4806FDC0" w14:textId="77777777" w:rsidR="006809C5" w:rsidRPr="00A824AD" w:rsidRDefault="006809C5" w:rsidP="006809C5">
            <w:pPr>
              <w:jc w:val="center"/>
              <w:rPr>
                <w:rStyle w:val="Fett"/>
              </w:rPr>
            </w:pPr>
            <w:r w:rsidRPr="00A824AD">
              <w:rPr>
                <w:rStyle w:val="Fett"/>
              </w:rPr>
              <w:t>weiche Basen</w:t>
            </w:r>
          </w:p>
        </w:tc>
      </w:tr>
      <w:tr w:rsidR="006809C5" w:rsidRPr="009C6D81" w14:paraId="571DE2F0" w14:textId="77777777" w:rsidTr="006809C5">
        <w:trPr>
          <w:jc w:val="center"/>
        </w:trPr>
        <w:tc>
          <w:tcPr>
            <w:tcW w:w="3515" w:type="dxa"/>
            <w:shd w:val="clear" w:color="auto" w:fill="FFFFFF" w:themeFill="background1"/>
          </w:tcPr>
          <w:p w14:paraId="2ECAB625" w14:textId="5E448456" w:rsidR="006809C5" w:rsidRPr="006809C5" w:rsidRDefault="006809C5" w:rsidP="006809C5">
            <w:pPr>
              <w:spacing w:after="120"/>
              <w:jc w:val="left"/>
              <w:rPr>
                <w:rFonts w:ascii="Times New Roman" w:eastAsia="Times New Roman" w:hAnsi="Times New Roman" w:cs="Times New Roman"/>
                <w:szCs w:val="24"/>
                <w:lang w:val="en-US" w:eastAsia="de-DE"/>
              </w:rPr>
            </w:pPr>
            <w:r w:rsidRPr="006809C5">
              <w:rPr>
                <w:rFonts w:eastAsia="Times New Roman" w:cs="Arial"/>
                <w:color w:val="FF0000"/>
                <w:szCs w:val="24"/>
                <w:lang w:val="en-US" w:eastAsia="de-DE"/>
              </w:rPr>
              <w:t>NH</w:t>
            </w:r>
            <w:r w:rsidRPr="006809C5">
              <w:rPr>
                <w:rFonts w:eastAsia="Times New Roman" w:cs="Arial"/>
                <w:color w:val="FF0000"/>
                <w:szCs w:val="24"/>
                <w:vertAlign w:val="subscript"/>
                <w:lang w:val="en-US" w:eastAsia="de-DE"/>
              </w:rPr>
              <w:t>3</w:t>
            </w:r>
            <w:r w:rsidRPr="006809C5">
              <w:rPr>
                <w:rFonts w:eastAsia="Times New Roman" w:cs="Arial"/>
                <w:szCs w:val="24"/>
                <w:lang w:val="en-US" w:eastAsia="de-DE"/>
              </w:rPr>
              <w:t xml:space="preserve">, </w:t>
            </w:r>
            <w:r w:rsidRPr="006809C5">
              <w:rPr>
                <w:rFonts w:eastAsia="Times New Roman" w:cs="Arial"/>
                <w:color w:val="FF0000"/>
                <w:szCs w:val="24"/>
                <w:lang w:val="en-US" w:eastAsia="de-DE"/>
              </w:rPr>
              <w:t>H</w:t>
            </w:r>
            <w:r w:rsidRPr="006809C5">
              <w:rPr>
                <w:rFonts w:eastAsia="Times New Roman" w:cs="Arial"/>
                <w:color w:val="FF0000"/>
                <w:szCs w:val="24"/>
                <w:vertAlign w:val="subscript"/>
                <w:lang w:val="en-US" w:eastAsia="de-DE"/>
              </w:rPr>
              <w:t>2</w:t>
            </w:r>
            <w:r w:rsidRPr="006809C5">
              <w:rPr>
                <w:rFonts w:eastAsia="Times New Roman" w:cs="Arial"/>
                <w:color w:val="FF0000"/>
                <w:szCs w:val="24"/>
                <w:lang w:val="en-US" w:eastAsia="de-DE"/>
              </w:rPr>
              <w:t>O</w:t>
            </w:r>
            <w:r w:rsidRPr="006809C5">
              <w:rPr>
                <w:rFonts w:eastAsia="Times New Roman" w:cs="Arial"/>
                <w:szCs w:val="24"/>
                <w:lang w:val="en-US" w:eastAsia="de-DE"/>
              </w:rPr>
              <w:t>, ROH, CH</w:t>
            </w:r>
            <w:r w:rsidRPr="006809C5">
              <w:rPr>
                <w:rFonts w:eastAsia="Times New Roman" w:cs="Arial"/>
                <w:szCs w:val="24"/>
                <w:vertAlign w:val="subscript"/>
                <w:lang w:val="en-US" w:eastAsia="de-DE"/>
              </w:rPr>
              <w:t>3</w:t>
            </w:r>
            <w:r w:rsidRPr="006809C5">
              <w:rPr>
                <w:rFonts w:eastAsia="Times New Roman" w:cs="Arial"/>
                <w:szCs w:val="24"/>
                <w:lang w:val="en-US" w:eastAsia="de-DE"/>
              </w:rPr>
              <w:t>COO</w:t>
            </w:r>
            <w:r w:rsidRPr="006809C5">
              <w:rPr>
                <w:rFonts w:eastAsia="Times New Roman" w:cs="Arial"/>
                <w:szCs w:val="24"/>
                <w:vertAlign w:val="superscript"/>
                <w:lang w:val="en-US" w:eastAsia="de-DE"/>
              </w:rPr>
              <w:t>-</w:t>
            </w:r>
            <w:r w:rsidRPr="006809C5">
              <w:rPr>
                <w:rFonts w:eastAsia="Times New Roman" w:cs="Arial"/>
                <w:szCs w:val="24"/>
                <w:lang w:val="en-US" w:eastAsia="de-DE"/>
              </w:rPr>
              <w:t xml:space="preserve">, </w:t>
            </w:r>
            <w:r w:rsidRPr="006809C5">
              <w:rPr>
                <w:rFonts w:eastAsia="Times New Roman" w:cs="Arial"/>
                <w:color w:val="FF0000"/>
                <w:szCs w:val="24"/>
                <w:lang w:val="en-US" w:eastAsia="de-DE"/>
              </w:rPr>
              <w:t>OH</w:t>
            </w:r>
            <w:r w:rsidRPr="006809C5">
              <w:rPr>
                <w:rFonts w:eastAsia="Times New Roman" w:cs="Arial"/>
                <w:color w:val="FF0000"/>
                <w:szCs w:val="24"/>
                <w:vertAlign w:val="superscript"/>
                <w:lang w:val="en-US" w:eastAsia="de-DE"/>
              </w:rPr>
              <w:t>-</w:t>
            </w:r>
            <w:r w:rsidRPr="006809C5">
              <w:rPr>
                <w:rFonts w:eastAsia="Times New Roman" w:cs="Arial"/>
                <w:szCs w:val="24"/>
                <w:lang w:val="en-US" w:eastAsia="de-DE"/>
              </w:rPr>
              <w:t>, F</w:t>
            </w:r>
            <w:r w:rsidRPr="006809C5">
              <w:rPr>
                <w:rFonts w:eastAsia="Times New Roman" w:cs="Arial"/>
                <w:szCs w:val="24"/>
                <w:vertAlign w:val="superscript"/>
                <w:lang w:val="en-US" w:eastAsia="de-DE"/>
              </w:rPr>
              <w:t>-</w:t>
            </w:r>
            <w:r w:rsidRPr="006809C5">
              <w:rPr>
                <w:rFonts w:eastAsia="Times New Roman" w:cs="Arial"/>
                <w:szCs w:val="24"/>
                <w:lang w:val="en-US" w:eastAsia="de-DE"/>
              </w:rPr>
              <w:t>, SO</w:t>
            </w:r>
            <w:r w:rsidRPr="006809C5">
              <w:rPr>
                <w:rFonts w:eastAsia="Times New Roman" w:cs="Arial"/>
                <w:szCs w:val="24"/>
                <w:vertAlign w:val="subscript"/>
                <w:lang w:val="en-US" w:eastAsia="de-DE"/>
              </w:rPr>
              <w:t>4</w:t>
            </w:r>
            <w:r w:rsidRPr="006809C5">
              <w:rPr>
                <w:rFonts w:eastAsia="Times New Roman" w:cs="Arial"/>
                <w:szCs w:val="24"/>
                <w:vertAlign w:val="superscript"/>
                <w:lang w:val="en-US" w:eastAsia="de-DE"/>
              </w:rPr>
              <w:t>2-</w:t>
            </w:r>
            <w:r w:rsidRPr="006809C5">
              <w:rPr>
                <w:rFonts w:eastAsia="Times New Roman" w:cs="Arial"/>
                <w:szCs w:val="24"/>
                <w:lang w:val="en-US" w:eastAsia="de-DE"/>
              </w:rPr>
              <w:t>, NO</w:t>
            </w:r>
            <w:r w:rsidRPr="006809C5">
              <w:rPr>
                <w:rFonts w:eastAsia="Times New Roman" w:cs="Arial"/>
                <w:szCs w:val="24"/>
                <w:vertAlign w:val="subscript"/>
                <w:lang w:val="en-US" w:eastAsia="de-DE"/>
              </w:rPr>
              <w:t>3</w:t>
            </w:r>
            <w:r w:rsidRPr="006809C5">
              <w:rPr>
                <w:rFonts w:eastAsia="Times New Roman" w:cs="Arial"/>
                <w:szCs w:val="24"/>
                <w:vertAlign w:val="superscript"/>
                <w:lang w:val="en-US" w:eastAsia="de-DE"/>
              </w:rPr>
              <w:t>-</w:t>
            </w:r>
            <w:r w:rsidRPr="006809C5">
              <w:rPr>
                <w:rFonts w:eastAsia="Times New Roman" w:cs="Arial"/>
                <w:szCs w:val="24"/>
                <w:lang w:val="en-US" w:eastAsia="de-DE"/>
              </w:rPr>
              <w:t>, PO</w:t>
            </w:r>
            <w:r w:rsidRPr="006809C5">
              <w:rPr>
                <w:rFonts w:eastAsia="Times New Roman" w:cs="Arial"/>
                <w:szCs w:val="24"/>
                <w:vertAlign w:val="subscript"/>
                <w:lang w:val="en-US" w:eastAsia="de-DE"/>
              </w:rPr>
              <w:t>4</w:t>
            </w:r>
            <w:r w:rsidRPr="006809C5">
              <w:rPr>
                <w:rFonts w:eastAsia="Times New Roman" w:cs="Arial"/>
                <w:szCs w:val="24"/>
                <w:vertAlign w:val="superscript"/>
                <w:lang w:val="en-US" w:eastAsia="de-DE"/>
              </w:rPr>
              <w:t>3-</w:t>
            </w:r>
          </w:p>
        </w:tc>
        <w:tc>
          <w:tcPr>
            <w:tcW w:w="3515" w:type="dxa"/>
            <w:shd w:val="clear" w:color="auto" w:fill="FFFFFF" w:themeFill="background1"/>
          </w:tcPr>
          <w:p w14:paraId="31BA6769" w14:textId="54D3DAC8" w:rsidR="006809C5" w:rsidRPr="006809C5" w:rsidRDefault="006809C5" w:rsidP="006809C5">
            <w:pPr>
              <w:spacing w:after="120"/>
              <w:jc w:val="left"/>
              <w:rPr>
                <w:lang w:val="en-US"/>
              </w:rPr>
            </w:pPr>
            <w:r w:rsidRPr="006809C5">
              <w:rPr>
                <w:rFonts w:cs="Arial"/>
                <w:color w:val="FF0000"/>
                <w:lang w:val="en-US"/>
              </w:rPr>
              <w:t>H</w:t>
            </w:r>
            <w:r w:rsidRPr="006809C5">
              <w:rPr>
                <w:rFonts w:cs="Arial"/>
                <w:color w:val="FF0000"/>
                <w:vertAlign w:val="superscript"/>
                <w:lang w:val="en-US"/>
              </w:rPr>
              <w:t>-</w:t>
            </w:r>
            <w:r w:rsidRPr="006809C5">
              <w:rPr>
                <w:rFonts w:cs="Arial"/>
                <w:lang w:val="en-US"/>
              </w:rPr>
              <w:t>, C</w:t>
            </w:r>
            <w:r w:rsidRPr="006809C5">
              <w:rPr>
                <w:rFonts w:cs="Arial"/>
                <w:vertAlign w:val="subscript"/>
                <w:lang w:val="en-US"/>
              </w:rPr>
              <w:t>2</w:t>
            </w:r>
            <w:r w:rsidRPr="006809C5">
              <w:rPr>
                <w:rFonts w:cs="Arial"/>
                <w:lang w:val="en-US"/>
              </w:rPr>
              <w:t>H</w:t>
            </w:r>
            <w:r w:rsidRPr="006809C5">
              <w:rPr>
                <w:rFonts w:cs="Arial"/>
                <w:vertAlign w:val="subscript"/>
                <w:lang w:val="en-US"/>
              </w:rPr>
              <w:t>4</w:t>
            </w:r>
            <w:r w:rsidRPr="006809C5">
              <w:rPr>
                <w:rFonts w:cs="Arial"/>
                <w:lang w:val="en-US"/>
              </w:rPr>
              <w:t xml:space="preserve">, </w:t>
            </w:r>
            <w:r w:rsidRPr="006809C5">
              <w:rPr>
                <w:rFonts w:cs="Arial"/>
                <w:color w:val="FF0000"/>
                <w:lang w:val="en-US"/>
              </w:rPr>
              <w:t>CN</w:t>
            </w:r>
            <w:r w:rsidRPr="006809C5">
              <w:rPr>
                <w:rFonts w:cs="Arial"/>
                <w:color w:val="FF0000"/>
                <w:vertAlign w:val="superscript"/>
                <w:lang w:val="en-US"/>
              </w:rPr>
              <w:t>-</w:t>
            </w:r>
            <w:r w:rsidRPr="006809C5">
              <w:rPr>
                <w:rFonts w:cs="Arial"/>
                <w:lang w:val="en-US"/>
              </w:rPr>
              <w:t xml:space="preserve">, CO, </w:t>
            </w:r>
            <w:r w:rsidRPr="006809C5">
              <w:rPr>
                <w:rFonts w:cs="Arial"/>
                <w:color w:val="FF0000"/>
                <w:lang w:val="en-US"/>
              </w:rPr>
              <w:t>I</w:t>
            </w:r>
            <w:r w:rsidRPr="006809C5">
              <w:rPr>
                <w:rFonts w:cs="Arial"/>
                <w:color w:val="FF0000"/>
                <w:vertAlign w:val="superscript"/>
                <w:lang w:val="en-US"/>
              </w:rPr>
              <w:t>-</w:t>
            </w:r>
            <w:r w:rsidRPr="006809C5">
              <w:rPr>
                <w:rFonts w:cs="Arial"/>
                <w:lang w:val="en-US"/>
              </w:rPr>
              <w:t>, S</w:t>
            </w:r>
            <w:r w:rsidRPr="006809C5">
              <w:rPr>
                <w:rFonts w:cs="Arial"/>
                <w:vertAlign w:val="subscript"/>
                <w:lang w:val="en-US"/>
              </w:rPr>
              <w:t>2</w:t>
            </w:r>
            <w:r w:rsidRPr="006809C5">
              <w:rPr>
                <w:rFonts w:cs="Arial"/>
                <w:lang w:val="en-US"/>
              </w:rPr>
              <w:t>O</w:t>
            </w:r>
            <w:r w:rsidRPr="006809C5">
              <w:rPr>
                <w:rFonts w:cs="Arial"/>
                <w:vertAlign w:val="subscript"/>
                <w:lang w:val="en-US"/>
              </w:rPr>
              <w:t>3</w:t>
            </w:r>
            <w:r w:rsidRPr="006809C5">
              <w:rPr>
                <w:rFonts w:cs="Arial"/>
                <w:vertAlign w:val="superscript"/>
                <w:lang w:val="en-US"/>
              </w:rPr>
              <w:t>2-</w:t>
            </w:r>
            <w:r w:rsidRPr="006809C5">
              <w:rPr>
                <w:rFonts w:cs="Arial"/>
                <w:lang w:val="en-US"/>
              </w:rPr>
              <w:t>, SCN</w:t>
            </w:r>
            <w:r w:rsidRPr="006809C5">
              <w:rPr>
                <w:rFonts w:cs="Arial"/>
                <w:vertAlign w:val="superscript"/>
                <w:lang w:val="en-US"/>
              </w:rPr>
              <w:t>-</w:t>
            </w:r>
            <w:r w:rsidRPr="006809C5">
              <w:rPr>
                <w:rFonts w:cs="Arial"/>
                <w:lang w:val="en-US"/>
              </w:rPr>
              <w:t>, C</w:t>
            </w:r>
            <w:r w:rsidRPr="006809C5">
              <w:rPr>
                <w:rFonts w:cs="Arial"/>
                <w:vertAlign w:val="subscript"/>
                <w:lang w:val="en-US"/>
              </w:rPr>
              <w:t>6</w:t>
            </w:r>
            <w:r w:rsidRPr="006809C5">
              <w:rPr>
                <w:rFonts w:cs="Arial"/>
                <w:lang w:val="en-US"/>
              </w:rPr>
              <w:t>H</w:t>
            </w:r>
            <w:r w:rsidRPr="006809C5">
              <w:rPr>
                <w:rFonts w:cs="Arial"/>
                <w:vertAlign w:val="subscript"/>
                <w:lang w:val="en-US"/>
              </w:rPr>
              <w:t>6</w:t>
            </w:r>
            <w:r w:rsidRPr="006809C5">
              <w:rPr>
                <w:rFonts w:cs="Arial"/>
                <w:lang w:val="en-US"/>
              </w:rPr>
              <w:t>, RSH</w:t>
            </w:r>
          </w:p>
        </w:tc>
      </w:tr>
      <w:tr w:rsidR="006809C5" w:rsidRPr="006809C5" w14:paraId="169AFCAC" w14:textId="77777777" w:rsidTr="006809C5">
        <w:trPr>
          <w:jc w:val="center"/>
        </w:trPr>
        <w:tc>
          <w:tcPr>
            <w:tcW w:w="7030" w:type="dxa"/>
            <w:gridSpan w:val="2"/>
            <w:shd w:val="clear" w:color="auto" w:fill="C7C7C7" w:themeFill="background2" w:themeFillShade="E6"/>
          </w:tcPr>
          <w:p w14:paraId="46B7DCB6" w14:textId="4E9DA85E" w:rsidR="006809C5" w:rsidRPr="006809C5" w:rsidRDefault="006809C5" w:rsidP="006809C5">
            <w:pPr>
              <w:jc w:val="center"/>
              <w:rPr>
                <w:rStyle w:val="Fett"/>
              </w:rPr>
            </w:pPr>
            <w:r w:rsidRPr="006809C5">
              <w:rPr>
                <w:rStyle w:val="Fett"/>
              </w:rPr>
              <w:t>im Grenzbereich liegende</w:t>
            </w:r>
          </w:p>
        </w:tc>
      </w:tr>
      <w:tr w:rsidR="006809C5" w:rsidRPr="009C6D81" w14:paraId="41223A5C" w14:textId="77777777" w:rsidTr="006809C5">
        <w:trPr>
          <w:jc w:val="center"/>
        </w:trPr>
        <w:tc>
          <w:tcPr>
            <w:tcW w:w="7030" w:type="dxa"/>
            <w:gridSpan w:val="2"/>
            <w:shd w:val="clear" w:color="auto" w:fill="FFFFFF" w:themeFill="background1"/>
          </w:tcPr>
          <w:p w14:paraId="2A956A78" w14:textId="57F15B82" w:rsidR="006809C5" w:rsidRPr="006809C5" w:rsidRDefault="006809C5" w:rsidP="006809C5">
            <w:pPr>
              <w:spacing w:after="120"/>
              <w:jc w:val="center"/>
              <w:rPr>
                <w:rFonts w:ascii="Times New Roman" w:hAnsi="Times New Roman" w:cs="Times New Roman"/>
                <w:lang w:val="en-US" w:eastAsia="de-DE"/>
              </w:rPr>
            </w:pPr>
            <w:r w:rsidRPr="006809C5">
              <w:rPr>
                <w:color w:val="FF0000"/>
                <w:lang w:val="en-US" w:eastAsia="de-DE"/>
              </w:rPr>
              <w:t>NO</w:t>
            </w:r>
            <w:r w:rsidRPr="006809C5">
              <w:rPr>
                <w:color w:val="FF0000"/>
                <w:vertAlign w:val="subscript"/>
                <w:lang w:val="en-US" w:eastAsia="de-DE"/>
              </w:rPr>
              <w:t>2</w:t>
            </w:r>
            <w:r w:rsidRPr="006809C5">
              <w:rPr>
                <w:color w:val="FF0000"/>
                <w:vertAlign w:val="superscript"/>
                <w:lang w:val="en-US" w:eastAsia="de-DE"/>
              </w:rPr>
              <w:t>-</w:t>
            </w:r>
            <w:r w:rsidRPr="006809C5">
              <w:rPr>
                <w:lang w:val="en-US" w:eastAsia="de-DE"/>
              </w:rPr>
              <w:t>, C</w:t>
            </w:r>
            <w:r w:rsidRPr="006809C5">
              <w:rPr>
                <w:vertAlign w:val="subscript"/>
                <w:lang w:val="en-US" w:eastAsia="de-DE"/>
              </w:rPr>
              <w:t>6</w:t>
            </w:r>
            <w:r w:rsidRPr="006809C5">
              <w:rPr>
                <w:lang w:val="en-US" w:eastAsia="de-DE"/>
              </w:rPr>
              <w:t>H</w:t>
            </w:r>
            <w:r w:rsidRPr="006809C5">
              <w:rPr>
                <w:vertAlign w:val="subscript"/>
                <w:lang w:val="en-US" w:eastAsia="de-DE"/>
              </w:rPr>
              <w:t>5</w:t>
            </w:r>
            <w:r w:rsidRPr="006809C5">
              <w:rPr>
                <w:lang w:val="en-US" w:eastAsia="de-DE"/>
              </w:rPr>
              <w:t>NH</w:t>
            </w:r>
            <w:r w:rsidRPr="006809C5">
              <w:rPr>
                <w:vertAlign w:val="subscript"/>
                <w:lang w:val="en-US" w:eastAsia="de-DE"/>
              </w:rPr>
              <w:t>2</w:t>
            </w:r>
            <w:r w:rsidRPr="006809C5">
              <w:rPr>
                <w:lang w:val="en-US" w:eastAsia="de-DE"/>
              </w:rPr>
              <w:t>, N</w:t>
            </w:r>
            <w:r w:rsidRPr="006809C5">
              <w:rPr>
                <w:vertAlign w:val="subscript"/>
                <w:lang w:val="en-US" w:eastAsia="de-DE"/>
              </w:rPr>
              <w:t>2</w:t>
            </w:r>
            <w:r w:rsidRPr="006809C5">
              <w:rPr>
                <w:lang w:val="en-US" w:eastAsia="de-DE"/>
              </w:rPr>
              <w:t>, N</w:t>
            </w:r>
            <w:r w:rsidRPr="006809C5">
              <w:rPr>
                <w:vertAlign w:val="subscript"/>
                <w:lang w:val="en-US" w:eastAsia="de-DE"/>
              </w:rPr>
              <w:t>3</w:t>
            </w:r>
            <w:r w:rsidRPr="006809C5">
              <w:rPr>
                <w:vertAlign w:val="superscript"/>
                <w:lang w:val="en-US" w:eastAsia="de-DE"/>
              </w:rPr>
              <w:t>-</w:t>
            </w:r>
            <w:r w:rsidRPr="006809C5">
              <w:rPr>
                <w:lang w:val="en-US" w:eastAsia="de-DE"/>
              </w:rPr>
              <w:t xml:space="preserve">, </w:t>
            </w:r>
            <w:r w:rsidRPr="006809C5">
              <w:rPr>
                <w:color w:val="FF0000"/>
                <w:lang w:val="en-US" w:eastAsia="de-DE"/>
              </w:rPr>
              <w:t>Br</w:t>
            </w:r>
            <w:r w:rsidRPr="006809C5">
              <w:rPr>
                <w:color w:val="FF0000"/>
                <w:vertAlign w:val="superscript"/>
                <w:lang w:val="en-US" w:eastAsia="de-DE"/>
              </w:rPr>
              <w:t>-</w:t>
            </w:r>
            <w:r w:rsidRPr="006809C5">
              <w:rPr>
                <w:lang w:val="en-US" w:eastAsia="de-DE"/>
              </w:rPr>
              <w:t xml:space="preserve">, </w:t>
            </w:r>
            <w:r w:rsidRPr="006809C5">
              <w:rPr>
                <w:color w:val="FF0000"/>
                <w:lang w:val="en-US" w:eastAsia="de-DE"/>
              </w:rPr>
              <w:t>SO</w:t>
            </w:r>
            <w:r w:rsidRPr="006809C5">
              <w:rPr>
                <w:color w:val="FF0000"/>
                <w:vertAlign w:val="subscript"/>
                <w:lang w:val="en-US" w:eastAsia="de-DE"/>
              </w:rPr>
              <w:t>3</w:t>
            </w:r>
            <w:r w:rsidRPr="006809C5">
              <w:rPr>
                <w:color w:val="FF0000"/>
                <w:vertAlign w:val="superscript"/>
                <w:lang w:val="en-US" w:eastAsia="de-DE"/>
              </w:rPr>
              <w:t>2-</w:t>
            </w:r>
          </w:p>
        </w:tc>
      </w:tr>
    </w:tbl>
    <w:p w14:paraId="44E217D5" w14:textId="10AFD5F1" w:rsidR="006809C5" w:rsidRDefault="006809C5" w:rsidP="006809C5">
      <w:pPr>
        <w:pStyle w:val="Beschriftung"/>
      </w:pPr>
      <w:r>
        <w:t xml:space="preserve">Tab. </w:t>
      </w:r>
      <w:r w:rsidR="009C6D81">
        <w:fldChar w:fldCharType="begin"/>
      </w:r>
      <w:r w:rsidR="009C6D81">
        <w:instrText xml:space="preserve"> SEQ Tab. \* ARABIC </w:instrText>
      </w:r>
      <w:r w:rsidR="009C6D81">
        <w:fldChar w:fldCharType="separate"/>
      </w:r>
      <w:r w:rsidR="009C6D81">
        <w:rPr>
          <w:noProof/>
        </w:rPr>
        <w:t>2</w:t>
      </w:r>
      <w:r w:rsidR="009C6D81">
        <w:rPr>
          <w:noProof/>
        </w:rPr>
        <w:fldChar w:fldCharType="end"/>
      </w:r>
      <w:r>
        <w:t>: Beispiele für „harte“, „weiche“ und im Grenzbereich liegende Basen</w:t>
      </w:r>
    </w:p>
    <w:p w14:paraId="6D58DA76" w14:textId="45DCA2E9" w:rsidR="006809C5" w:rsidRDefault="006809C5" w:rsidP="006809C5">
      <w:pPr>
        <w:pStyle w:val="berschrift3"/>
      </w:pPr>
      <w:bookmarkStart w:id="12" w:name="_Toc54161105"/>
      <w:r>
        <w:t>Klassifizierung einer Säure</w:t>
      </w:r>
      <w:bookmarkEnd w:id="12"/>
    </w:p>
    <w:p w14:paraId="3C628C80" w14:textId="142BF82F" w:rsidR="006809C5" w:rsidRDefault="006809C5" w:rsidP="006809C5">
      <w:pPr>
        <w:rPr>
          <w:rFonts w:cs="Arial"/>
        </w:rPr>
      </w:pPr>
      <w:r>
        <w:rPr>
          <w:rFonts w:cs="Arial"/>
        </w:rPr>
        <w:t>Wie die Basen werden auch die Säuren in „harte", „weiche" und im Grenzbereich liegende unterteilt. Bildet eine Säure mit einer „harten" Base stabilere komplexe als mit einer „weichen" Base, wird sie als „hart" bezeichnet. Bildet sie mit einer „weichen" Base stabilere Komplexe, wird sie als „weich" bezeichnet.</w:t>
      </w:r>
    </w:p>
    <w:p w14:paraId="75DCE77B" w14:textId="77777777" w:rsidR="006809C5" w:rsidRPr="006809C5" w:rsidRDefault="006809C5" w:rsidP="006809C5"/>
    <w:tbl>
      <w:tblPr>
        <w:tblStyle w:val="Tabellenraster"/>
        <w:tblW w:w="0" w:type="auto"/>
        <w:jc w:val="center"/>
        <w:tblLook w:val="04A0" w:firstRow="1" w:lastRow="0" w:firstColumn="1" w:lastColumn="0" w:noHBand="0" w:noVBand="1"/>
      </w:tblPr>
      <w:tblGrid>
        <w:gridCol w:w="3515"/>
        <w:gridCol w:w="3515"/>
      </w:tblGrid>
      <w:tr w:rsidR="006809C5" w:rsidRPr="00A824AD" w14:paraId="094D7393" w14:textId="77777777" w:rsidTr="006809C5">
        <w:trPr>
          <w:jc w:val="center"/>
        </w:trPr>
        <w:tc>
          <w:tcPr>
            <w:tcW w:w="3515" w:type="dxa"/>
            <w:shd w:val="clear" w:color="auto" w:fill="C7C7C7" w:themeFill="background2" w:themeFillShade="E6"/>
          </w:tcPr>
          <w:p w14:paraId="59AB98D1" w14:textId="27DBFC4B" w:rsidR="006809C5" w:rsidRPr="00A824AD" w:rsidRDefault="006809C5" w:rsidP="006809C5">
            <w:pPr>
              <w:spacing w:after="120"/>
              <w:jc w:val="center"/>
              <w:rPr>
                <w:rStyle w:val="Fett"/>
              </w:rPr>
            </w:pPr>
            <w:r w:rsidRPr="00A824AD">
              <w:rPr>
                <w:rStyle w:val="Fett"/>
              </w:rPr>
              <w:t xml:space="preserve">harte </w:t>
            </w:r>
            <w:r>
              <w:rPr>
                <w:rStyle w:val="Fett"/>
              </w:rPr>
              <w:t>Säuren</w:t>
            </w:r>
          </w:p>
        </w:tc>
        <w:tc>
          <w:tcPr>
            <w:tcW w:w="3515" w:type="dxa"/>
            <w:shd w:val="clear" w:color="auto" w:fill="C7C7C7" w:themeFill="background2" w:themeFillShade="E6"/>
          </w:tcPr>
          <w:p w14:paraId="27126F88" w14:textId="51EECDB8" w:rsidR="006809C5" w:rsidRPr="00A824AD" w:rsidRDefault="006809C5" w:rsidP="006809C5">
            <w:pPr>
              <w:spacing w:after="120"/>
              <w:jc w:val="center"/>
              <w:rPr>
                <w:rStyle w:val="Fett"/>
              </w:rPr>
            </w:pPr>
            <w:r w:rsidRPr="00A824AD">
              <w:rPr>
                <w:rStyle w:val="Fett"/>
              </w:rPr>
              <w:t xml:space="preserve">weiche </w:t>
            </w:r>
            <w:r>
              <w:rPr>
                <w:rStyle w:val="Fett"/>
              </w:rPr>
              <w:t>Säuren</w:t>
            </w:r>
          </w:p>
        </w:tc>
      </w:tr>
      <w:tr w:rsidR="006809C5" w14:paraId="379FB2B9" w14:textId="77777777" w:rsidTr="006809C5">
        <w:trPr>
          <w:jc w:val="center"/>
        </w:trPr>
        <w:tc>
          <w:tcPr>
            <w:tcW w:w="3515" w:type="dxa"/>
          </w:tcPr>
          <w:p w14:paraId="7B578698" w14:textId="512FA4B5" w:rsidR="006809C5" w:rsidRDefault="006809C5" w:rsidP="006809C5">
            <w:pPr>
              <w:pStyle w:val="Liste1Aufzhlung"/>
              <w:spacing w:after="120"/>
              <w:jc w:val="left"/>
            </w:pPr>
            <w:r>
              <w:t>hohe Ladungsdichte</w:t>
            </w:r>
          </w:p>
        </w:tc>
        <w:tc>
          <w:tcPr>
            <w:tcW w:w="3515" w:type="dxa"/>
          </w:tcPr>
          <w:p w14:paraId="67D37E43" w14:textId="2E4E8F90" w:rsidR="006809C5" w:rsidRDefault="006809C5" w:rsidP="006809C5">
            <w:pPr>
              <w:pStyle w:val="Liste1Aufzhlung"/>
              <w:spacing w:after="120"/>
              <w:jc w:val="left"/>
            </w:pPr>
            <w:r>
              <w:t>niedrige Ladungsdichte</w:t>
            </w:r>
          </w:p>
        </w:tc>
      </w:tr>
      <w:tr w:rsidR="006809C5" w14:paraId="0D25359E" w14:textId="77777777" w:rsidTr="006809C5">
        <w:trPr>
          <w:jc w:val="center"/>
        </w:trPr>
        <w:tc>
          <w:tcPr>
            <w:tcW w:w="3515" w:type="dxa"/>
          </w:tcPr>
          <w:p w14:paraId="049829A5" w14:textId="430AAFEC" w:rsidR="006809C5" w:rsidRDefault="006809C5" w:rsidP="006809C5">
            <w:pPr>
              <w:pStyle w:val="Liste1Aufzhlung"/>
              <w:spacing w:after="120"/>
              <w:jc w:val="left"/>
            </w:pPr>
            <w:r>
              <w:t>schlecht polarisierbar</w:t>
            </w:r>
          </w:p>
        </w:tc>
        <w:tc>
          <w:tcPr>
            <w:tcW w:w="3515" w:type="dxa"/>
          </w:tcPr>
          <w:p w14:paraId="5C824886" w14:textId="0F5900A9" w:rsidR="006809C5" w:rsidRDefault="006809C5" w:rsidP="006809C5">
            <w:pPr>
              <w:pStyle w:val="Liste1Aufzhlung"/>
              <w:spacing w:after="120"/>
              <w:jc w:val="left"/>
            </w:pPr>
            <w:r>
              <w:t>leicht polarisierbar</w:t>
            </w:r>
          </w:p>
        </w:tc>
      </w:tr>
      <w:tr w:rsidR="006809C5" w14:paraId="35D39859" w14:textId="77777777" w:rsidTr="006809C5">
        <w:trPr>
          <w:jc w:val="center"/>
        </w:trPr>
        <w:tc>
          <w:tcPr>
            <w:tcW w:w="3515" w:type="dxa"/>
          </w:tcPr>
          <w:p w14:paraId="6786A851" w14:textId="3D4AFEBE" w:rsidR="006809C5" w:rsidRDefault="006809C5" w:rsidP="006809C5">
            <w:pPr>
              <w:pStyle w:val="Liste1Aufzhlung"/>
              <w:spacing w:after="120"/>
              <w:jc w:val="left"/>
            </w:pPr>
            <w:r>
              <w:t>geringe Elektro-Negativität</w:t>
            </w:r>
          </w:p>
        </w:tc>
        <w:tc>
          <w:tcPr>
            <w:tcW w:w="3515" w:type="dxa"/>
          </w:tcPr>
          <w:p w14:paraId="33F414ED" w14:textId="0BD9B223" w:rsidR="006809C5" w:rsidRDefault="006809C5" w:rsidP="006809C5">
            <w:pPr>
              <w:pStyle w:val="Liste1Aufzhlung"/>
              <w:spacing w:after="120"/>
              <w:jc w:val="left"/>
            </w:pPr>
            <w:r>
              <w:t>hohe Elektro-Negativität</w:t>
            </w:r>
          </w:p>
        </w:tc>
      </w:tr>
    </w:tbl>
    <w:p w14:paraId="63F2EDB8" w14:textId="72FA5E24" w:rsidR="006809C5" w:rsidRDefault="006809C5" w:rsidP="006809C5">
      <w:pPr>
        <w:pStyle w:val="Beschriftung"/>
      </w:pPr>
      <w:r>
        <w:t xml:space="preserve">Tab. </w:t>
      </w:r>
      <w:r w:rsidR="009C6D81">
        <w:fldChar w:fldCharType="begin"/>
      </w:r>
      <w:r w:rsidR="009C6D81">
        <w:instrText xml:space="preserve"> SEQ Tab. \* ARABIC </w:instrText>
      </w:r>
      <w:r w:rsidR="009C6D81">
        <w:fldChar w:fldCharType="separate"/>
      </w:r>
      <w:r w:rsidR="009C6D81">
        <w:rPr>
          <w:noProof/>
        </w:rPr>
        <w:t>3</w:t>
      </w:r>
      <w:r w:rsidR="009C6D81">
        <w:rPr>
          <w:noProof/>
        </w:rPr>
        <w:fldChar w:fldCharType="end"/>
      </w:r>
      <w:r>
        <w:t>: Einteilung der Säuren nach Pearson</w:t>
      </w:r>
    </w:p>
    <w:p w14:paraId="673E9017" w14:textId="615D2919" w:rsidR="006809C5" w:rsidRDefault="006809C5" w:rsidP="006809C5">
      <w:r>
        <w:t>Beispiele für „harte“, „weiche“ oder im Grenzbereich liegende Säuren sind Folgende:</w:t>
      </w:r>
    </w:p>
    <w:p w14:paraId="47D1514F" w14:textId="393019AF" w:rsidR="006809C5" w:rsidRDefault="006809C5" w:rsidP="006809C5"/>
    <w:tbl>
      <w:tblPr>
        <w:tblStyle w:val="Tabellenraster"/>
        <w:tblW w:w="0" w:type="auto"/>
        <w:jc w:val="center"/>
        <w:tblLook w:val="04A0" w:firstRow="1" w:lastRow="0" w:firstColumn="1" w:lastColumn="0" w:noHBand="0" w:noVBand="1"/>
      </w:tblPr>
      <w:tblGrid>
        <w:gridCol w:w="3515"/>
        <w:gridCol w:w="3515"/>
      </w:tblGrid>
      <w:tr w:rsidR="006809C5" w:rsidRPr="00A824AD" w14:paraId="3DC259A7" w14:textId="77777777" w:rsidTr="006809C5">
        <w:trPr>
          <w:jc w:val="center"/>
        </w:trPr>
        <w:tc>
          <w:tcPr>
            <w:tcW w:w="3515" w:type="dxa"/>
            <w:shd w:val="clear" w:color="auto" w:fill="C7C7C7" w:themeFill="background2" w:themeFillShade="E6"/>
          </w:tcPr>
          <w:p w14:paraId="2FE39705" w14:textId="01FAA6BE" w:rsidR="006809C5" w:rsidRPr="00A824AD" w:rsidRDefault="006809C5" w:rsidP="006809C5">
            <w:pPr>
              <w:spacing w:after="120"/>
              <w:jc w:val="center"/>
              <w:rPr>
                <w:rStyle w:val="Fett"/>
              </w:rPr>
            </w:pPr>
            <w:r w:rsidRPr="00A824AD">
              <w:rPr>
                <w:rStyle w:val="Fett"/>
              </w:rPr>
              <w:t xml:space="preserve">harte </w:t>
            </w:r>
            <w:r>
              <w:rPr>
                <w:rStyle w:val="Fett"/>
              </w:rPr>
              <w:t>Säuren</w:t>
            </w:r>
          </w:p>
        </w:tc>
        <w:tc>
          <w:tcPr>
            <w:tcW w:w="3515" w:type="dxa"/>
            <w:shd w:val="clear" w:color="auto" w:fill="C7C7C7" w:themeFill="background2" w:themeFillShade="E6"/>
          </w:tcPr>
          <w:p w14:paraId="492579E6" w14:textId="0E9AA384" w:rsidR="006809C5" w:rsidRPr="00A824AD" w:rsidRDefault="006809C5" w:rsidP="006809C5">
            <w:pPr>
              <w:spacing w:after="120"/>
              <w:jc w:val="center"/>
              <w:rPr>
                <w:rStyle w:val="Fett"/>
              </w:rPr>
            </w:pPr>
            <w:r w:rsidRPr="00A824AD">
              <w:rPr>
                <w:rStyle w:val="Fett"/>
              </w:rPr>
              <w:t xml:space="preserve">weiche </w:t>
            </w:r>
            <w:r>
              <w:rPr>
                <w:rStyle w:val="Fett"/>
              </w:rPr>
              <w:t>Säuren</w:t>
            </w:r>
          </w:p>
        </w:tc>
      </w:tr>
      <w:tr w:rsidR="006809C5" w:rsidRPr="006809C5" w14:paraId="62D307AF" w14:textId="77777777" w:rsidTr="006809C5">
        <w:trPr>
          <w:jc w:val="center"/>
        </w:trPr>
        <w:tc>
          <w:tcPr>
            <w:tcW w:w="3515" w:type="dxa"/>
            <w:shd w:val="clear" w:color="auto" w:fill="FFFFFF" w:themeFill="background1"/>
          </w:tcPr>
          <w:p w14:paraId="63F62120" w14:textId="67D170C3" w:rsidR="006809C5" w:rsidRPr="006809C5" w:rsidRDefault="006809C5" w:rsidP="006809C5">
            <w:pPr>
              <w:spacing w:after="120"/>
              <w:rPr>
                <w:rFonts w:ascii="Times New Roman" w:hAnsi="Times New Roman" w:cs="Times New Roman"/>
                <w:lang w:val="en-US" w:eastAsia="de-DE"/>
              </w:rPr>
            </w:pPr>
            <w:r w:rsidRPr="006809C5">
              <w:rPr>
                <w:color w:val="FF0000"/>
                <w:lang w:val="en-US" w:eastAsia="de-DE"/>
              </w:rPr>
              <w:t>H</w:t>
            </w:r>
            <w:r w:rsidRPr="006809C5">
              <w:rPr>
                <w:color w:val="FF0000"/>
                <w:vertAlign w:val="superscript"/>
                <w:lang w:val="en-US" w:eastAsia="de-DE"/>
              </w:rPr>
              <w:t>+</w:t>
            </w:r>
            <w:r w:rsidRPr="006809C5">
              <w:rPr>
                <w:lang w:val="en-US" w:eastAsia="de-DE"/>
              </w:rPr>
              <w:t>, Li</w:t>
            </w:r>
            <w:r w:rsidRPr="006809C5">
              <w:rPr>
                <w:vertAlign w:val="superscript"/>
                <w:lang w:val="en-US" w:eastAsia="de-DE"/>
              </w:rPr>
              <w:t>+</w:t>
            </w:r>
            <w:r w:rsidRPr="006809C5">
              <w:rPr>
                <w:lang w:val="en-US" w:eastAsia="de-DE"/>
              </w:rPr>
              <w:t xml:space="preserve">, </w:t>
            </w:r>
            <w:r w:rsidRPr="006809C5">
              <w:rPr>
                <w:color w:val="FF0000"/>
                <w:lang w:val="en-US" w:eastAsia="de-DE"/>
              </w:rPr>
              <w:t>AlCl</w:t>
            </w:r>
            <w:r w:rsidRPr="006809C5">
              <w:rPr>
                <w:color w:val="FF0000"/>
                <w:vertAlign w:val="subscript"/>
                <w:lang w:val="en-US" w:eastAsia="de-DE"/>
              </w:rPr>
              <w:t>3</w:t>
            </w:r>
            <w:r w:rsidRPr="006809C5">
              <w:rPr>
                <w:lang w:val="en-US" w:eastAsia="de-DE"/>
              </w:rPr>
              <w:t>, BF</w:t>
            </w:r>
            <w:r w:rsidRPr="006809C5">
              <w:rPr>
                <w:vertAlign w:val="subscript"/>
                <w:lang w:val="en-US" w:eastAsia="de-DE"/>
              </w:rPr>
              <w:t>3</w:t>
            </w:r>
            <w:r w:rsidRPr="006809C5">
              <w:rPr>
                <w:lang w:val="en-US" w:eastAsia="de-DE"/>
              </w:rPr>
              <w:t>, BCl</w:t>
            </w:r>
            <w:r w:rsidRPr="006809C5">
              <w:rPr>
                <w:vertAlign w:val="subscript"/>
                <w:lang w:val="en-US" w:eastAsia="de-DE"/>
              </w:rPr>
              <w:t>3</w:t>
            </w:r>
            <w:r w:rsidRPr="006809C5">
              <w:rPr>
                <w:lang w:val="en-US" w:eastAsia="de-DE"/>
              </w:rPr>
              <w:t>, CO</w:t>
            </w:r>
            <w:r w:rsidRPr="006809C5">
              <w:rPr>
                <w:vertAlign w:val="subscript"/>
                <w:lang w:val="en-US" w:eastAsia="de-DE"/>
              </w:rPr>
              <w:t>2</w:t>
            </w:r>
            <w:r w:rsidRPr="006809C5">
              <w:rPr>
                <w:lang w:val="en-US" w:eastAsia="de-DE"/>
              </w:rPr>
              <w:t>, Al</w:t>
            </w:r>
            <w:r w:rsidRPr="006809C5">
              <w:rPr>
                <w:vertAlign w:val="superscript"/>
                <w:lang w:val="en-US" w:eastAsia="de-DE"/>
              </w:rPr>
              <w:t>3+</w:t>
            </w:r>
            <w:r w:rsidRPr="006809C5">
              <w:rPr>
                <w:lang w:val="en-US" w:eastAsia="de-DE"/>
              </w:rPr>
              <w:t>, Si</w:t>
            </w:r>
            <w:r w:rsidRPr="006809C5">
              <w:rPr>
                <w:vertAlign w:val="superscript"/>
                <w:lang w:val="en-US" w:eastAsia="de-DE"/>
              </w:rPr>
              <w:t>4+</w:t>
            </w:r>
            <w:r w:rsidRPr="006809C5">
              <w:rPr>
                <w:lang w:val="en-US" w:eastAsia="de-DE"/>
              </w:rPr>
              <w:t>, Sn</w:t>
            </w:r>
            <w:r w:rsidRPr="006809C5">
              <w:rPr>
                <w:vertAlign w:val="superscript"/>
                <w:lang w:val="en-US" w:eastAsia="de-DE"/>
              </w:rPr>
              <w:t>4+</w:t>
            </w:r>
          </w:p>
        </w:tc>
        <w:tc>
          <w:tcPr>
            <w:tcW w:w="3515" w:type="dxa"/>
            <w:shd w:val="clear" w:color="auto" w:fill="FFFFFF" w:themeFill="background1"/>
          </w:tcPr>
          <w:p w14:paraId="7461B112" w14:textId="4802CD20" w:rsidR="006809C5" w:rsidRPr="006809C5" w:rsidRDefault="006809C5" w:rsidP="006809C5">
            <w:pPr>
              <w:spacing w:after="120"/>
              <w:rPr>
                <w:rFonts w:ascii="Times New Roman" w:hAnsi="Times New Roman" w:cs="Times New Roman"/>
                <w:lang w:eastAsia="de-DE"/>
              </w:rPr>
            </w:pPr>
            <w:proofErr w:type="spellStart"/>
            <w:r w:rsidRPr="006809C5">
              <w:rPr>
                <w:color w:val="FF0000"/>
                <w:lang w:eastAsia="de-DE"/>
              </w:rPr>
              <w:t>Cu</w:t>
            </w:r>
            <w:proofErr w:type="spellEnd"/>
            <w:r w:rsidRPr="006809C5">
              <w:rPr>
                <w:color w:val="FF0000"/>
                <w:vertAlign w:val="superscript"/>
                <w:lang w:eastAsia="de-DE"/>
              </w:rPr>
              <w:t>+</w:t>
            </w:r>
            <w:r w:rsidRPr="006809C5">
              <w:rPr>
                <w:lang w:eastAsia="de-DE"/>
              </w:rPr>
              <w:t>, I</w:t>
            </w:r>
            <w:r w:rsidRPr="006809C5">
              <w:rPr>
                <w:vertAlign w:val="subscript"/>
                <w:lang w:eastAsia="de-DE"/>
              </w:rPr>
              <w:t>2</w:t>
            </w:r>
            <w:r w:rsidRPr="006809C5">
              <w:rPr>
                <w:lang w:eastAsia="de-DE"/>
              </w:rPr>
              <w:t>, Br</w:t>
            </w:r>
            <w:r w:rsidRPr="006809C5">
              <w:rPr>
                <w:vertAlign w:val="subscript"/>
                <w:lang w:eastAsia="de-DE"/>
              </w:rPr>
              <w:t>2</w:t>
            </w:r>
            <w:r w:rsidRPr="006809C5">
              <w:rPr>
                <w:lang w:eastAsia="de-DE"/>
              </w:rPr>
              <w:t>, Hg</w:t>
            </w:r>
            <w:r w:rsidRPr="006809C5">
              <w:rPr>
                <w:vertAlign w:val="superscript"/>
                <w:lang w:eastAsia="de-DE"/>
              </w:rPr>
              <w:t>2+</w:t>
            </w:r>
            <w:r w:rsidRPr="006809C5">
              <w:rPr>
                <w:lang w:eastAsia="de-DE"/>
              </w:rPr>
              <w:t>, Au</w:t>
            </w:r>
            <w:r w:rsidRPr="006809C5">
              <w:rPr>
                <w:vertAlign w:val="superscript"/>
                <w:lang w:eastAsia="de-DE"/>
              </w:rPr>
              <w:t>+</w:t>
            </w:r>
            <w:r w:rsidRPr="006809C5">
              <w:rPr>
                <w:lang w:eastAsia="de-DE"/>
              </w:rPr>
              <w:t>, CH</w:t>
            </w:r>
            <w:r w:rsidRPr="006809C5">
              <w:rPr>
                <w:vertAlign w:val="subscript"/>
                <w:lang w:eastAsia="de-DE"/>
              </w:rPr>
              <w:t>2</w:t>
            </w:r>
            <w:r w:rsidRPr="006809C5">
              <w:rPr>
                <w:lang w:eastAsia="de-DE"/>
              </w:rPr>
              <w:t>, Pd</w:t>
            </w:r>
            <w:r w:rsidRPr="006809C5">
              <w:rPr>
                <w:vertAlign w:val="superscript"/>
                <w:lang w:eastAsia="de-DE"/>
              </w:rPr>
              <w:t>2+</w:t>
            </w:r>
            <w:r w:rsidRPr="006809C5">
              <w:rPr>
                <w:lang w:eastAsia="de-DE"/>
              </w:rPr>
              <w:t xml:space="preserve">, </w:t>
            </w:r>
            <w:r w:rsidRPr="006809C5">
              <w:rPr>
                <w:color w:val="FF0000"/>
                <w:lang w:eastAsia="de-DE"/>
              </w:rPr>
              <w:t>CH</w:t>
            </w:r>
            <w:r w:rsidRPr="006809C5">
              <w:rPr>
                <w:color w:val="FF0000"/>
                <w:vertAlign w:val="subscript"/>
                <w:lang w:eastAsia="de-DE"/>
              </w:rPr>
              <w:t>3</w:t>
            </w:r>
            <w:r w:rsidRPr="006809C5">
              <w:rPr>
                <w:color w:val="FF0000"/>
                <w:lang w:eastAsia="de-DE"/>
              </w:rPr>
              <w:t>Hg</w:t>
            </w:r>
            <w:r w:rsidRPr="006809C5">
              <w:rPr>
                <w:color w:val="FF0000"/>
                <w:vertAlign w:val="superscript"/>
                <w:lang w:eastAsia="de-DE"/>
              </w:rPr>
              <w:t>+</w:t>
            </w:r>
            <w:r w:rsidRPr="006809C5">
              <w:rPr>
                <w:lang w:eastAsia="de-DE"/>
              </w:rPr>
              <w:t>, GaCl</w:t>
            </w:r>
            <w:r w:rsidRPr="006809C5">
              <w:rPr>
                <w:vertAlign w:val="subscript"/>
                <w:lang w:eastAsia="de-DE"/>
              </w:rPr>
              <w:t>3</w:t>
            </w:r>
          </w:p>
        </w:tc>
      </w:tr>
      <w:tr w:rsidR="006809C5" w:rsidRPr="006809C5" w14:paraId="623B5755" w14:textId="77777777" w:rsidTr="006809C5">
        <w:trPr>
          <w:jc w:val="center"/>
        </w:trPr>
        <w:tc>
          <w:tcPr>
            <w:tcW w:w="7030" w:type="dxa"/>
            <w:gridSpan w:val="2"/>
            <w:shd w:val="clear" w:color="auto" w:fill="C7C7C7" w:themeFill="background2" w:themeFillShade="E6"/>
          </w:tcPr>
          <w:p w14:paraId="54DAA010" w14:textId="77777777" w:rsidR="006809C5" w:rsidRPr="006809C5" w:rsidRDefault="006809C5" w:rsidP="006809C5">
            <w:pPr>
              <w:spacing w:after="120"/>
              <w:jc w:val="center"/>
              <w:rPr>
                <w:rStyle w:val="Fett"/>
              </w:rPr>
            </w:pPr>
            <w:r w:rsidRPr="006809C5">
              <w:rPr>
                <w:rStyle w:val="Fett"/>
              </w:rPr>
              <w:t>im Grenzbereich liegende</w:t>
            </w:r>
          </w:p>
        </w:tc>
      </w:tr>
      <w:tr w:rsidR="006809C5" w:rsidRPr="009C6D81" w14:paraId="1C220822" w14:textId="77777777" w:rsidTr="006809C5">
        <w:trPr>
          <w:jc w:val="center"/>
        </w:trPr>
        <w:tc>
          <w:tcPr>
            <w:tcW w:w="7030" w:type="dxa"/>
            <w:gridSpan w:val="2"/>
            <w:shd w:val="clear" w:color="auto" w:fill="FFFFFF" w:themeFill="background1"/>
          </w:tcPr>
          <w:p w14:paraId="199249B3" w14:textId="31DA8B05" w:rsidR="006809C5" w:rsidRPr="006809C5" w:rsidRDefault="006809C5" w:rsidP="006809C5">
            <w:pPr>
              <w:spacing w:after="120"/>
              <w:rPr>
                <w:rFonts w:ascii="Times New Roman" w:hAnsi="Times New Roman" w:cs="Times New Roman"/>
                <w:lang w:val="en-US" w:eastAsia="de-DE"/>
              </w:rPr>
            </w:pPr>
            <w:r w:rsidRPr="006809C5">
              <w:rPr>
                <w:color w:val="FF0000"/>
                <w:lang w:val="en-US" w:eastAsia="de-DE"/>
              </w:rPr>
              <w:t>Fe</w:t>
            </w:r>
            <w:r w:rsidRPr="006809C5">
              <w:rPr>
                <w:color w:val="FF0000"/>
                <w:vertAlign w:val="superscript"/>
                <w:lang w:val="en-US" w:eastAsia="de-DE"/>
              </w:rPr>
              <w:t>2+</w:t>
            </w:r>
            <w:r w:rsidRPr="006809C5">
              <w:rPr>
                <w:lang w:val="en-US" w:eastAsia="de-DE"/>
              </w:rPr>
              <w:t>, Ni</w:t>
            </w:r>
            <w:r w:rsidRPr="006809C5">
              <w:rPr>
                <w:vertAlign w:val="superscript"/>
                <w:lang w:val="en-US" w:eastAsia="de-DE"/>
              </w:rPr>
              <w:t>2+</w:t>
            </w:r>
            <w:r w:rsidRPr="006809C5">
              <w:rPr>
                <w:lang w:val="en-US" w:eastAsia="de-DE"/>
              </w:rPr>
              <w:t>, Cu</w:t>
            </w:r>
            <w:r w:rsidRPr="006809C5">
              <w:rPr>
                <w:vertAlign w:val="superscript"/>
                <w:lang w:val="en-US" w:eastAsia="de-DE"/>
              </w:rPr>
              <w:t>2+</w:t>
            </w:r>
            <w:r w:rsidRPr="006809C5">
              <w:rPr>
                <w:lang w:val="en-US" w:eastAsia="de-DE"/>
              </w:rPr>
              <w:t>, Pb</w:t>
            </w:r>
            <w:r w:rsidRPr="006809C5">
              <w:rPr>
                <w:vertAlign w:val="superscript"/>
                <w:lang w:val="en-US" w:eastAsia="de-DE"/>
              </w:rPr>
              <w:t>2+</w:t>
            </w:r>
            <w:r w:rsidRPr="006809C5">
              <w:rPr>
                <w:lang w:val="en-US" w:eastAsia="de-DE"/>
              </w:rPr>
              <w:t>, NO</w:t>
            </w:r>
            <w:r w:rsidRPr="006809C5">
              <w:rPr>
                <w:vertAlign w:val="superscript"/>
                <w:lang w:val="en-US" w:eastAsia="de-DE"/>
              </w:rPr>
              <w:t>+</w:t>
            </w:r>
            <w:r w:rsidRPr="006809C5">
              <w:rPr>
                <w:lang w:val="en-US" w:eastAsia="de-DE"/>
              </w:rPr>
              <w:t xml:space="preserve">, </w:t>
            </w:r>
            <w:r w:rsidRPr="006809C5">
              <w:rPr>
                <w:color w:val="FF0000"/>
                <w:lang w:val="en-US" w:eastAsia="de-DE"/>
              </w:rPr>
              <w:t>SO</w:t>
            </w:r>
            <w:r w:rsidRPr="006809C5">
              <w:rPr>
                <w:color w:val="FF0000"/>
                <w:vertAlign w:val="subscript"/>
                <w:lang w:val="en-US" w:eastAsia="de-DE"/>
              </w:rPr>
              <w:t>2</w:t>
            </w:r>
          </w:p>
        </w:tc>
      </w:tr>
    </w:tbl>
    <w:p w14:paraId="05562EA3" w14:textId="188D054D" w:rsidR="006809C5" w:rsidRDefault="006809C5" w:rsidP="006809C5">
      <w:pPr>
        <w:pStyle w:val="Beschriftung"/>
      </w:pPr>
      <w:r>
        <w:t xml:space="preserve">Tab. </w:t>
      </w:r>
      <w:r w:rsidR="009C6D81">
        <w:fldChar w:fldCharType="begin"/>
      </w:r>
      <w:r w:rsidR="009C6D81">
        <w:instrText xml:space="preserve"> SEQ Tab. \* ARABIC </w:instrText>
      </w:r>
      <w:r w:rsidR="009C6D81">
        <w:fldChar w:fldCharType="separate"/>
      </w:r>
      <w:r w:rsidR="009C6D81">
        <w:rPr>
          <w:noProof/>
        </w:rPr>
        <w:t>4</w:t>
      </w:r>
      <w:r w:rsidR="009C6D81">
        <w:rPr>
          <w:noProof/>
        </w:rPr>
        <w:fldChar w:fldCharType="end"/>
      </w:r>
      <w:r>
        <w:t>: Beispiele für „harte“, „weiche“ und im Grenzbereich liegende Säuren</w:t>
      </w:r>
    </w:p>
    <w:p w14:paraId="1E1465BC" w14:textId="77777777" w:rsidR="00F05F15" w:rsidRDefault="00F05F15">
      <w:pPr>
        <w:spacing w:before="0"/>
        <w:jc w:val="left"/>
        <w:rPr>
          <w:rFonts w:asciiTheme="majorHAnsi" w:eastAsiaTheme="majorEastAsia" w:hAnsiTheme="majorHAnsi" w:cstheme="majorBidi"/>
          <w:b/>
          <w:color w:val="000000" w:themeColor="text1"/>
          <w:sz w:val="28"/>
          <w:szCs w:val="26"/>
        </w:rPr>
      </w:pPr>
      <w:r>
        <w:br w:type="page"/>
      </w:r>
    </w:p>
    <w:p w14:paraId="29F17387" w14:textId="40B2953F" w:rsidR="006809C5" w:rsidRDefault="006809C5" w:rsidP="006809C5">
      <w:pPr>
        <w:pStyle w:val="berschrift2"/>
      </w:pPr>
      <w:bookmarkStart w:id="13" w:name="_Toc54161106"/>
      <w:r>
        <w:lastRenderedPageBreak/>
        <w:t>Theoretische Grundlagen</w:t>
      </w:r>
      <w:bookmarkEnd w:id="13"/>
    </w:p>
    <w:p w14:paraId="22863B4F" w14:textId="58299FC1" w:rsidR="006809C5" w:rsidRDefault="006809C5" w:rsidP="006809C5">
      <w:r w:rsidRPr="006809C5">
        <w:t>Je höher ein Kern geladen ist, desto weiter rutschen die Orbitale auseinander und sie rutschen weiter nach unten in Bezug auf den Abstand zum Mittelwert (Elektro</w:t>
      </w:r>
      <w:r>
        <w:t>-N</w:t>
      </w:r>
      <w:r w:rsidRPr="006809C5">
        <w:t>egativität).</w:t>
      </w:r>
    </w:p>
    <w:p w14:paraId="4FE293AB" w14:textId="7DD7461D" w:rsidR="006809C5" w:rsidRPr="006809C5" w:rsidRDefault="006809C5" w:rsidP="006809C5">
      <w:pPr>
        <w:pStyle w:val="Bilder"/>
      </w:pPr>
      <w:r>
        <w:rPr>
          <w:lang w:eastAsia="de-DE"/>
        </w:rPr>
        <w:drawing>
          <wp:inline distT="0" distB="0" distL="0" distR="0" wp14:anchorId="21D96C3A" wp14:editId="0E371E50">
            <wp:extent cx="3305806" cy="3600000"/>
            <wp:effectExtent l="0" t="0" r="0" b="0"/>
            <wp:docPr id="10" name="Grafik 10" descr="Z:\vivaorg_10150105\ORG\W3Seiten\aktuell\umat\HSAB\HOMO_LU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vivaorg_10150105\ORG\W3Seiten\aktuell\umat\HSAB\HOMO_LUM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806" cy="3600000"/>
                    </a:xfrm>
                    <a:prstGeom prst="rect">
                      <a:avLst/>
                    </a:prstGeom>
                    <a:noFill/>
                    <a:ln>
                      <a:noFill/>
                    </a:ln>
                  </pic:spPr>
                </pic:pic>
              </a:graphicData>
            </a:graphic>
          </wp:inline>
        </w:drawing>
      </w:r>
    </w:p>
    <w:p w14:paraId="52AF864F" w14:textId="1D7B5041" w:rsidR="006809C5" w:rsidRDefault="006809C5" w:rsidP="006809C5">
      <w:pPr>
        <w:pStyle w:val="Beschriftung"/>
      </w:pPr>
      <w:r>
        <w:t xml:space="preserve">Abb. </w:t>
      </w:r>
      <w:r w:rsidR="009C6D81">
        <w:fldChar w:fldCharType="begin"/>
      </w:r>
      <w:r w:rsidR="009C6D81">
        <w:instrText xml:space="preserve"> SEQ Abb. \* ARABIC </w:instrText>
      </w:r>
      <w:r w:rsidR="009C6D81">
        <w:fldChar w:fldCharType="separate"/>
      </w:r>
      <w:r w:rsidR="009C6D81">
        <w:rPr>
          <w:noProof/>
        </w:rPr>
        <w:t>1</w:t>
      </w:r>
      <w:r w:rsidR="009C6D81">
        <w:rPr>
          <w:noProof/>
        </w:rPr>
        <w:fldChar w:fldCharType="end"/>
      </w:r>
      <w:r>
        <w:t>: HOMO und LUMO bei „harten“ und „weichen“ Säuren und Basen [</w:t>
      </w:r>
      <w:r>
        <w:fldChar w:fldCharType="begin"/>
      </w:r>
      <w:r>
        <w:instrText xml:space="preserve"> REF _Ref54160897 \r \h </w:instrText>
      </w:r>
      <w:r>
        <w:fldChar w:fldCharType="separate"/>
      </w:r>
      <w:r w:rsidR="009C6D81">
        <w:t>1</w:t>
      </w:r>
      <w:r>
        <w:fldChar w:fldCharType="end"/>
      </w:r>
      <w:r>
        <w:t>]</w:t>
      </w:r>
    </w:p>
    <w:p w14:paraId="755EA5E4" w14:textId="155B5954" w:rsidR="006809C5" w:rsidRDefault="006809C5" w:rsidP="006809C5">
      <w:pPr>
        <w:rPr>
          <w:rFonts w:cs="Arial"/>
        </w:rPr>
      </w:pPr>
      <w:r>
        <w:rPr>
          <w:rFonts w:cs="Arial"/>
          <w:b/>
          <w:bCs/>
        </w:rPr>
        <w:t>Bindung hart-hart:</w:t>
      </w:r>
      <w:r>
        <w:rPr>
          <w:rFonts w:cs="Arial"/>
        </w:rPr>
        <w:t xml:space="preserve"> Auf Grund des großen Energie-Unterschieds zwischen HOMO und LUMO findet wenig Elektronen</w:t>
      </w:r>
      <w:r w:rsidR="0079091D">
        <w:rPr>
          <w:rFonts w:cs="Arial"/>
        </w:rPr>
        <w:t>-T</w:t>
      </w:r>
      <w:r>
        <w:rPr>
          <w:rFonts w:cs="Arial"/>
        </w:rPr>
        <w:t>ransfer statt. Es kommt deshalb zu einer ladungskontrollierten Wechselwirkung. Der Komplex wird vor allem durch ionische Krä</w:t>
      </w:r>
      <w:r w:rsidR="0079091D">
        <w:rPr>
          <w:rFonts w:cs="Arial"/>
        </w:rPr>
        <w:t>fte zusammengehalten. Das heißt</w:t>
      </w:r>
      <w:r>
        <w:rPr>
          <w:rFonts w:cs="Arial"/>
        </w:rPr>
        <w:t xml:space="preserve"> </w:t>
      </w:r>
      <w:r w:rsidR="0079091D">
        <w:rPr>
          <w:rFonts w:cs="Arial"/>
        </w:rPr>
        <w:t>„</w:t>
      </w:r>
      <w:r>
        <w:rPr>
          <w:rFonts w:cs="Arial"/>
        </w:rPr>
        <w:t xml:space="preserve">harte" Säuren binden </w:t>
      </w:r>
      <w:r w:rsidR="0079091D">
        <w:rPr>
          <w:rFonts w:cs="Arial"/>
        </w:rPr>
        <w:t>„</w:t>
      </w:r>
      <w:r>
        <w:rPr>
          <w:rFonts w:cs="Arial"/>
        </w:rPr>
        <w:t>harte" Basen vor allem durch ionische Kräfte. Dies wird begünstigt durch eine hohe positive Ladung und geringe Größe (, da die elektrostatische Energie von Ionen</w:t>
      </w:r>
      <w:r w:rsidR="0079091D">
        <w:rPr>
          <w:rFonts w:cs="Arial"/>
        </w:rPr>
        <w:t>-P</w:t>
      </w:r>
      <w:r>
        <w:rPr>
          <w:rFonts w:cs="Arial"/>
        </w:rPr>
        <w:t>aaren (</w:t>
      </w:r>
      <w:proofErr w:type="spellStart"/>
      <w:r>
        <w:rPr>
          <w:rFonts w:cs="Arial"/>
        </w:rPr>
        <w:t>Madelung</w:t>
      </w:r>
      <w:proofErr w:type="spellEnd"/>
      <w:r>
        <w:rPr>
          <w:rFonts w:cs="Arial"/>
        </w:rPr>
        <w:t xml:space="preserve"> Energie) dem Ionen</w:t>
      </w:r>
      <w:r w:rsidR="0079091D">
        <w:rPr>
          <w:rFonts w:cs="Arial"/>
        </w:rPr>
        <w:t>-A</w:t>
      </w:r>
      <w:r>
        <w:rPr>
          <w:rFonts w:cs="Arial"/>
        </w:rPr>
        <w:t>bstand umgekehrt proportional ist.</w:t>
      </w:r>
    </w:p>
    <w:p w14:paraId="6C7EB29F" w14:textId="7C55E435" w:rsidR="0079091D" w:rsidRDefault="0079091D" w:rsidP="006809C5">
      <w:pPr>
        <w:rPr>
          <w:rFonts w:cs="Arial"/>
        </w:rPr>
      </w:pPr>
      <w:r>
        <w:rPr>
          <w:rFonts w:cs="Arial"/>
          <w:b/>
          <w:bCs/>
        </w:rPr>
        <w:t xml:space="preserve">Bindung weich-weich: </w:t>
      </w:r>
      <w:r>
        <w:rPr>
          <w:rFonts w:cs="Arial"/>
        </w:rPr>
        <w:t xml:space="preserve">Die ähnliche Energie von HOMO und LUMO führt zu einem starken Elektronen-Transfer vom </w:t>
      </w:r>
      <w:proofErr w:type="spellStart"/>
      <w:r>
        <w:rPr>
          <w:rFonts w:cs="Arial"/>
        </w:rPr>
        <w:t>Donor</w:t>
      </w:r>
      <w:proofErr w:type="spellEnd"/>
      <w:r>
        <w:rPr>
          <w:rFonts w:cs="Arial"/>
        </w:rPr>
        <w:t xml:space="preserve"> zum Akzeptor. Deshalb ist die Wechselwirkung orbitalkontrolliert (große Valenzschalen ermöglichen eine starke Überlappung der Orbitale). Die Bindungskräfte sind somit kovalent. Das heißt „weiche" Säuren binden „weiche" Basen vor allem durch kovalente Bindungen. Dies wird begünstigt durch ähnliche Größe und ähnliche Elektro-Negativität der Bindungspartner.</w:t>
      </w:r>
    </w:p>
    <w:p w14:paraId="0620C370" w14:textId="127182B4" w:rsidR="0079091D" w:rsidRDefault="0079091D" w:rsidP="0079091D">
      <w:pPr>
        <w:pStyle w:val="berschrift2"/>
      </w:pPr>
      <w:bookmarkStart w:id="14" w:name="_Toc54161107"/>
      <w:r>
        <w:t>Anwendung und Gültigkeit</w:t>
      </w:r>
      <w:bookmarkEnd w:id="14"/>
    </w:p>
    <w:p w14:paraId="27AFDCFA" w14:textId="4E3070CE" w:rsidR="0079091D" w:rsidRDefault="0079091D" w:rsidP="0079091D">
      <w:pPr>
        <w:rPr>
          <w:rFonts w:cs="Arial"/>
        </w:rPr>
      </w:pPr>
      <w:r>
        <w:rPr>
          <w:rFonts w:cs="Arial"/>
        </w:rPr>
        <w:t>Das Konzept von Pearson eignet sich gut zur Vorhersage von Säure-Base-Konzepten. Allerdings ist die Gültigkeit des HSAB-Konzepts nicht absolut. Neben der Härte bzw. der Weichheit muss man auch die Säure- bzw. Basen-Stärke der Säuren und Basen mitberücksichtigen. Wenn Säuren und Basen vergleichbar stark sind, entscheidet das HSAB-Konzept.</w:t>
      </w:r>
    </w:p>
    <w:p w14:paraId="00F2F312" w14:textId="77777777" w:rsidR="009C6D81" w:rsidRDefault="009C6D81">
      <w:pPr>
        <w:spacing w:before="0"/>
        <w:jc w:val="left"/>
        <w:rPr>
          <w:rStyle w:val="Fett"/>
        </w:rPr>
      </w:pPr>
      <w:r>
        <w:rPr>
          <w:rStyle w:val="Fett"/>
        </w:rPr>
        <w:br w:type="page"/>
      </w:r>
    </w:p>
    <w:p w14:paraId="33645BF0" w14:textId="013FA03D" w:rsidR="0079091D" w:rsidRPr="0079091D" w:rsidRDefault="0079091D" w:rsidP="0079091D">
      <w:pPr>
        <w:pStyle w:val="Zusammenfassung"/>
      </w:pPr>
      <w:r w:rsidRPr="0079091D">
        <w:rPr>
          <w:rStyle w:val="Fett"/>
        </w:rPr>
        <w:t>Zusammenfassung</w:t>
      </w:r>
      <w:r>
        <w:t xml:space="preserve">: </w:t>
      </w:r>
      <w:r>
        <w:rPr>
          <w:rFonts w:cs="Arial"/>
        </w:rPr>
        <w:t>Pearsons Konzept ist eine Erweiterung zum Lewis-Konzept. Es besagt, dass sich „harte" Säuren bevorzugt mit „harten" Basen verbinden; „weiche" Säuren verbinden sich bevorzugt mit „weichen" Basen. Mit dem HSAB-Konzept lassen sich Vorhersagen über die Stabilität des Produktes machen.</w:t>
      </w:r>
    </w:p>
    <w:p w14:paraId="53692655" w14:textId="1C540E46" w:rsidR="00F05F15" w:rsidRDefault="009C6D81" w:rsidP="009C6D81">
      <w:pPr>
        <w:pStyle w:val="EinstiegAbschluss"/>
      </w:pPr>
      <w:bookmarkStart w:id="15" w:name="_GoBack"/>
      <w:r w:rsidRPr="009C6D81">
        <w:rPr>
          <w:b/>
        </w:rPr>
        <w:t>Abschluss</w:t>
      </w:r>
      <w:bookmarkEnd w:id="15"/>
      <w:r>
        <w:t>: fehlt</w:t>
      </w:r>
    </w:p>
    <w:p w14:paraId="5FB45FB5" w14:textId="77777777" w:rsidR="009C6D81" w:rsidRDefault="009C6D81">
      <w:pPr>
        <w:spacing w:before="0"/>
        <w:jc w:val="left"/>
        <w:rPr>
          <w:b/>
          <w:bCs/>
        </w:rPr>
      </w:pPr>
    </w:p>
    <w:p w14:paraId="2A8C06EE" w14:textId="389F5413" w:rsidR="00931B30" w:rsidRDefault="00931B30" w:rsidP="00931B30">
      <w:pPr>
        <w:rPr>
          <w:b/>
          <w:bCs/>
        </w:rPr>
      </w:pPr>
      <w:r w:rsidRPr="000E61E0">
        <w:rPr>
          <w:b/>
          <w:bCs/>
        </w:rPr>
        <w:lastRenderedPageBreak/>
        <w:t>Quellen:</w:t>
      </w:r>
    </w:p>
    <w:p w14:paraId="3511C211" w14:textId="47B2CB30" w:rsidR="005B5767" w:rsidRPr="005B5767" w:rsidRDefault="005B5767" w:rsidP="005B5767">
      <w:pPr>
        <w:pStyle w:val="AufzhlungStandard"/>
        <w:rPr>
          <w:lang w:eastAsia="de-DE"/>
        </w:rPr>
      </w:pPr>
      <w:bookmarkStart w:id="16" w:name="_Ref54160897"/>
      <w:r>
        <w:rPr>
          <w:lang w:eastAsia="de-DE"/>
        </w:rPr>
        <w:t>Riedel, E.</w:t>
      </w:r>
      <w:r w:rsidRPr="005B5767">
        <w:rPr>
          <w:lang w:eastAsia="de-DE"/>
        </w:rPr>
        <w:t xml:space="preserve">: Moderne anorganische Chemie. 3. Auflage, de </w:t>
      </w:r>
      <w:proofErr w:type="spellStart"/>
      <w:r w:rsidRPr="005B5767">
        <w:rPr>
          <w:lang w:eastAsia="de-DE"/>
        </w:rPr>
        <w:t>Gruyter</w:t>
      </w:r>
      <w:proofErr w:type="spellEnd"/>
      <w:r w:rsidRPr="005B5767">
        <w:rPr>
          <w:lang w:eastAsia="de-DE"/>
        </w:rPr>
        <w:t xml:space="preserve"> Verlag, Berlin, New York 2007</w:t>
      </w:r>
      <w:bookmarkEnd w:id="16"/>
    </w:p>
    <w:p w14:paraId="054ED90D" w14:textId="554D8BBE" w:rsidR="005B5767" w:rsidRPr="005B5767" w:rsidRDefault="005B5767" w:rsidP="005B5767">
      <w:pPr>
        <w:pStyle w:val="AufzhlungStandard"/>
        <w:rPr>
          <w:lang w:eastAsia="de-DE"/>
        </w:rPr>
      </w:pPr>
      <w:proofErr w:type="spellStart"/>
      <w:r>
        <w:rPr>
          <w:lang w:eastAsia="de-DE"/>
        </w:rPr>
        <w:t>Huheey</w:t>
      </w:r>
      <w:proofErr w:type="spellEnd"/>
      <w:r>
        <w:rPr>
          <w:lang w:eastAsia="de-DE"/>
        </w:rPr>
        <w:t>, J. E.</w:t>
      </w:r>
      <w:r w:rsidRPr="005B5767">
        <w:rPr>
          <w:lang w:eastAsia="de-DE"/>
        </w:rPr>
        <w:t xml:space="preserve">: Anorganische Chemie. 3.Auflage, de </w:t>
      </w:r>
      <w:proofErr w:type="spellStart"/>
      <w:r w:rsidRPr="005B5767">
        <w:rPr>
          <w:lang w:eastAsia="de-DE"/>
        </w:rPr>
        <w:t>Gruyter</w:t>
      </w:r>
      <w:proofErr w:type="spellEnd"/>
      <w:r w:rsidRPr="005B5767">
        <w:rPr>
          <w:lang w:eastAsia="de-DE"/>
        </w:rPr>
        <w:t xml:space="preserve"> Verlag, Berlin, New York, 1988</w:t>
      </w:r>
    </w:p>
    <w:sectPr w:rsidR="005B5767" w:rsidRPr="005B5767" w:rsidSect="00A824AD">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6809C5" w:rsidRDefault="006809C5" w:rsidP="005A7DCE">
      <w:pPr>
        <w:spacing w:before="0"/>
      </w:pPr>
      <w:r>
        <w:separator/>
      </w:r>
    </w:p>
  </w:endnote>
  <w:endnote w:type="continuationSeparator" w:id="0">
    <w:p w14:paraId="3214F425" w14:textId="77777777" w:rsidR="006809C5" w:rsidRDefault="006809C5"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6809C5" w:rsidRDefault="006809C5">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4841FFBB" w:rsidR="006809C5" w:rsidRDefault="006809C5">
        <w:pPr>
          <w:pStyle w:val="Fuzeile"/>
          <w:jc w:val="center"/>
        </w:pPr>
        <w:r>
          <w:fldChar w:fldCharType="begin"/>
        </w:r>
        <w:r>
          <w:instrText>PAGE    \* MERGEFORMAT</w:instrText>
        </w:r>
        <w:r>
          <w:fldChar w:fldCharType="separate"/>
        </w:r>
        <w:r w:rsidR="009C6D81">
          <w:rPr>
            <w:noProof/>
          </w:rPr>
          <w:t>4</w:t>
        </w:r>
        <w:r>
          <w:fldChar w:fldCharType="end"/>
        </w:r>
      </w:p>
    </w:sdtContent>
  </w:sdt>
  <w:p w14:paraId="69DF8B39" w14:textId="77777777" w:rsidR="006809C5" w:rsidRDefault="006809C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6809C5" w:rsidRDefault="006809C5" w:rsidP="005A7DCE">
      <w:pPr>
        <w:spacing w:before="0"/>
      </w:pPr>
      <w:r>
        <w:separator/>
      </w:r>
    </w:p>
  </w:footnote>
  <w:footnote w:type="continuationSeparator" w:id="0">
    <w:p w14:paraId="026CC8B6" w14:textId="77777777" w:rsidR="006809C5" w:rsidRDefault="006809C5"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1DF1216"/>
    <w:multiLevelType w:val="multilevel"/>
    <w:tmpl w:val="056C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67DA88B6"/>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color w:val="auto"/>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6"/>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B0E73"/>
    <w:rsid w:val="001D6942"/>
    <w:rsid w:val="00286533"/>
    <w:rsid w:val="0033663A"/>
    <w:rsid w:val="0036111E"/>
    <w:rsid w:val="004A4B07"/>
    <w:rsid w:val="005633FE"/>
    <w:rsid w:val="00564B25"/>
    <w:rsid w:val="005A7DCE"/>
    <w:rsid w:val="005B5767"/>
    <w:rsid w:val="006809C5"/>
    <w:rsid w:val="007161D1"/>
    <w:rsid w:val="007514D3"/>
    <w:rsid w:val="00783295"/>
    <w:rsid w:val="0079091D"/>
    <w:rsid w:val="007B2C80"/>
    <w:rsid w:val="007F18E1"/>
    <w:rsid w:val="008117E4"/>
    <w:rsid w:val="00825BFE"/>
    <w:rsid w:val="00850560"/>
    <w:rsid w:val="00883728"/>
    <w:rsid w:val="008A524D"/>
    <w:rsid w:val="00931B30"/>
    <w:rsid w:val="009710A6"/>
    <w:rsid w:val="009B4835"/>
    <w:rsid w:val="009C6D81"/>
    <w:rsid w:val="00A21130"/>
    <w:rsid w:val="00A515D2"/>
    <w:rsid w:val="00A5383F"/>
    <w:rsid w:val="00A824AD"/>
    <w:rsid w:val="00AA5D66"/>
    <w:rsid w:val="00AB7E4B"/>
    <w:rsid w:val="00AE53F0"/>
    <w:rsid w:val="00AF7672"/>
    <w:rsid w:val="00B10DD4"/>
    <w:rsid w:val="00B85024"/>
    <w:rsid w:val="00C511E6"/>
    <w:rsid w:val="00CA413D"/>
    <w:rsid w:val="00D97908"/>
    <w:rsid w:val="00E14DE1"/>
    <w:rsid w:val="00E20AF3"/>
    <w:rsid w:val="00E50811"/>
    <w:rsid w:val="00E54A99"/>
    <w:rsid w:val="00E8473B"/>
    <w:rsid w:val="00F05F15"/>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Fett">
    <w:name w:val="Strong"/>
    <w:basedOn w:val="Absatz-Standardschriftart"/>
    <w:uiPriority w:val="22"/>
    <w:rsid w:val="005B5767"/>
    <w:rPr>
      <w:b/>
      <w:bCs/>
    </w:rPr>
  </w:style>
  <w:style w:type="character" w:styleId="Platzhaltertext">
    <w:name w:val="Placeholder Text"/>
    <w:basedOn w:val="Absatz-Standardschriftart"/>
    <w:uiPriority w:val="99"/>
    <w:semiHidden/>
    <w:rsid w:val="005B5767"/>
    <w:rPr>
      <w:color w:val="808080"/>
    </w:rPr>
  </w:style>
  <w:style w:type="table" w:styleId="Tabellenraster">
    <w:name w:val="Table Grid"/>
    <w:basedOn w:val="NormaleTabelle"/>
    <w:uiPriority w:val="39"/>
    <w:rsid w:val="00A8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0277">
      <w:bodyDiv w:val="1"/>
      <w:marLeft w:val="0"/>
      <w:marRight w:val="0"/>
      <w:marTop w:val="0"/>
      <w:marBottom w:val="0"/>
      <w:divBdr>
        <w:top w:val="none" w:sz="0" w:space="0" w:color="auto"/>
        <w:left w:val="none" w:sz="0" w:space="0" w:color="auto"/>
        <w:bottom w:val="none" w:sz="0" w:space="0" w:color="auto"/>
        <w:right w:val="none" w:sz="0" w:space="0" w:color="auto"/>
      </w:divBdr>
    </w:div>
    <w:div w:id="45691764">
      <w:bodyDiv w:val="1"/>
      <w:marLeft w:val="0"/>
      <w:marRight w:val="0"/>
      <w:marTop w:val="0"/>
      <w:marBottom w:val="0"/>
      <w:divBdr>
        <w:top w:val="none" w:sz="0" w:space="0" w:color="auto"/>
        <w:left w:val="none" w:sz="0" w:space="0" w:color="auto"/>
        <w:bottom w:val="none" w:sz="0" w:space="0" w:color="auto"/>
        <w:right w:val="none" w:sz="0" w:space="0" w:color="auto"/>
      </w:divBdr>
    </w:div>
    <w:div w:id="77749065">
      <w:bodyDiv w:val="1"/>
      <w:marLeft w:val="0"/>
      <w:marRight w:val="0"/>
      <w:marTop w:val="0"/>
      <w:marBottom w:val="0"/>
      <w:divBdr>
        <w:top w:val="none" w:sz="0" w:space="0" w:color="auto"/>
        <w:left w:val="none" w:sz="0" w:space="0" w:color="auto"/>
        <w:bottom w:val="none" w:sz="0" w:space="0" w:color="auto"/>
        <w:right w:val="none" w:sz="0" w:space="0" w:color="auto"/>
      </w:divBdr>
    </w:div>
    <w:div w:id="211771724">
      <w:bodyDiv w:val="1"/>
      <w:marLeft w:val="0"/>
      <w:marRight w:val="0"/>
      <w:marTop w:val="0"/>
      <w:marBottom w:val="0"/>
      <w:divBdr>
        <w:top w:val="none" w:sz="0" w:space="0" w:color="auto"/>
        <w:left w:val="none" w:sz="0" w:space="0" w:color="auto"/>
        <w:bottom w:val="none" w:sz="0" w:space="0" w:color="auto"/>
        <w:right w:val="none" w:sz="0" w:space="0" w:color="auto"/>
      </w:divBdr>
    </w:div>
    <w:div w:id="325671817">
      <w:bodyDiv w:val="1"/>
      <w:marLeft w:val="0"/>
      <w:marRight w:val="0"/>
      <w:marTop w:val="0"/>
      <w:marBottom w:val="0"/>
      <w:divBdr>
        <w:top w:val="none" w:sz="0" w:space="0" w:color="auto"/>
        <w:left w:val="none" w:sz="0" w:space="0" w:color="auto"/>
        <w:bottom w:val="none" w:sz="0" w:space="0" w:color="auto"/>
        <w:right w:val="none" w:sz="0" w:space="0" w:color="auto"/>
      </w:divBdr>
    </w:div>
    <w:div w:id="537663368">
      <w:bodyDiv w:val="1"/>
      <w:marLeft w:val="0"/>
      <w:marRight w:val="0"/>
      <w:marTop w:val="0"/>
      <w:marBottom w:val="0"/>
      <w:divBdr>
        <w:top w:val="none" w:sz="0" w:space="0" w:color="auto"/>
        <w:left w:val="none" w:sz="0" w:space="0" w:color="auto"/>
        <w:bottom w:val="none" w:sz="0" w:space="0" w:color="auto"/>
        <w:right w:val="none" w:sz="0" w:space="0" w:color="auto"/>
      </w:divBdr>
    </w:div>
    <w:div w:id="730737902">
      <w:bodyDiv w:val="1"/>
      <w:marLeft w:val="0"/>
      <w:marRight w:val="0"/>
      <w:marTop w:val="0"/>
      <w:marBottom w:val="0"/>
      <w:divBdr>
        <w:top w:val="none" w:sz="0" w:space="0" w:color="auto"/>
        <w:left w:val="none" w:sz="0" w:space="0" w:color="auto"/>
        <w:bottom w:val="none" w:sz="0" w:space="0" w:color="auto"/>
        <w:right w:val="none" w:sz="0" w:space="0" w:color="auto"/>
      </w:divBdr>
    </w:div>
    <w:div w:id="889536879">
      <w:bodyDiv w:val="1"/>
      <w:marLeft w:val="0"/>
      <w:marRight w:val="0"/>
      <w:marTop w:val="0"/>
      <w:marBottom w:val="0"/>
      <w:divBdr>
        <w:top w:val="none" w:sz="0" w:space="0" w:color="auto"/>
        <w:left w:val="none" w:sz="0" w:space="0" w:color="auto"/>
        <w:bottom w:val="none" w:sz="0" w:space="0" w:color="auto"/>
        <w:right w:val="none" w:sz="0" w:space="0" w:color="auto"/>
      </w:divBdr>
    </w:div>
    <w:div w:id="12249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AA17-79FC-48B2-817B-2106B6DF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2020-12-07T08:14:00Z</cp:lastPrinted>
  <dcterms:created xsi:type="dcterms:W3CDTF">2020-10-21T05:37:00Z</dcterms:created>
  <dcterms:modified xsi:type="dcterms:W3CDTF">2020-12-07T08:14:00Z</dcterms:modified>
</cp:coreProperties>
</file>