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CE" w:rsidRDefault="00E323CE" w:rsidP="00095C48">
      <w:pPr>
        <w:pStyle w:val="Titel"/>
        <w:jc w:val="both"/>
        <w:rPr>
          <w:rFonts w:cs="Arial"/>
          <w:szCs w:val="32"/>
        </w:rPr>
      </w:pPr>
      <w:r w:rsidRPr="00077ECA">
        <w:rPr>
          <w:rFonts w:cs="Arial"/>
          <w:szCs w:val="32"/>
        </w:rPr>
        <w:t xml:space="preserve">Lösungen zu Kapitel </w:t>
      </w:r>
      <w:r w:rsidR="00077ECA" w:rsidRPr="00077ECA">
        <w:rPr>
          <w:rFonts w:cs="Arial"/>
          <w:szCs w:val="32"/>
        </w:rPr>
        <w:t xml:space="preserve">C </w:t>
      </w:r>
      <w:r w:rsidR="00635D13">
        <w:rPr>
          <w:rFonts w:cs="Arial"/>
          <w:szCs w:val="32"/>
        </w:rPr>
        <w:t>4</w:t>
      </w:r>
      <w:r w:rsidR="00575EF3">
        <w:rPr>
          <w:rFonts w:cs="Arial"/>
          <w:szCs w:val="32"/>
        </w:rPr>
        <w:t>:</w:t>
      </w:r>
    </w:p>
    <w:p w:rsidR="00635D13" w:rsidRDefault="00635D13"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635D13">
        <w:rPr>
          <w:rFonts w:eastAsia="Times New Roman" w:cs="Arial"/>
          <w:szCs w:val="24"/>
          <w:lang w:eastAsia="de-DE"/>
        </w:rPr>
        <w:t>III: Beschreiben Sie drei Gründe, warum fachlicher Chemieunterricht in Jgst. 5 nicht so ablaufen könnte (wenn er denn eingeführt würde), wie Sie ihn selber in Jgst. 9 erlebt haben.</w:t>
      </w:r>
    </w:p>
    <w:p w:rsidR="00635D13" w:rsidRPr="00635D13" w:rsidRDefault="00635D13" w:rsidP="00095C48">
      <w:pPr>
        <w:pStyle w:val="Listenabsatz"/>
        <w:numPr>
          <w:ilvl w:val="0"/>
          <w:numId w:val="3"/>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Laut Maria Montessori befinden sich Kinder in Jgst. 5 auf der Stufe des „Interesses an der Ursache und der Wirkung“ (6-12 Jahre). Chemieunterricht wird gerne fachsystematisch gegliedert, was ein großes Durchhaltevermögen erfordert, bis eine Ursache-Wirkungsbeziehung auf diese Art sichtbar wird.</w:t>
      </w:r>
    </w:p>
    <w:p w:rsidR="00635D13" w:rsidRPr="00635D13" w:rsidRDefault="00635D13" w:rsidP="00095C48">
      <w:pPr>
        <w:pStyle w:val="Listenabsatz"/>
        <w:numPr>
          <w:ilvl w:val="0"/>
          <w:numId w:val="3"/>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Die Kinder sind ca. 10 Jahre alt. Damit sind sie als Lernende in der Lage, konkret operational zu denken. Das formale (abstrakte) Denken, das für viele Teilgebiete der Chemie erforderlich ist, wird erst in der darauffolgenden Stufe erworben. Hypothesenbildung (wie sie in der Chemie oft gebraucht wird) ist jedoch in dieser Entwicklungsstufe nicht möglich. Ab dem Alter von 11 Jahren wird Hypothesenbildung möglich (in der Regel Mitte bis Ende der Jgst. 5, je nach individueller Entwicklung).</w:t>
      </w:r>
    </w:p>
    <w:p w:rsidR="00635D13" w:rsidRPr="00635D13" w:rsidRDefault="00635D13" w:rsidP="00095C48">
      <w:pPr>
        <w:pStyle w:val="Listenabsatz"/>
        <w:numPr>
          <w:ilvl w:val="0"/>
          <w:numId w:val="3"/>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Es ist Lernenden auch noch nicht möglich, sich Raumstrukturen von Molekülen vorzustellen. Die Raumvorstellung ist bei vielen noch nicht weit genug ausgeprägt.</w:t>
      </w:r>
    </w:p>
    <w:p w:rsidR="00635D13" w:rsidRDefault="00635D13"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635D13">
        <w:rPr>
          <w:rFonts w:eastAsia="Times New Roman" w:cs="Arial"/>
          <w:szCs w:val="24"/>
          <w:lang w:eastAsia="de-DE"/>
        </w:rPr>
        <w:t>III: Beschreiben Sie einen fachlichen Inhalt aus dem Anfangsunterricht Chemie, für den formale Denkoperationen nötig sind. Begründen Sie.</w:t>
      </w:r>
    </w:p>
    <w:p w:rsidR="00635D13" w:rsidRDefault="00635D13" w:rsidP="00095C48">
      <w:pPr>
        <w:spacing w:before="100" w:beforeAutospacing="1" w:after="100" w:afterAutospacing="1"/>
        <w:ind w:left="360"/>
        <w:jc w:val="both"/>
        <w:rPr>
          <w:rFonts w:eastAsia="Times New Roman" w:cs="Arial"/>
          <w:color w:val="006600"/>
          <w:szCs w:val="24"/>
          <w:lang w:eastAsia="de-DE"/>
        </w:rPr>
      </w:pPr>
      <w:r w:rsidRPr="00635D13">
        <w:rPr>
          <w:rFonts w:eastAsia="Times New Roman" w:cs="Arial"/>
          <w:color w:val="006600"/>
          <w:szCs w:val="24"/>
          <w:lang w:eastAsia="de-DE"/>
        </w:rPr>
        <w:t>Atombau (C NTG 8.2) Kern-Hülle-Modell:</w:t>
      </w:r>
    </w:p>
    <w:p w:rsidR="00635D13" w:rsidRPr="00635D13" w:rsidRDefault="00635D13" w:rsidP="00095C48">
      <w:pPr>
        <w:pStyle w:val="Listenabsatz"/>
        <w:numPr>
          <w:ilvl w:val="0"/>
          <w:numId w:val="4"/>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 xml:space="preserve">-Proton, Neutron, Elektron: die Rolle von Neutronen für </w:t>
      </w:r>
      <w:r>
        <w:rPr>
          <w:rFonts w:eastAsia="Times New Roman" w:cs="Arial"/>
          <w:color w:val="006600"/>
          <w:szCs w:val="24"/>
          <w:lang w:eastAsia="de-DE"/>
        </w:rPr>
        <w:t>den Zusammenhalt des Atomkerns.</w:t>
      </w:r>
    </w:p>
    <w:p w:rsidR="00635D13" w:rsidRPr="00635D13" w:rsidRDefault="00635D13" w:rsidP="00095C48">
      <w:pPr>
        <w:pStyle w:val="Listenabsatz"/>
        <w:numPr>
          <w:ilvl w:val="0"/>
          <w:numId w:val="4"/>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Elektronenkonfiguration, Energiestufen, Ionisierungsenergie: Energiestufen als Aufenthaltsort für Elektronen; Welle-Teilchen-Dualismus bei Elektronen.</w:t>
      </w:r>
    </w:p>
    <w:p w:rsidR="00635D13" w:rsidRPr="00635D13" w:rsidRDefault="00635D13" w:rsidP="00095C48">
      <w:pPr>
        <w:pStyle w:val="Listenabsatz"/>
        <w:numPr>
          <w:ilvl w:val="0"/>
          <w:numId w:val="4"/>
        </w:numPr>
        <w:spacing w:before="100" w:beforeAutospacing="1" w:after="100" w:afterAutospacing="1"/>
        <w:jc w:val="both"/>
        <w:rPr>
          <w:rFonts w:eastAsia="Times New Roman" w:cs="Arial"/>
          <w:szCs w:val="24"/>
          <w:lang w:eastAsia="de-DE"/>
        </w:rPr>
      </w:pPr>
      <w:r w:rsidRPr="00635D13">
        <w:rPr>
          <w:rFonts w:eastAsia="Times New Roman" w:cs="Arial"/>
          <w:color w:val="006600"/>
          <w:szCs w:val="24"/>
          <w:lang w:eastAsia="de-DE"/>
        </w:rPr>
        <w:t xml:space="preserve">Valenzelektronen, Valenzstrich-Schreibweise: z.B. unterschiedliche Darstellungsweisen eines Elektrons, als Punkt, als Teil eines Striches, als s- oder p-Orbital, als delokalisierte Elektronenwolke. Dabei muss gleichzeitig bewusst sein, dass es sich stets um Modelle handelt, also um ein gedachte Vorstellungen in unzureichender Darstellung. Darstellungen können nicht anhand von Gegenständlichem überprüft werden, stützen sich aber auf experimentelle Befunde. </w:t>
      </w:r>
    </w:p>
    <w:p w:rsidR="00635D13" w:rsidRDefault="00635D13"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635D13">
        <w:rPr>
          <w:rFonts w:eastAsia="Times New Roman" w:cs="Arial"/>
          <w:szCs w:val="24"/>
          <w:lang w:eastAsia="de-DE"/>
        </w:rPr>
        <w:t>III: Bewerten Sie die Rolle von Geschlechtsunterschieden für den CU.</w:t>
      </w:r>
    </w:p>
    <w:p w:rsidR="00635D13" w:rsidRPr="00635D13" w:rsidRDefault="00635D13" w:rsidP="00095C48">
      <w:pPr>
        <w:spacing w:before="100" w:beforeAutospacing="1" w:after="100" w:afterAutospacing="1"/>
        <w:ind w:left="360"/>
        <w:jc w:val="both"/>
        <w:rPr>
          <w:rFonts w:eastAsia="Times New Roman" w:cs="Arial"/>
          <w:szCs w:val="24"/>
          <w:lang w:eastAsia="de-DE"/>
        </w:rPr>
      </w:pPr>
      <w:r w:rsidRPr="00635D13">
        <w:rPr>
          <w:rStyle w:val="Hervorhebung"/>
          <w:lang w:eastAsia="de-DE"/>
        </w:rPr>
        <w:t>Verschiedene Wissenschaften sind sich nicht einig, inwieweit Gesch</w:t>
      </w:r>
      <w:r w:rsidRPr="00635D13">
        <w:rPr>
          <w:rFonts w:eastAsia="Times New Roman" w:cs="Arial"/>
          <w:color w:val="006600"/>
          <w:szCs w:val="24"/>
          <w:lang w:eastAsia="de-DE"/>
        </w:rPr>
        <w:t>lechtsunterschiede existieren</w:t>
      </w:r>
      <w:r>
        <w:rPr>
          <w:rFonts w:eastAsia="Times New Roman" w:cs="Arial"/>
          <w:color w:val="006600"/>
          <w:szCs w:val="24"/>
          <w:lang w:eastAsia="de-DE"/>
        </w:rPr>
        <w:t>, sie existieren aber</w:t>
      </w:r>
      <w:r w:rsidRPr="00635D13">
        <w:rPr>
          <w:rFonts w:eastAsia="Times New Roman" w:cs="Arial"/>
          <w:color w:val="006600"/>
          <w:szCs w:val="24"/>
          <w:lang w:eastAsia="de-DE"/>
        </w:rPr>
        <w:t xml:space="preserve"> zweifelsohne. Woher sie stammen (vererbt vs. sozial erworben) bzw. inwieweit sie sich auf das Unterrichtsgeschehen auswirken ist umstritten. Studien können gewisse Trends aufzeigen, die Ergebnisse sind aber oft von der Fragestellung und von der Denkrichtung, aus der die Frage herausgestellt wird, abhängig. Deshalb sollte mehr Wert auf individuelle Förderung, Potenzialentfaltung und differenzierten Unterricht gelegt werden denn auf Profilierung oder Nivellierung von Geschlechtsunterschieden.</w:t>
      </w:r>
    </w:p>
    <w:p w:rsidR="00095C48" w:rsidRDefault="00095C48"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095C48">
        <w:rPr>
          <w:rFonts w:eastAsia="Times New Roman" w:cs="Arial"/>
          <w:szCs w:val="24"/>
          <w:lang w:eastAsia="de-DE"/>
        </w:rPr>
        <w:lastRenderedPageBreak/>
        <w:t xml:space="preserve">I: Charakterisieren Sie in </w:t>
      </w:r>
      <w:r>
        <w:rPr>
          <w:rFonts w:eastAsia="Times New Roman" w:cs="Arial"/>
          <w:szCs w:val="24"/>
          <w:lang w:eastAsia="de-DE"/>
        </w:rPr>
        <w:t>einem Satz</w:t>
      </w:r>
      <w:r w:rsidRPr="00095C48">
        <w:rPr>
          <w:rFonts w:eastAsia="Times New Roman" w:cs="Arial"/>
          <w:szCs w:val="24"/>
          <w:lang w:eastAsia="de-DE"/>
        </w:rPr>
        <w:t xml:space="preserve"> den sonderpädagogischen Förderschwerpunkt Lernen.</w:t>
      </w:r>
    </w:p>
    <w:p w:rsidR="00095C48" w:rsidRPr="00095C48" w:rsidRDefault="00095C48" w:rsidP="00095C48">
      <w:pPr>
        <w:spacing w:before="100" w:beforeAutospacing="1" w:after="100" w:afterAutospacing="1"/>
        <w:ind w:left="360"/>
        <w:jc w:val="both"/>
        <w:rPr>
          <w:rFonts w:eastAsia="Times New Roman" w:cs="Arial"/>
          <w:szCs w:val="24"/>
          <w:lang w:eastAsia="de-DE"/>
        </w:rPr>
      </w:pPr>
      <w:r>
        <w:rPr>
          <w:rStyle w:val="Hervorhebung"/>
          <w:lang w:eastAsia="de-DE"/>
        </w:rPr>
        <w:t xml:space="preserve">Lernende haben </w:t>
      </w:r>
      <w:r w:rsidRPr="00095C48">
        <w:rPr>
          <w:rStyle w:val="Hervorhebung"/>
          <w:lang w:eastAsia="de-DE"/>
        </w:rPr>
        <w:t xml:space="preserve">Schwierigkeiten im Denken, Rechnen, Schreiben, Lesen, Verstehen </w:t>
      </w:r>
      <w:r>
        <w:rPr>
          <w:rStyle w:val="Hervorhebung"/>
          <w:lang w:eastAsia="de-DE"/>
        </w:rPr>
        <w:t>oder</w:t>
      </w:r>
      <w:r w:rsidRPr="00095C48">
        <w:rPr>
          <w:rStyle w:val="Hervorhebung"/>
          <w:lang w:eastAsia="de-DE"/>
        </w:rPr>
        <w:t xml:space="preserve"> Sprechen</w:t>
      </w:r>
      <w:r>
        <w:rPr>
          <w:rStyle w:val="Hervorhebung"/>
          <w:lang w:eastAsia="de-DE"/>
        </w:rPr>
        <w:t>, oder mehreren Leistungen aus der Liste.</w:t>
      </w:r>
    </w:p>
    <w:p w:rsidR="00095C48" w:rsidRDefault="00095C48"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095C48">
        <w:rPr>
          <w:rFonts w:eastAsia="Times New Roman" w:cs="Arial"/>
          <w:szCs w:val="24"/>
          <w:lang w:eastAsia="de-DE"/>
        </w:rPr>
        <w:t xml:space="preserve">I: Charakterisieren Sie in </w:t>
      </w:r>
      <w:r>
        <w:rPr>
          <w:rFonts w:eastAsia="Times New Roman" w:cs="Arial"/>
          <w:szCs w:val="24"/>
          <w:lang w:eastAsia="de-DE"/>
        </w:rPr>
        <w:t>einem Satz</w:t>
      </w:r>
      <w:r w:rsidRPr="00095C48">
        <w:rPr>
          <w:rFonts w:eastAsia="Times New Roman" w:cs="Arial"/>
          <w:szCs w:val="24"/>
          <w:lang w:eastAsia="de-DE"/>
        </w:rPr>
        <w:t xml:space="preserve"> den sonderpädagogischen Förderschwerpunkt Geistige Entwicklung.</w:t>
      </w:r>
    </w:p>
    <w:p w:rsidR="00095C48" w:rsidRPr="00095C48" w:rsidRDefault="00095C48" w:rsidP="00095C48">
      <w:pPr>
        <w:spacing w:before="100" w:beforeAutospacing="1" w:after="100" w:afterAutospacing="1"/>
        <w:ind w:left="360"/>
        <w:jc w:val="both"/>
        <w:rPr>
          <w:rStyle w:val="Hervorhebung"/>
          <w:lang w:eastAsia="de-DE"/>
        </w:rPr>
      </w:pPr>
      <w:r>
        <w:rPr>
          <w:rStyle w:val="Hervorhebung"/>
        </w:rPr>
        <w:t xml:space="preserve">Lernende benötigen </w:t>
      </w:r>
      <w:r w:rsidRPr="00095C48">
        <w:rPr>
          <w:rStyle w:val="Hervorhebung"/>
        </w:rPr>
        <w:t xml:space="preserve">in mindestens </w:t>
      </w:r>
      <w:r>
        <w:rPr>
          <w:rStyle w:val="Hervorhebung"/>
        </w:rPr>
        <w:t>zwei der folgenden</w:t>
      </w:r>
      <w:r w:rsidRPr="00095C48">
        <w:rPr>
          <w:rStyle w:val="Hervorhebung"/>
        </w:rPr>
        <w:t xml:space="preserve"> Lebensbereichen Unterstützung</w:t>
      </w:r>
      <w:r>
        <w:rPr>
          <w:rStyle w:val="Hervorhebung"/>
        </w:rPr>
        <w:t xml:space="preserve">: </w:t>
      </w:r>
      <w:r w:rsidRPr="00095C48">
        <w:rPr>
          <w:rStyle w:val="Hervorhebung"/>
        </w:rPr>
        <w:t>Kommunikation, Wohnen, Gesundheit, Sicherheit, Schule, Freizeit</w:t>
      </w:r>
      <w:r>
        <w:rPr>
          <w:rStyle w:val="Hervorhebung"/>
        </w:rPr>
        <w:t>.</w:t>
      </w:r>
    </w:p>
    <w:p w:rsidR="00095C48" w:rsidRDefault="00095C48"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095C48">
        <w:rPr>
          <w:rFonts w:eastAsia="Times New Roman" w:cs="Arial"/>
          <w:szCs w:val="24"/>
          <w:lang w:eastAsia="de-DE"/>
        </w:rPr>
        <w:t xml:space="preserve">I: Charakterisieren Sie in </w:t>
      </w:r>
      <w:r>
        <w:rPr>
          <w:rFonts w:eastAsia="Times New Roman" w:cs="Arial"/>
          <w:szCs w:val="24"/>
          <w:lang w:eastAsia="de-DE"/>
        </w:rPr>
        <w:t>einem Satz</w:t>
      </w:r>
      <w:r w:rsidRPr="00095C48">
        <w:rPr>
          <w:rFonts w:eastAsia="Times New Roman" w:cs="Arial"/>
          <w:szCs w:val="24"/>
          <w:lang w:eastAsia="de-DE"/>
        </w:rPr>
        <w:t xml:space="preserve"> den sonderpädagogischen Förderschwerpunkt Emotional-</w:t>
      </w:r>
      <w:r>
        <w:rPr>
          <w:rFonts w:eastAsia="Times New Roman" w:cs="Arial"/>
          <w:szCs w:val="24"/>
          <w:lang w:eastAsia="de-DE"/>
        </w:rPr>
        <w:t>s</w:t>
      </w:r>
      <w:r w:rsidRPr="00095C48">
        <w:rPr>
          <w:rFonts w:eastAsia="Times New Roman" w:cs="Arial"/>
          <w:szCs w:val="24"/>
          <w:lang w:eastAsia="de-DE"/>
        </w:rPr>
        <w:t>oziale Entwicklung.</w:t>
      </w:r>
    </w:p>
    <w:p w:rsidR="00095C48" w:rsidRPr="00095C48" w:rsidRDefault="00095C48" w:rsidP="00095C48">
      <w:pPr>
        <w:spacing w:before="100" w:beforeAutospacing="1" w:after="100" w:afterAutospacing="1"/>
        <w:ind w:left="360"/>
        <w:jc w:val="both"/>
        <w:rPr>
          <w:rStyle w:val="Hervorhebung"/>
          <w:lang w:eastAsia="de-DE"/>
        </w:rPr>
      </w:pPr>
      <w:r>
        <w:rPr>
          <w:rStyle w:val="Hervorhebung"/>
        </w:rPr>
        <w:t>Lernende zeigen eine</w:t>
      </w:r>
      <w:r w:rsidRPr="00095C48">
        <w:rPr>
          <w:rStyle w:val="Hervorhebung"/>
        </w:rPr>
        <w:t xml:space="preserve"> gestörte Person-Umwelt-Beziehung, </w:t>
      </w:r>
      <w:r>
        <w:rPr>
          <w:rStyle w:val="Hervorhebung"/>
        </w:rPr>
        <w:t xml:space="preserve">die das </w:t>
      </w:r>
      <w:r w:rsidRPr="00095C48">
        <w:rPr>
          <w:rStyle w:val="Hervorhebung"/>
        </w:rPr>
        <w:t>ganzes Spektrum zwischen impulsiv, aggressiv, hyperaktiv, über „defizitäre Arbeitshaltung“, bis überängstlich, interessenlos</w:t>
      </w:r>
      <w:r>
        <w:rPr>
          <w:rStyle w:val="Hervorhebung"/>
        </w:rPr>
        <w:t xml:space="preserve"> und</w:t>
      </w:r>
      <w:r w:rsidRPr="00095C48">
        <w:rPr>
          <w:rStyle w:val="Hervorhebung"/>
        </w:rPr>
        <w:t xml:space="preserve"> Kontaktvermeidung</w:t>
      </w:r>
      <w:r>
        <w:rPr>
          <w:rStyle w:val="Hervorhebung"/>
        </w:rPr>
        <w:t xml:space="preserve"> abdecken kann.</w:t>
      </w:r>
    </w:p>
    <w:p w:rsidR="00095C48" w:rsidRDefault="00095C48" w:rsidP="00095C48">
      <w:pPr>
        <w:numPr>
          <w:ilvl w:val="0"/>
          <w:numId w:val="2"/>
        </w:numPr>
        <w:tabs>
          <w:tab w:val="clear" w:pos="720"/>
          <w:tab w:val="num" w:pos="360"/>
        </w:tabs>
        <w:spacing w:before="100" w:beforeAutospacing="1" w:after="100" w:afterAutospacing="1"/>
        <w:ind w:left="360"/>
        <w:jc w:val="both"/>
        <w:rPr>
          <w:rFonts w:eastAsia="Times New Roman" w:cs="Arial"/>
          <w:szCs w:val="24"/>
          <w:lang w:eastAsia="de-DE"/>
        </w:rPr>
      </w:pPr>
      <w:r w:rsidRPr="00095C48">
        <w:rPr>
          <w:rFonts w:eastAsia="Times New Roman" w:cs="Arial"/>
          <w:szCs w:val="24"/>
          <w:lang w:eastAsia="de-DE"/>
        </w:rPr>
        <w:t>II: Arbeiten Sie die Unterschiede zwischen individuellem und sonderpädagogischem Förderbedarf heraus.</w:t>
      </w:r>
    </w:p>
    <w:p w:rsidR="00095C48" w:rsidRDefault="00095C48" w:rsidP="00095C48">
      <w:pPr>
        <w:pStyle w:val="Listenabsatz"/>
        <w:numPr>
          <w:ilvl w:val="0"/>
          <w:numId w:val="6"/>
        </w:numPr>
        <w:spacing w:before="100" w:beforeAutospacing="1" w:after="100" w:afterAutospacing="1"/>
        <w:jc w:val="both"/>
        <w:rPr>
          <w:rStyle w:val="Hervorhebung"/>
          <w:lang w:eastAsia="de-DE"/>
        </w:rPr>
      </w:pPr>
      <w:r>
        <w:rPr>
          <w:rStyle w:val="Hervorhebung"/>
          <w:lang w:eastAsia="de-DE"/>
        </w:rPr>
        <w:t>Individueller Förderbedarf:</w:t>
      </w:r>
      <w:r w:rsidRPr="00095C48">
        <w:rPr>
          <w:rStyle w:val="Hervorhebung"/>
          <w:lang w:eastAsia="de-DE"/>
        </w:rPr>
        <w:t xml:space="preserve"> wenn einzelne Teilleistungsschwächen (z.B. Lese-Rechtschreib-Schwäche, Dyskalkulie, …) auftreten.</w:t>
      </w:r>
      <w:r>
        <w:rPr>
          <w:rStyle w:val="Hervorhebung"/>
          <w:lang w:eastAsia="de-DE"/>
        </w:rPr>
        <w:t xml:space="preserve"> </w:t>
      </w:r>
      <w:r w:rsidRPr="00095C48">
        <w:rPr>
          <w:rStyle w:val="Hervorhebung"/>
          <w:lang w:eastAsia="de-DE"/>
        </w:rPr>
        <w:t xml:space="preserve">Beschulung ist möglich </w:t>
      </w:r>
      <w:r>
        <w:rPr>
          <w:rStyle w:val="Hervorhebung"/>
          <w:lang w:eastAsia="de-DE"/>
        </w:rPr>
        <w:t>mit</w:t>
      </w:r>
      <w:r w:rsidRPr="00095C48">
        <w:rPr>
          <w:rStyle w:val="Hervorhebung"/>
          <w:lang w:eastAsia="de-DE"/>
        </w:rPr>
        <w:t xml:space="preserve"> zusätzlichen Maßnahmen der Regelschule wie Förderlehrer, LRS-Kurs, innere Differenzierung, Intensivierung usw. </w:t>
      </w:r>
      <w:r>
        <w:rPr>
          <w:rStyle w:val="Hervorhebung"/>
          <w:lang w:eastAsia="de-DE"/>
        </w:rPr>
        <w:t>Z</w:t>
      </w:r>
      <w:r w:rsidRPr="00095C48">
        <w:rPr>
          <w:rStyle w:val="Hervorhebung"/>
          <w:lang w:eastAsia="de-DE"/>
        </w:rPr>
        <w:t>usätzliche sonderpädagogische Unterstützung</w:t>
      </w:r>
      <w:r>
        <w:rPr>
          <w:rStyle w:val="Hervorhebung"/>
          <w:lang w:eastAsia="de-DE"/>
        </w:rPr>
        <w:t xml:space="preserve"> ist nicht erforderlich</w:t>
      </w:r>
      <w:r w:rsidRPr="00095C48">
        <w:rPr>
          <w:rStyle w:val="Hervorhebung"/>
          <w:lang w:eastAsia="de-DE"/>
        </w:rPr>
        <w:t>.</w:t>
      </w:r>
    </w:p>
    <w:p w:rsidR="00095C48" w:rsidRDefault="00095C48" w:rsidP="00095C48">
      <w:pPr>
        <w:pStyle w:val="Listenabsatz"/>
        <w:numPr>
          <w:ilvl w:val="0"/>
          <w:numId w:val="6"/>
        </w:numPr>
        <w:spacing w:before="100" w:beforeAutospacing="1" w:after="100" w:afterAutospacing="1"/>
        <w:jc w:val="both"/>
        <w:rPr>
          <w:rStyle w:val="Hervorhebung"/>
          <w:lang w:eastAsia="de-DE"/>
        </w:rPr>
      </w:pPr>
      <w:r>
        <w:rPr>
          <w:rStyle w:val="Hervorhebung"/>
          <w:lang w:eastAsia="de-DE"/>
        </w:rPr>
        <w:t xml:space="preserve">Sonderpädagogischer </w:t>
      </w:r>
      <w:r w:rsidRPr="00095C48">
        <w:rPr>
          <w:rStyle w:val="Hervorhebung"/>
          <w:lang w:eastAsia="de-DE"/>
        </w:rPr>
        <w:t>Förderbedarf liegt dann vor, wenn die allgemeine Schule trotz zusätzlicher differenzierender Maßnahmen nicht in der Lage ist, auf die Lernbedürfnisse einzelner Lernender einzugehen und deshalb zusätzlich gezielte Maßnahmen zur Diagnostik, Intervention und Evaluation erforderlich sind.</w:t>
      </w:r>
    </w:p>
    <w:p w:rsidR="00347C87" w:rsidRPr="00347C87" w:rsidRDefault="00347C87" w:rsidP="00347C87">
      <w:pPr>
        <w:numPr>
          <w:ilvl w:val="0"/>
          <w:numId w:val="2"/>
        </w:numPr>
        <w:tabs>
          <w:tab w:val="clear" w:pos="720"/>
          <w:tab w:val="num" w:pos="360"/>
        </w:tabs>
        <w:spacing w:before="100" w:beforeAutospacing="1" w:after="100" w:afterAutospacing="1"/>
        <w:ind w:left="360"/>
        <w:jc w:val="both"/>
        <w:rPr>
          <w:rFonts w:eastAsia="Times New Roman" w:cs="Arial"/>
          <w:iCs/>
          <w:szCs w:val="24"/>
        </w:rPr>
      </w:pPr>
      <w:r w:rsidRPr="00347C87">
        <w:rPr>
          <w:rFonts w:eastAsia="Times New Roman" w:cs="Arial"/>
          <w:iCs/>
          <w:szCs w:val="24"/>
          <w:lang w:eastAsia="de-DE"/>
        </w:rPr>
        <w:t>III: Finden Sie Gründe, warum die Gesellschaft heute die Inklusion der Separation oder der Exklusion vorzieht.</w:t>
      </w:r>
    </w:p>
    <w:p w:rsidR="00347C87" w:rsidRPr="00095C48" w:rsidRDefault="00347C87" w:rsidP="00347C87">
      <w:pPr>
        <w:spacing w:before="100" w:beforeAutospacing="1" w:after="100" w:afterAutospacing="1"/>
        <w:ind w:left="360"/>
        <w:jc w:val="both"/>
        <w:rPr>
          <w:rStyle w:val="Hervorhebung"/>
          <w:lang w:eastAsia="de-DE"/>
        </w:rPr>
      </w:pPr>
      <w:r>
        <w:rPr>
          <w:rStyle w:val="Hervorhebung"/>
          <w:lang w:eastAsia="de-DE"/>
        </w:rPr>
        <w:t>Sie dürfen diskutieren Achten Sie auf „das System“.</w:t>
      </w:r>
      <w:bookmarkStart w:id="0" w:name="_GoBack"/>
      <w:bookmarkEnd w:id="0"/>
    </w:p>
    <w:sectPr w:rsidR="00347C87" w:rsidRPr="00095C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7A8"/>
    <w:multiLevelType w:val="hybridMultilevel"/>
    <w:tmpl w:val="94E21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F42251"/>
    <w:multiLevelType w:val="hybridMultilevel"/>
    <w:tmpl w:val="75B05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7E36DBC"/>
    <w:multiLevelType w:val="multilevel"/>
    <w:tmpl w:val="41D0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650006"/>
    <w:multiLevelType w:val="hybridMultilevel"/>
    <w:tmpl w:val="0A34BD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E3552D"/>
    <w:multiLevelType w:val="hybridMultilevel"/>
    <w:tmpl w:val="B39AB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7C3638"/>
    <w:multiLevelType w:val="hybridMultilevel"/>
    <w:tmpl w:val="6A2A568A"/>
    <w:lvl w:ilvl="0" w:tplc="A5449E94">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8F"/>
    <w:rsid w:val="00021A9D"/>
    <w:rsid w:val="00077ECA"/>
    <w:rsid w:val="00095C48"/>
    <w:rsid w:val="000B7F73"/>
    <w:rsid w:val="000C29A3"/>
    <w:rsid w:val="000D7373"/>
    <w:rsid w:val="000E5C63"/>
    <w:rsid w:val="000E7ACA"/>
    <w:rsid w:val="002A79C5"/>
    <w:rsid w:val="0031231B"/>
    <w:rsid w:val="00323C19"/>
    <w:rsid w:val="003300B1"/>
    <w:rsid w:val="00347C87"/>
    <w:rsid w:val="003B14EE"/>
    <w:rsid w:val="0040211E"/>
    <w:rsid w:val="00477B63"/>
    <w:rsid w:val="00487353"/>
    <w:rsid w:val="0053280E"/>
    <w:rsid w:val="005422CC"/>
    <w:rsid w:val="00575EF3"/>
    <w:rsid w:val="00602A8F"/>
    <w:rsid w:val="00607A01"/>
    <w:rsid w:val="00632E15"/>
    <w:rsid w:val="00635D13"/>
    <w:rsid w:val="00691B65"/>
    <w:rsid w:val="007A0A31"/>
    <w:rsid w:val="00865FA8"/>
    <w:rsid w:val="00876DB7"/>
    <w:rsid w:val="00927167"/>
    <w:rsid w:val="009553D0"/>
    <w:rsid w:val="0098185A"/>
    <w:rsid w:val="009A106E"/>
    <w:rsid w:val="009D3E20"/>
    <w:rsid w:val="00A27FD8"/>
    <w:rsid w:val="00B86349"/>
    <w:rsid w:val="00B87157"/>
    <w:rsid w:val="00BB6BC4"/>
    <w:rsid w:val="00BC79A3"/>
    <w:rsid w:val="00C146E0"/>
    <w:rsid w:val="00C40DF8"/>
    <w:rsid w:val="00C413E4"/>
    <w:rsid w:val="00CB500A"/>
    <w:rsid w:val="00CF3007"/>
    <w:rsid w:val="00CF35EC"/>
    <w:rsid w:val="00D23E2C"/>
    <w:rsid w:val="00D771C9"/>
    <w:rsid w:val="00DB24DA"/>
    <w:rsid w:val="00DD104D"/>
    <w:rsid w:val="00E23625"/>
    <w:rsid w:val="00E323CE"/>
    <w:rsid w:val="00EE5C7E"/>
    <w:rsid w:val="00EE70E1"/>
    <w:rsid w:val="00F0736F"/>
    <w:rsid w:val="00FC1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DDD6"/>
  <w15:chartTrackingRefBased/>
  <w15:docId w15:val="{0AE30719-C686-4CC3-AD31-9804539B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5C63"/>
    <w:pPr>
      <w:spacing w:before="120"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C63"/>
    <w:pPr>
      <w:numPr>
        <w:numId w:val="1"/>
      </w:numPr>
      <w:contextualSpacing/>
    </w:pPr>
  </w:style>
  <w:style w:type="paragraph" w:styleId="StandardWeb">
    <w:name w:val="Normal (Web)"/>
    <w:basedOn w:val="Standard"/>
    <w:uiPriority w:val="99"/>
    <w:unhideWhenUsed/>
    <w:rsid w:val="00487353"/>
    <w:pPr>
      <w:spacing w:before="100" w:beforeAutospacing="1" w:after="100" w:afterAutospacing="1"/>
    </w:pPr>
    <w:rPr>
      <w:rFonts w:ascii="Times New Roman" w:eastAsia="Times New Roman" w:hAnsi="Times New Roman" w:cs="Times New Roman"/>
      <w:szCs w:val="24"/>
      <w:lang w:eastAsia="de-DE"/>
    </w:rPr>
  </w:style>
  <w:style w:type="paragraph" w:styleId="Titel">
    <w:name w:val="Title"/>
    <w:basedOn w:val="Standard"/>
    <w:next w:val="Standard"/>
    <w:link w:val="TitelZchn"/>
    <w:uiPriority w:val="10"/>
    <w:qFormat/>
    <w:rsid w:val="009553D0"/>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9553D0"/>
    <w:rPr>
      <w:rFonts w:ascii="Arial" w:eastAsiaTheme="majorEastAsia" w:hAnsi="Arial" w:cstheme="majorBidi"/>
      <w:b/>
      <w:spacing w:val="-10"/>
      <w:kern w:val="28"/>
      <w:sz w:val="32"/>
      <w:szCs w:val="56"/>
    </w:rPr>
  </w:style>
  <w:style w:type="character" w:styleId="Hervorhebung">
    <w:name w:val="Emphasis"/>
    <w:basedOn w:val="Absatz-Standardschriftart"/>
    <w:uiPriority w:val="20"/>
    <w:qFormat/>
    <w:rsid w:val="000E5C63"/>
    <w:rPr>
      <w:rFonts w:ascii="Arial" w:hAnsi="Arial"/>
      <w:i w:val="0"/>
      <w:iCs/>
      <w:color w:val="0066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20600">
      <w:bodyDiv w:val="1"/>
      <w:marLeft w:val="0"/>
      <w:marRight w:val="0"/>
      <w:marTop w:val="0"/>
      <w:marBottom w:val="0"/>
      <w:divBdr>
        <w:top w:val="none" w:sz="0" w:space="0" w:color="auto"/>
        <w:left w:val="none" w:sz="0" w:space="0" w:color="auto"/>
        <w:bottom w:val="none" w:sz="0" w:space="0" w:color="auto"/>
        <w:right w:val="none" w:sz="0" w:space="0" w:color="auto"/>
      </w:divBdr>
    </w:div>
    <w:div w:id="1046683098">
      <w:bodyDiv w:val="1"/>
      <w:marLeft w:val="0"/>
      <w:marRight w:val="0"/>
      <w:marTop w:val="0"/>
      <w:marBottom w:val="0"/>
      <w:divBdr>
        <w:top w:val="none" w:sz="0" w:space="0" w:color="auto"/>
        <w:left w:val="none" w:sz="0" w:space="0" w:color="auto"/>
        <w:bottom w:val="none" w:sz="0" w:space="0" w:color="auto"/>
        <w:right w:val="none" w:sz="0" w:space="0" w:color="auto"/>
      </w:divBdr>
    </w:div>
    <w:div w:id="1076826513">
      <w:bodyDiv w:val="1"/>
      <w:marLeft w:val="0"/>
      <w:marRight w:val="0"/>
      <w:marTop w:val="0"/>
      <w:marBottom w:val="0"/>
      <w:divBdr>
        <w:top w:val="none" w:sz="0" w:space="0" w:color="auto"/>
        <w:left w:val="none" w:sz="0" w:space="0" w:color="auto"/>
        <w:bottom w:val="none" w:sz="0" w:space="0" w:color="auto"/>
        <w:right w:val="none" w:sz="0" w:space="0" w:color="auto"/>
      </w:divBdr>
    </w:div>
    <w:div w:id="1319772765">
      <w:bodyDiv w:val="1"/>
      <w:marLeft w:val="0"/>
      <w:marRight w:val="0"/>
      <w:marTop w:val="0"/>
      <w:marBottom w:val="0"/>
      <w:divBdr>
        <w:top w:val="none" w:sz="0" w:space="0" w:color="auto"/>
        <w:left w:val="none" w:sz="0" w:space="0" w:color="auto"/>
        <w:bottom w:val="none" w:sz="0" w:space="0" w:color="auto"/>
        <w:right w:val="none" w:sz="0" w:space="0" w:color="auto"/>
      </w:divBdr>
    </w:div>
    <w:div w:id="1373581439">
      <w:bodyDiv w:val="1"/>
      <w:marLeft w:val="0"/>
      <w:marRight w:val="0"/>
      <w:marTop w:val="0"/>
      <w:marBottom w:val="0"/>
      <w:divBdr>
        <w:top w:val="none" w:sz="0" w:space="0" w:color="auto"/>
        <w:left w:val="none" w:sz="0" w:space="0" w:color="auto"/>
        <w:bottom w:val="none" w:sz="0" w:space="0" w:color="auto"/>
        <w:right w:val="none" w:sz="0" w:space="0" w:color="auto"/>
      </w:divBdr>
    </w:div>
    <w:div w:id="1656303224">
      <w:bodyDiv w:val="1"/>
      <w:marLeft w:val="0"/>
      <w:marRight w:val="0"/>
      <w:marTop w:val="0"/>
      <w:marBottom w:val="0"/>
      <w:divBdr>
        <w:top w:val="none" w:sz="0" w:space="0" w:color="auto"/>
        <w:left w:val="none" w:sz="0" w:space="0" w:color="auto"/>
        <w:bottom w:val="none" w:sz="0" w:space="0" w:color="auto"/>
        <w:right w:val="none" w:sz="0" w:space="0" w:color="auto"/>
      </w:divBdr>
    </w:div>
    <w:div w:id="1698578498">
      <w:bodyDiv w:val="1"/>
      <w:marLeft w:val="0"/>
      <w:marRight w:val="0"/>
      <w:marTop w:val="0"/>
      <w:marBottom w:val="0"/>
      <w:divBdr>
        <w:top w:val="none" w:sz="0" w:space="0" w:color="auto"/>
        <w:left w:val="none" w:sz="0" w:space="0" w:color="auto"/>
        <w:bottom w:val="none" w:sz="0" w:space="0" w:color="auto"/>
        <w:right w:val="none" w:sz="0" w:space="0" w:color="auto"/>
      </w:divBdr>
    </w:div>
    <w:div w:id="1734889504">
      <w:bodyDiv w:val="1"/>
      <w:marLeft w:val="0"/>
      <w:marRight w:val="0"/>
      <w:marTop w:val="0"/>
      <w:marBottom w:val="0"/>
      <w:divBdr>
        <w:top w:val="none" w:sz="0" w:space="0" w:color="auto"/>
        <w:left w:val="none" w:sz="0" w:space="0" w:color="auto"/>
        <w:bottom w:val="none" w:sz="0" w:space="0" w:color="auto"/>
        <w:right w:val="none" w:sz="0" w:space="0" w:color="auto"/>
      </w:divBdr>
    </w:div>
    <w:div w:id="2012483177">
      <w:bodyDiv w:val="1"/>
      <w:marLeft w:val="0"/>
      <w:marRight w:val="0"/>
      <w:marTop w:val="0"/>
      <w:marBottom w:val="0"/>
      <w:divBdr>
        <w:top w:val="none" w:sz="0" w:space="0" w:color="auto"/>
        <w:left w:val="none" w:sz="0" w:space="0" w:color="auto"/>
        <w:bottom w:val="none" w:sz="0" w:space="0" w:color="auto"/>
        <w:right w:val="none" w:sz="0" w:space="0" w:color="auto"/>
      </w:divBdr>
    </w:div>
    <w:div w:id="21077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dc:creator>
  <cp:keywords/>
  <dc:description/>
  <cp:lastModifiedBy>Wagner, Walter</cp:lastModifiedBy>
  <cp:revision>5</cp:revision>
  <dcterms:created xsi:type="dcterms:W3CDTF">2019-10-01T12:39:00Z</dcterms:created>
  <dcterms:modified xsi:type="dcterms:W3CDTF">2020-04-28T08:48:00Z</dcterms:modified>
</cp:coreProperties>
</file>